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59"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59"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59"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59"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59"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w:t>
      </w:r>
    </w:p>
    <w:p>
      <w:pPr>
        <w:pStyle w:val="TextBody"/>
        <w:bidi w:val="0"/>
        <w:spacing w:lineRule="auto" w:line="259" w:before="0" w:after="0"/>
        <w:jc w:val="center"/>
        <w:rPr/>
      </w:pPr>
      <w:r>
        <w:rPr>
          <w:rFonts w:ascii="Times New Roman;serif" w:hAnsi="Times New Roman;serif"/>
          <w:b/>
          <w:color w:val="000000"/>
          <w:sz w:val="20"/>
        </w:rPr>
        <w:t>The Securities Exchange Act of 1934</w:t>
      </w:r>
      <w:r>
        <w:rPr>
          <w:color w:val="000000"/>
        </w:rPr>
        <w:t xml:space="preserve"> </w:t>
      </w:r>
    </w:p>
    <w:p>
      <w:pPr>
        <w:pStyle w:val="TextBody"/>
        <w:bidi w:val="0"/>
        <w:spacing w:lineRule="auto" w:line="259" w:before="24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September 16,</w:t>
      </w:r>
      <w:r>
        <w:rPr>
          <w:color w:val="000000"/>
          <w:shd w:fill="FFFFFF" w:val="clear"/>
        </w:rPr>
        <w:t xml:space="preserve"> </w:t>
      </w:r>
      <w:r>
        <w:rPr>
          <w:rFonts w:ascii="Times New Roman;serif" w:hAnsi="Times New Roman;serif"/>
          <w:b/>
          <w:color w:val="000000"/>
          <w:sz w:val="20"/>
          <w:shd w:fill="FFFFFF" w:val="clear"/>
        </w:rPr>
        <w:t>2026</w:t>
      </w:r>
    </w:p>
    <w:p>
      <w:pPr>
        <w:pStyle w:val="TextBody"/>
        <w:bidi w:val="0"/>
        <w:spacing w:lineRule="auto" w:line="259" w:before="240" w:after="283"/>
        <w:jc w:val="center"/>
        <w:rPr>
          <w:rFonts w:ascii="Times New Roman;serif" w:hAnsi="Times New Roman;serif"/>
          <w:b/>
          <w:color w:val="000000"/>
          <w:sz w:val="36"/>
        </w:rPr>
      </w:pPr>
      <w:r>
        <w:rPr>
          <w:rFonts w:ascii="Times New Roman;serif" w:hAnsi="Times New Roman;serif"/>
          <w:b/>
          <w:color w:val="000000"/>
          <w:sz w:val="36"/>
        </w:rPr>
        <w:t>Anterix Inc.</w:t>
      </w:r>
    </w:p>
    <w:p>
      <w:pPr>
        <w:pStyle w:val="TextBody"/>
        <w:bidi w:val="0"/>
        <w:spacing w:lineRule="auto" w:line="259" w:before="24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93" w:type="dxa"/>
        <w:jc w:val="left"/>
        <w:tblInd w:w="0" w:type="dxa"/>
        <w:tblLayout w:type="fixed"/>
        <w:tblCellMar>
          <w:top w:w="28" w:type="dxa"/>
          <w:left w:w="28" w:type="dxa"/>
          <w:bottom w:w="28" w:type="dxa"/>
          <w:right w:w="28" w:type="dxa"/>
        </w:tblCellMar>
      </w:tblPr>
      <w:tblGrid>
        <w:gridCol w:w="829"/>
        <w:gridCol w:w="728"/>
        <w:gridCol w:w="738"/>
        <w:gridCol w:w="109"/>
        <w:gridCol w:w="109"/>
        <w:gridCol w:w="109"/>
        <w:gridCol w:w="762"/>
        <w:gridCol w:w="762"/>
        <w:gridCol w:w="770"/>
        <w:gridCol w:w="109"/>
        <w:gridCol w:w="109"/>
        <w:gridCol w:w="109"/>
        <w:gridCol w:w="482"/>
        <w:gridCol w:w="482"/>
        <w:gridCol w:w="686"/>
      </w:tblGrid>
      <w:tr>
        <w:trPr/>
        <w:tc>
          <w:tcPr>
            <w:tcW w:w="82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001-36827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33-0745043</w:t>
            </w:r>
          </w:p>
        </w:tc>
      </w:tr>
      <w:tr>
        <w:trPr/>
        <w:tc>
          <w:tcPr>
            <w:tcW w:w="229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9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662" w:type="dxa"/>
        <w:jc w:val="left"/>
        <w:tblInd w:w="0" w:type="dxa"/>
        <w:tblLayout w:type="fixed"/>
        <w:tblCellMar>
          <w:top w:w="28" w:type="dxa"/>
          <w:left w:w="28" w:type="dxa"/>
          <w:bottom w:w="28" w:type="dxa"/>
          <w:right w:w="28" w:type="dxa"/>
        </w:tblCellMar>
      </w:tblPr>
      <w:tblGrid>
        <w:gridCol w:w="1194"/>
        <w:gridCol w:w="1050"/>
        <w:gridCol w:w="1056"/>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3 Garret Mountain Plaza</w:t>
            </w:r>
          </w:p>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Suite 401</w:t>
            </w:r>
          </w:p>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Woodland Park, NJ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07424</w:t>
            </w:r>
          </w:p>
        </w:tc>
      </w:tr>
      <w:tr>
        <w:trPr/>
        <w:tc>
          <w:tcPr>
            <w:tcW w:w="3300"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(973) 771-0300</w:t>
      </w:r>
    </w:p>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59"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59"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59" w:before="0" w:after="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59" w:before="0" w:after="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240.14a-12(b))</w:t>
      </w:r>
    </w:p>
    <w:p>
      <w:pPr>
        <w:pStyle w:val="TextBody"/>
        <w:bidi w:val="0"/>
        <w:spacing w:lineRule="auto" w:line="259"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59"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88" w:type="dxa"/>
        <w:jc w:val="left"/>
        <w:tblInd w:w="0" w:type="dxa"/>
        <w:tblLayout w:type="fixed"/>
        <w:tblCellMar>
          <w:top w:w="28" w:type="dxa"/>
          <w:left w:w="28" w:type="dxa"/>
          <w:bottom w:w="28" w:type="dxa"/>
          <w:right w:w="28" w:type="dxa"/>
        </w:tblCellMar>
      </w:tblPr>
      <w:tblGrid>
        <w:gridCol w:w="1097"/>
        <w:gridCol w:w="960"/>
        <w:gridCol w:w="972"/>
        <w:gridCol w:w="464"/>
        <w:gridCol w:w="464"/>
        <w:gridCol w:w="466"/>
        <w:gridCol w:w="1101"/>
        <w:gridCol w:w="1101"/>
        <w:gridCol w:w="1563"/>
      </w:tblGrid>
      <w:tr>
        <w:trPr/>
        <w:tc>
          <w:tcPr>
            <w:tcW w:w="109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0000"/>
              <w:left w:val="single" w:sz="8" w:space="0" w:color="000000"/>
            </w:tcBorders>
            <w:tcMar>
              <w:top w:w="52" w:type="dxa"/>
              <w:left w:w="48"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op w:val="single" w:sz="8" w:space="0" w:color="000000"/>
              <w:left w:val="single" w:sz="8" w:space="0" w:color="000000"/>
            </w:tcBorders>
            <w:tcMar>
              <w:top w:w="52" w:type="dxa"/>
              <w:left w:w="48"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65" w:type="dxa"/>
            <w:gridSpan w:val="3"/>
            <w:tcBorders>
              <w:top w:val="single" w:sz="8" w:space="0" w:color="000000"/>
              <w:left w:val="single" w:sz="8" w:space="0" w:color="000000"/>
              <w:right w:val="single" w:sz="8" w:space="0" w:color="000000"/>
            </w:tcBorders>
            <w:tcMar>
              <w:top w:w="52" w:type="dxa"/>
              <w:left w:w="48" w:type="dxa"/>
              <w:bottom w:w="0" w:type="dxa"/>
              <w:right w:w="48"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29" w:type="dxa"/>
            <w:gridSpan w:val="3"/>
            <w:tcBorders>
              <w:top w:val="single" w:sz="8" w:space="0" w:color="000000"/>
              <w:left w:val="single" w:sz="8" w:space="0" w:color="000000"/>
            </w:tcBorders>
            <w:tcMar>
              <w:top w:w="52" w:type="dxa"/>
              <w:left w:w="48"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w:t>
            </w:r>
          </w:p>
        </w:tc>
        <w:tc>
          <w:tcPr>
            <w:tcW w:w="1394" w:type="dxa"/>
            <w:gridSpan w:val="3"/>
            <w:tcBorders>
              <w:top w:val="single" w:sz="8" w:space="0" w:color="000000"/>
              <w:left w:val="single" w:sz="8" w:space="0" w:color="000000"/>
            </w:tcBorders>
            <w:tcMar>
              <w:top w:w="52" w:type="dxa"/>
              <w:left w:w="48"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 xml:space="preserve">ATEX </w:t>
            </w:r>
          </w:p>
        </w:tc>
        <w:tc>
          <w:tcPr>
            <w:tcW w:w="3765" w:type="dxa"/>
            <w:gridSpan w:val="3"/>
            <w:tcBorders>
              <w:top w:val="single" w:sz="8" w:space="0" w:color="000000"/>
              <w:left w:val="single" w:sz="8" w:space="0" w:color="000000"/>
              <w:right w:val="single" w:sz="8" w:space="0" w:color="000000"/>
            </w:tcBorders>
            <w:tcMar>
              <w:top w:w="52" w:type="dxa"/>
              <w:left w:w="48" w:type="dxa"/>
              <w:bottom w:w="0" w:type="dxa"/>
              <w:right w:w="48"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 xml:space="preserve">The Nasdaq Stock Market LLC </w:t>
            </w:r>
          </w:p>
        </w:tc>
      </w:tr>
      <w:tr>
        <w:trPr/>
        <w:tc>
          <w:tcPr>
            <w:tcW w:w="302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59" w:before="0" w:after="283"/>
              <w:jc w:val="center"/>
              <w:rPr>
                <w:color w:val="000000"/>
              </w:rPr>
            </w:pPr>
            <w:r>
              <w:rPr>
                <w:color w:val="000000"/>
              </w:rPr>
              <w:t> </w:t>
            </w:r>
            <w:r>
              <w:rPr>
                <w:rFonts w:ascii="Times New Roman;serif" w:hAnsi="Times New Roman;serif"/>
                <w:b/>
                <w:color w:val="000000"/>
                <w:sz w:val="20"/>
              </w:rPr>
              <w:t>(NASDAQ Capital Market)</w:t>
            </w:r>
          </w:p>
        </w:tc>
      </w:tr>
    </w:tbl>
    <w:p>
      <w:pPr>
        <w:pStyle w:val="TextBody"/>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59" w:before="2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9" w:before="240" w:after="283"/>
        <w:ind w:left="0" w:right="0" w:hanging="1440"/>
        <w:jc w:val="left"/>
        <w:rPr/>
      </w:pPr>
      <w:r>
        <w:rPr>
          <w:rFonts w:ascii="Times New Roman;serif" w:hAnsi="Times New Roman;serif"/>
          <w:b/>
          <w:color w:val="000000"/>
          <w:sz w:val="20"/>
        </w:rPr>
        <w:t>Item 8.01 Other Events.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On September 16, 2026, the Board of Directors of Anterix Inc. (the “Company”) authorized a share repurchase program (the “Share Repurchase Program”) to be</w:t>
      </w:r>
      <w:r>
        <w:rPr>
          <w:color w:val="000000"/>
        </w:rPr>
        <w:t xml:space="preserve"> </w:t>
      </w:r>
      <w:r>
        <w:rPr>
          <w:rFonts w:ascii="Times New Roman;serif" w:hAnsi="Times New Roman;serif"/>
          <w:b w:val="false"/>
          <w:color w:val="000000"/>
          <w:sz w:val="20"/>
          <w:shd w:fill="FFFFFF" w:val="clear"/>
        </w:rPr>
        <w:t xml:space="preserve">effective starting September 22, 2026 following the expiration of the Company’s previous share repurchase program on September 21, 2026. Pursuant to the Share Repurchase Program, the Company may repurchase up to $250,000,000 of the Company’s common stock, $0.0001 par value per share (“Common Stock”), on or before September 22, 2029.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may repurchase shares of its Common Stock via the open market and/or privately negotiated transactions. Repurchases will be made in accordance with applicable securities laws and may be effected pursuant to Rule 10b5-1 trading plans. The manner, timing and amount of any share repurchases will be determined by the Company based on a variety of factors, including general business and market conditions, the Company’s capital position, and other strategic considerations. The Share Repurchase Program does not obligate the Company to repurchase any particular amount of its Common Stock. The Share Repurchase Program may be suspended, discontinued or modified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9" w:before="0" w:after="0"/>
        <w:jc w:val="left"/>
        <w:rPr/>
      </w:pPr>
      <w:r>
        <w:rPr>
          <w:rFonts w:ascii="Times New Roman;serif" w:hAnsi="Times New Roman;serif"/>
          <w:b/>
          <w:color w:val="000000"/>
          <w:sz w:val="20"/>
        </w:rPr>
        <w:t>Item 9.01. Financial Statements and Exhibits.</w:t>
      </w:r>
      <w:r>
        <w:rPr>
          <w:color w:val="000000"/>
        </w:rPr>
        <w:t xml:space="preserve"> </w:t>
      </w:r>
    </w:p>
    <w:p>
      <w:pPr>
        <w:pStyle w:val="TextBody"/>
        <w:bidi w:val="0"/>
        <w:spacing w:lineRule="auto" w:line="259"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643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468"/>
        <w:gridCol w:w="1468"/>
        <w:gridCol w:w="208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9" w:before="1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59"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25" w:type="dxa"/>
        <w:jc w:val="left"/>
        <w:tblInd w:w="0" w:type="dxa"/>
        <w:tblLayout w:type="fixed"/>
        <w:tblCellMar>
          <w:top w:w="28" w:type="dxa"/>
          <w:left w:w="28" w:type="dxa"/>
          <w:bottom w:w="28" w:type="dxa"/>
          <w:right w:w="28" w:type="dxa"/>
        </w:tblCellMar>
      </w:tblPr>
      <w:tblGrid>
        <w:gridCol w:w="802"/>
        <w:gridCol w:w="707"/>
        <w:gridCol w:w="711"/>
        <w:gridCol w:w="1084"/>
        <w:gridCol w:w="1084"/>
        <w:gridCol w:w="1537"/>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Anterix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Dat</w:t>
            </w:r>
            <w:r>
              <w:rPr>
                <w:rFonts w:ascii="Times New Roman;serif" w:hAnsi="Times New Roman;serif"/>
                <w:b w:val="false"/>
                <w:color w:val="000000"/>
                <w:sz w:val="20"/>
                <w:shd w:fill="FFFFFF" w:val="clear"/>
              </w:rPr>
              <w:t>e: September 18, 2026</w:t>
            </w:r>
          </w:p>
        </w:tc>
        <w:tc>
          <w:tcPr>
            <w:tcW w:w="3705"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Gena L. Ashe </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Gena L. Ashe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Corporate Secretary</w:t>
            </w:r>
          </w:p>
        </w:tc>
      </w:tr>
    </w:tbl>
    <w:p>
      <w:pPr>
        <w:pStyle w:val="TextBody"/>
        <w:bidi w:val="0"/>
        <w:spacing w:lineRule="auto" w:line="259"/>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562</Words>
  <Characters>3107</Characters>
  <CharactersWithSpaces>3621</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