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8"/>
          <w:szCs w:val="8"/>
          <w:color w:val="auto"/>
        </w:rPr>
        <w:t>______________________________________________</w:t>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8"/>
          <w:szCs w:val="8"/>
          <w:color w:val="auto"/>
        </w:rPr>
        <w:t>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10"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2026</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27"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6"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0" w:type="dxa"/>
            <w:vAlign w:val="bottom"/>
            <w:tcBorders>
              <w:bottom w:val="single" w:sz="8" w:color="auto"/>
            </w:tcBorders>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c>
          <w:tcPr>
            <w:tcW w:w="500" w:type="dxa"/>
            <w:vAlign w:val="bottom"/>
            <w:tcBorders>
              <w:bottom w:val="single" w:sz="8" w:color="auto"/>
            </w:tcBorders>
          </w:tcPr>
          <w:p>
            <w:pPr>
              <w:spacing w:after="0"/>
              <w:rPr>
                <w:sz w:val="13"/>
                <w:szCs w:val="13"/>
                <w:color w:val="auto"/>
              </w:rPr>
            </w:pPr>
          </w:p>
        </w:tc>
      </w:tr>
      <w:tr>
        <w:trPr>
          <w:trHeight w:val="204"/>
        </w:trPr>
        <w:tc>
          <w:tcPr>
            <w:tcW w:w="308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Commission File Number: 001-36827</w:t>
            </w:r>
          </w:p>
        </w:tc>
      </w:tr>
      <w:tr>
        <w:trPr>
          <w:trHeight w:val="108"/>
        </w:trPr>
        <w:tc>
          <w:tcPr>
            <w:tcW w:w="3080" w:type="dxa"/>
            <w:vAlign w:val="bottom"/>
            <w:gridSpan w:val="4"/>
          </w:tcPr>
          <w:p>
            <w:pPr>
              <w:jc w:val="right"/>
              <w:ind w:right="300"/>
              <w:spacing w:after="0"/>
              <w:rPr>
                <w:sz w:val="20"/>
                <w:szCs w:val="20"/>
                <w:color w:val="auto"/>
              </w:rPr>
            </w:pPr>
            <w:r>
              <w:rPr>
                <w:rFonts w:ascii="Times New Roman" w:cs="Times New Roman" w:eastAsia="Times New Roman" w:hAnsi="Times New Roman"/>
                <w:sz w:val="8"/>
                <w:szCs w:val="8"/>
                <w:color w:val="auto"/>
              </w:rPr>
              <w:t>______________________________________________</w:t>
            </w:r>
          </w:p>
        </w:tc>
      </w:tr>
    </w:tbl>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415"/>
        </w:trPr>
        <w:tc>
          <w:tcPr>
            <w:tcW w:w="3760" w:type="dxa"/>
            <w:vAlign w:val="bottom"/>
          </w:tcPr>
          <w:p>
            <w:pPr>
              <w:spacing w:after="0"/>
              <w:rPr>
                <w:sz w:val="24"/>
                <w:szCs w:val="24"/>
                <w:color w:val="auto"/>
              </w:rPr>
            </w:pPr>
          </w:p>
        </w:tc>
        <w:tc>
          <w:tcPr>
            <w:tcW w:w="2900" w:type="dxa"/>
            <w:vAlign w:val="bottom"/>
          </w:tcPr>
          <w:p>
            <w:pPr>
              <w:jc w:val="center"/>
              <w:ind w:left="786"/>
              <w:spacing w:after="0"/>
              <w:rPr>
                <w:sz w:val="20"/>
                <w:szCs w:val="20"/>
                <w:color w:val="auto"/>
              </w:rPr>
            </w:pPr>
            <w:r>
              <w:rPr>
                <w:rFonts w:ascii="Times New Roman" w:cs="Times New Roman" w:eastAsia="Times New Roman" w:hAnsi="Times New Roman"/>
                <w:sz w:val="34"/>
                <w:szCs w:val="34"/>
                <w:b w:val="1"/>
                <w:bCs w:val="1"/>
                <w:color w:val="auto"/>
              </w:rPr>
              <w:t>Anterix Inc.</w:t>
            </w: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77"/>
        </w:trPr>
        <w:tc>
          <w:tcPr>
            <w:tcW w:w="3760" w:type="dxa"/>
            <w:vAlign w:val="bottom"/>
          </w:tcPr>
          <w:p>
            <w:pPr>
              <w:spacing w:after="0"/>
              <w:rPr>
                <w:sz w:val="15"/>
                <w:szCs w:val="15"/>
                <w:color w:val="auto"/>
              </w:rPr>
            </w:pPr>
          </w:p>
        </w:tc>
        <w:tc>
          <w:tcPr>
            <w:tcW w:w="7520" w:type="dxa"/>
            <w:vAlign w:val="bottom"/>
            <w:gridSpan w:val="3"/>
          </w:tcPr>
          <w:p>
            <w:pPr>
              <w:jc w:val="center"/>
              <w:ind w:right="369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08"/>
        </w:trPr>
        <w:tc>
          <w:tcPr>
            <w:tcW w:w="3760" w:type="dxa"/>
            <w:vAlign w:val="bottom"/>
          </w:tcPr>
          <w:p>
            <w:pPr>
              <w:spacing w:after="0"/>
              <w:rPr>
                <w:sz w:val="9"/>
                <w:szCs w:val="9"/>
                <w:color w:val="auto"/>
              </w:rPr>
            </w:pPr>
          </w:p>
        </w:tc>
        <w:tc>
          <w:tcPr>
            <w:tcW w:w="2900" w:type="dxa"/>
            <w:vAlign w:val="bottom"/>
          </w:tcPr>
          <w:p>
            <w:pPr>
              <w:jc w:val="center"/>
              <w:ind w:left="786"/>
              <w:spacing w:after="0"/>
              <w:rPr>
                <w:sz w:val="20"/>
                <w:szCs w:val="20"/>
                <w:color w:val="auto"/>
              </w:rPr>
            </w:pPr>
            <w:r>
              <w:rPr>
                <w:rFonts w:ascii="Times New Roman" w:cs="Times New Roman" w:eastAsia="Times New Roman" w:hAnsi="Times New Roman"/>
                <w:sz w:val="8"/>
                <w:szCs w:val="8"/>
                <w:color w:val="auto"/>
              </w:rPr>
              <w:t>______________________________________________</w:t>
            </w:r>
          </w:p>
        </w:tc>
        <w:tc>
          <w:tcPr>
            <w:tcW w:w="500" w:type="dxa"/>
            <w:vAlign w:val="bottom"/>
          </w:tcPr>
          <w:p>
            <w:pPr>
              <w:spacing w:after="0"/>
              <w:rPr>
                <w:sz w:val="9"/>
                <w:szCs w:val="9"/>
                <w:color w:val="auto"/>
              </w:rPr>
            </w:pPr>
          </w:p>
        </w:tc>
        <w:tc>
          <w:tcPr>
            <w:tcW w:w="4120" w:type="dxa"/>
            <w:vAlign w:val="bottom"/>
          </w:tcPr>
          <w:p>
            <w:pPr>
              <w:spacing w:after="0"/>
              <w:rPr>
                <w:sz w:val="9"/>
                <w:szCs w:val="9"/>
                <w:color w:val="auto"/>
              </w:rPr>
            </w:pPr>
          </w:p>
        </w:tc>
      </w:tr>
      <w:tr>
        <w:trPr>
          <w:trHeight w:val="445"/>
        </w:trPr>
        <w:tc>
          <w:tcPr>
            <w:tcW w:w="3760" w:type="dxa"/>
            <w:vAlign w:val="bottom"/>
          </w:tcPr>
          <w:p>
            <w:pPr>
              <w:jc w:val="center"/>
              <w:ind w:left="14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900" w:type="dxa"/>
            <w:vAlign w:val="bottom"/>
          </w:tcPr>
          <w:p>
            <w:pPr>
              <w:spacing w:after="0"/>
              <w:rPr>
                <w:sz w:val="24"/>
                <w:szCs w:val="24"/>
                <w:color w:val="auto"/>
              </w:rPr>
            </w:pPr>
          </w:p>
        </w:tc>
        <w:tc>
          <w:tcPr>
            <w:tcW w:w="4620" w:type="dxa"/>
            <w:vAlign w:val="bottom"/>
            <w:gridSpan w:val="2"/>
          </w:tcPr>
          <w:p>
            <w:pPr>
              <w:jc w:val="right"/>
              <w:ind w:right="2616"/>
              <w:spacing w:after="0"/>
              <w:rPr>
                <w:sz w:val="20"/>
                <w:szCs w:val="20"/>
                <w:color w:val="auto"/>
              </w:rPr>
            </w:pPr>
            <w:r>
              <w:rPr>
                <w:rFonts w:ascii="Times New Roman" w:cs="Times New Roman" w:eastAsia="Times New Roman" w:hAnsi="Times New Roman"/>
                <w:sz w:val="13"/>
                <w:szCs w:val="13"/>
                <w:b w:val="1"/>
                <w:bCs w:val="1"/>
                <w:color w:val="auto"/>
              </w:rPr>
              <w:t>33-0745043</w:t>
            </w:r>
          </w:p>
        </w:tc>
      </w:tr>
      <w:tr>
        <w:trPr>
          <w:trHeight w:val="117"/>
        </w:trPr>
        <w:tc>
          <w:tcPr>
            <w:tcW w:w="3760" w:type="dxa"/>
            <w:vAlign w:val="bottom"/>
          </w:tcPr>
          <w:p>
            <w:pPr>
              <w:jc w:val="center"/>
              <w:ind w:left="1417"/>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120" w:type="dxa"/>
            <w:vAlign w:val="bottom"/>
          </w:tcPr>
          <w:p>
            <w:pPr>
              <w:jc w:val="center"/>
              <w:ind w:right="1796"/>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760" w:type="dxa"/>
            <w:vAlign w:val="bottom"/>
          </w:tcPr>
          <w:p>
            <w:pPr>
              <w:jc w:val="center"/>
              <w:ind w:left="1417"/>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20" w:type="dxa"/>
            <w:vAlign w:val="bottom"/>
          </w:tcPr>
          <w:p>
            <w:pPr>
              <w:jc w:val="center"/>
              <w:ind w:right="1796"/>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86"/>
        </w:trPr>
        <w:tc>
          <w:tcPr>
            <w:tcW w:w="3760" w:type="dxa"/>
            <w:vAlign w:val="bottom"/>
          </w:tcPr>
          <w:p>
            <w:pPr>
              <w:jc w:val="center"/>
              <w:ind w:left="1417"/>
              <w:spacing w:after="0"/>
              <w:rPr>
                <w:sz w:val="20"/>
                <w:szCs w:val="20"/>
                <w:color w:val="auto"/>
              </w:rPr>
            </w:pPr>
            <w:r>
              <w:rPr>
                <w:rFonts w:ascii="Times New Roman" w:cs="Times New Roman" w:eastAsia="Times New Roman" w:hAnsi="Times New Roman"/>
                <w:sz w:val="13"/>
                <w:szCs w:val="13"/>
                <w:b w:val="1"/>
                <w:bCs w:val="1"/>
                <w:color w:val="auto"/>
                <w:w w:val="97"/>
              </w:rPr>
              <w:t>3 Garret Mountain Plaza</w:t>
            </w:r>
          </w:p>
        </w:tc>
        <w:tc>
          <w:tcPr>
            <w:tcW w:w="2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2"/>
        </w:trPr>
        <w:tc>
          <w:tcPr>
            <w:tcW w:w="3760" w:type="dxa"/>
            <w:vAlign w:val="bottom"/>
          </w:tcPr>
          <w:p>
            <w:pPr>
              <w:jc w:val="center"/>
              <w:ind w:left="1417"/>
              <w:spacing w:after="0"/>
              <w:rPr>
                <w:sz w:val="20"/>
                <w:szCs w:val="20"/>
                <w:color w:val="auto"/>
              </w:rPr>
            </w:pPr>
            <w:r>
              <w:rPr>
                <w:rFonts w:ascii="Times New Roman" w:cs="Times New Roman" w:eastAsia="Times New Roman" w:hAnsi="Times New Roman"/>
                <w:sz w:val="13"/>
                <w:szCs w:val="13"/>
                <w:b w:val="1"/>
                <w:bCs w:val="1"/>
                <w:color w:val="auto"/>
                <w:w w:val="94"/>
              </w:rPr>
              <w:t>Suite 401</w:t>
            </w:r>
          </w:p>
        </w:tc>
        <w:tc>
          <w:tcPr>
            <w:tcW w:w="2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197"/>
        </w:trPr>
        <w:tc>
          <w:tcPr>
            <w:tcW w:w="376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Woodland Park, New Jersey</w:t>
            </w:r>
          </w:p>
        </w:tc>
        <w:tc>
          <w:tcPr>
            <w:tcW w:w="2900" w:type="dxa"/>
            <w:vAlign w:val="bottom"/>
          </w:tcPr>
          <w:p>
            <w:pPr>
              <w:spacing w:after="0"/>
              <w:rPr>
                <w:sz w:val="17"/>
                <w:szCs w:val="17"/>
                <w:color w:val="auto"/>
              </w:rPr>
            </w:pPr>
          </w:p>
        </w:tc>
        <w:tc>
          <w:tcPr>
            <w:tcW w:w="4620" w:type="dxa"/>
            <w:vAlign w:val="bottom"/>
            <w:gridSpan w:val="2"/>
          </w:tcPr>
          <w:p>
            <w:pPr>
              <w:jc w:val="right"/>
              <w:ind w:right="2756"/>
              <w:spacing w:after="0"/>
              <w:rPr>
                <w:sz w:val="20"/>
                <w:szCs w:val="20"/>
                <w:color w:val="auto"/>
              </w:rPr>
            </w:pPr>
            <w:r>
              <w:rPr>
                <w:rFonts w:ascii="Times New Roman" w:cs="Times New Roman" w:eastAsia="Times New Roman" w:hAnsi="Times New Roman"/>
                <w:sz w:val="13"/>
                <w:szCs w:val="13"/>
                <w:b w:val="1"/>
                <w:bCs w:val="1"/>
                <w:color w:val="auto"/>
              </w:rPr>
              <w:t>07424</w:t>
            </w:r>
          </w:p>
        </w:tc>
      </w:tr>
      <w:tr>
        <w:trPr>
          <w:trHeight w:val="149"/>
        </w:trPr>
        <w:tc>
          <w:tcPr>
            <w:tcW w:w="3760" w:type="dxa"/>
            <w:vAlign w:val="bottom"/>
          </w:tcPr>
          <w:p>
            <w:pPr>
              <w:jc w:val="center"/>
              <w:ind w:left="141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20" w:type="dxa"/>
            <w:vAlign w:val="bottom"/>
          </w:tcPr>
          <w:p>
            <w:pPr>
              <w:jc w:val="center"/>
              <w:ind w:right="179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435"/>
        </w:trPr>
        <w:tc>
          <w:tcPr>
            <w:tcW w:w="3760" w:type="dxa"/>
            <w:vAlign w:val="bottom"/>
          </w:tcPr>
          <w:p>
            <w:pPr>
              <w:spacing w:after="0"/>
              <w:rPr>
                <w:sz w:val="24"/>
                <w:szCs w:val="24"/>
                <w:color w:val="auto"/>
              </w:rPr>
            </w:pPr>
          </w:p>
        </w:tc>
        <w:tc>
          <w:tcPr>
            <w:tcW w:w="290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(973) 771-0300</w:t>
            </w: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48"/>
        </w:trPr>
        <w:tc>
          <w:tcPr>
            <w:tcW w:w="3760" w:type="dxa"/>
            <w:vAlign w:val="bottom"/>
          </w:tcPr>
          <w:p>
            <w:pPr>
              <w:spacing w:after="0"/>
              <w:rPr>
                <w:sz w:val="12"/>
                <w:szCs w:val="12"/>
                <w:color w:val="auto"/>
              </w:rPr>
            </w:pPr>
          </w:p>
        </w:tc>
        <w:tc>
          <w:tcPr>
            <w:tcW w:w="7520" w:type="dxa"/>
            <w:vAlign w:val="bottom"/>
            <w:gridSpan w:val="3"/>
          </w:tcPr>
          <w:p>
            <w:pPr>
              <w:jc w:val="center"/>
              <w:ind w:right="3696"/>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r>
      <w:tr>
        <w:trPr>
          <w:trHeight w:val="108"/>
        </w:trPr>
        <w:tc>
          <w:tcPr>
            <w:tcW w:w="3760" w:type="dxa"/>
            <w:vAlign w:val="bottom"/>
          </w:tcPr>
          <w:p>
            <w:pPr>
              <w:spacing w:after="0"/>
              <w:rPr>
                <w:sz w:val="9"/>
                <w:szCs w:val="9"/>
                <w:color w:val="auto"/>
              </w:rPr>
            </w:pPr>
          </w:p>
        </w:tc>
        <w:tc>
          <w:tcPr>
            <w:tcW w:w="2900" w:type="dxa"/>
            <w:vAlign w:val="bottom"/>
          </w:tcPr>
          <w:p>
            <w:pPr>
              <w:jc w:val="center"/>
              <w:ind w:left="786"/>
              <w:spacing w:after="0"/>
              <w:rPr>
                <w:sz w:val="20"/>
                <w:szCs w:val="20"/>
                <w:color w:val="auto"/>
              </w:rPr>
            </w:pPr>
            <w:r>
              <w:rPr>
                <w:rFonts w:ascii="Times New Roman" w:cs="Times New Roman" w:eastAsia="Times New Roman" w:hAnsi="Times New Roman"/>
                <w:sz w:val="8"/>
                <w:szCs w:val="8"/>
                <w:color w:val="auto"/>
              </w:rPr>
              <w:t>______________________________________________</w:t>
            </w:r>
          </w:p>
        </w:tc>
        <w:tc>
          <w:tcPr>
            <w:tcW w:w="500" w:type="dxa"/>
            <w:vAlign w:val="bottom"/>
          </w:tcPr>
          <w:p>
            <w:pPr>
              <w:spacing w:after="0"/>
              <w:rPr>
                <w:sz w:val="9"/>
                <w:szCs w:val="9"/>
                <w:color w:val="auto"/>
              </w:rPr>
            </w:pPr>
          </w:p>
        </w:tc>
        <w:tc>
          <w:tcPr>
            <w:tcW w:w="4120" w:type="dxa"/>
            <w:vAlign w:val="bottom"/>
          </w:tcPr>
          <w:p>
            <w:pPr>
              <w:spacing w:after="0"/>
              <w:rPr>
                <w:sz w:val="9"/>
                <w:szCs w:val="9"/>
                <w:color w:val="auto"/>
              </w:rPr>
            </w:pPr>
          </w:p>
        </w:tc>
      </w:tr>
      <w:tr>
        <w:trPr>
          <w:trHeight w:val="358"/>
        </w:trPr>
        <w:tc>
          <w:tcPr>
            <w:tcW w:w="3760" w:type="dxa"/>
            <w:vAlign w:val="bottom"/>
          </w:tcPr>
          <w:p>
            <w:pPr>
              <w:spacing w:after="0"/>
              <w:rPr>
                <w:sz w:val="24"/>
                <w:szCs w:val="24"/>
                <w:color w:val="auto"/>
              </w:rPr>
            </w:pPr>
          </w:p>
        </w:tc>
        <w:tc>
          <w:tcPr>
            <w:tcW w:w="7520" w:type="dxa"/>
            <w:vAlign w:val="bottom"/>
            <w:gridSpan w:val="3"/>
          </w:tcPr>
          <w:p>
            <w:pPr>
              <w:jc w:val="center"/>
              <w:ind w:right="367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96"/>
        </w:trPr>
        <w:tc>
          <w:tcPr>
            <w:tcW w:w="37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r>
        <w:trPr>
          <w:trHeight w:val="17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900" w:type="dxa"/>
            <w:vAlign w:val="bottom"/>
            <w:tcBorders>
              <w:bottom w:val="single" w:sz="8" w:color="auto"/>
            </w:tcBorders>
          </w:tcPr>
          <w:p>
            <w:pPr>
              <w:jc w:val="center"/>
              <w:ind w:left="406"/>
              <w:spacing w:after="0"/>
              <w:rPr>
                <w:sz w:val="20"/>
                <w:szCs w:val="20"/>
                <w:color w:val="auto"/>
              </w:rPr>
            </w:pPr>
            <w:r>
              <w:rPr>
                <w:rFonts w:ascii="Times New Roman" w:cs="Times New Roman" w:eastAsia="Times New Roman" w:hAnsi="Times New Roman"/>
                <w:sz w:val="14"/>
                <w:szCs w:val="14"/>
                <w:color w:val="auto"/>
                <w:w w:val="99"/>
              </w:rPr>
              <w:t>Trading Symbol(s)</w:t>
            </w:r>
          </w:p>
        </w:tc>
        <w:tc>
          <w:tcPr>
            <w:tcW w:w="500" w:type="dxa"/>
            <w:vAlign w:val="bottom"/>
            <w:tcBorders>
              <w:bottom w:val="single" w:sz="8" w:color="auto"/>
              <w:right w:val="single" w:sz="8" w:color="auto"/>
            </w:tcBorders>
          </w:tcPr>
          <w:p>
            <w:pPr>
              <w:spacing w:after="0"/>
              <w:rPr>
                <w:sz w:val="14"/>
                <w:szCs w:val="14"/>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29"/>
        </w:trPr>
        <w:tc>
          <w:tcPr>
            <w:tcW w:w="3760" w:type="dxa"/>
            <w:vAlign w:val="bottom"/>
            <w:tcBorders>
              <w:left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 $0.0001 par value</w:t>
            </w:r>
          </w:p>
        </w:tc>
        <w:tc>
          <w:tcPr>
            <w:tcW w:w="2900" w:type="dxa"/>
            <w:vAlign w:val="bottom"/>
          </w:tcPr>
          <w:p>
            <w:pPr>
              <w:jc w:val="center"/>
              <w:ind w:left="406"/>
              <w:spacing w:after="0" w:line="129" w:lineRule="exact"/>
              <w:rPr>
                <w:sz w:val="20"/>
                <w:szCs w:val="20"/>
                <w:color w:val="auto"/>
              </w:rPr>
            </w:pPr>
            <w:r>
              <w:rPr>
                <w:rFonts w:ascii="Times New Roman" w:cs="Times New Roman" w:eastAsia="Times New Roman" w:hAnsi="Times New Roman"/>
                <w:sz w:val="14"/>
                <w:szCs w:val="14"/>
                <w:b w:val="1"/>
                <w:bCs w:val="1"/>
                <w:color w:val="auto"/>
                <w:w w:val="97"/>
              </w:rPr>
              <w:t>ATEX</w:t>
            </w:r>
          </w:p>
        </w:tc>
        <w:tc>
          <w:tcPr>
            <w:tcW w:w="500" w:type="dxa"/>
            <w:vAlign w:val="bottom"/>
            <w:tcBorders>
              <w:right w:val="single" w:sz="8" w:color="auto"/>
            </w:tcBorders>
          </w:tcPr>
          <w:p>
            <w:pPr>
              <w:spacing w:after="0"/>
              <w:rPr>
                <w:sz w:val="11"/>
                <w:szCs w:val="11"/>
                <w:color w:val="auto"/>
              </w:rPr>
            </w:pPr>
          </w:p>
        </w:tc>
        <w:tc>
          <w:tcPr>
            <w:tcW w:w="41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r>
        <w:trPr>
          <w:trHeight w:val="428"/>
        </w:trPr>
        <w:tc>
          <w:tcPr>
            <w:tcW w:w="3760" w:type="dxa"/>
            <w:vAlign w:val="bottom"/>
          </w:tcPr>
          <w:p>
            <w:pPr>
              <w:spacing w:after="0"/>
              <w:rPr>
                <w:sz w:val="24"/>
                <w:szCs w:val="24"/>
                <w:color w:val="auto"/>
              </w:rPr>
            </w:pPr>
          </w:p>
        </w:tc>
        <w:tc>
          <w:tcPr>
            <w:tcW w:w="7520" w:type="dxa"/>
            <w:vAlign w:val="bottom"/>
            <w:gridSpan w:val="3"/>
          </w:tcPr>
          <w:p>
            <w:pPr>
              <w:jc w:val="center"/>
              <w:ind w:right="3696"/>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r>
      <w:tr>
        <w:trPr>
          <w:trHeight w:val="377"/>
        </w:trPr>
        <w:tc>
          <w:tcPr>
            <w:tcW w:w="1128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371"/>
        </w:trPr>
        <w:tc>
          <w:tcPr>
            <w:tcW w:w="66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Yes</w:t>
            </w:r>
          </w:p>
        </w:tc>
        <w:tc>
          <w:tcPr>
            <w:tcW w:w="4620" w:type="dxa"/>
            <w:vAlign w:val="bottom"/>
            <w:gridSpan w:val="2"/>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spacing w:after="0" w:line="186"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8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87"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3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59"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7"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6" w:lineRule="exact"/>
        <w:rPr>
          <w:sz w:val="24"/>
          <w:szCs w:val="24"/>
          <w:color w:val="auto"/>
        </w:rPr>
      </w:pPr>
    </w:p>
    <w:p>
      <w:pPr>
        <w:ind w:right="4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5"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7" w:lineRule="exact"/>
        <w:rPr>
          <w:sz w:val="24"/>
          <w:szCs w:val="24"/>
          <w:color w:val="auto"/>
        </w:rPr>
      </w:pPr>
    </w:p>
    <w:p>
      <w:pPr>
        <w:spacing w:after="0" w:line="150" w:lineRule="exact"/>
        <w:tabs>
          <w:tab w:leader="none" w:pos="53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Yes</w:t>
      </w:r>
      <w:r>
        <w:rPr>
          <w:rFonts w:ascii="MS PGothic" w:cs="MS PGothic" w:eastAsia="MS PGothic" w:hAnsi="MS PGothic"/>
          <w:sz w:val="13"/>
          <w:szCs w:val="13"/>
          <w:color w:val="auto"/>
        </w:rPr>
        <w:t xml:space="preserve">  ☒ </w:t>
      </w:r>
      <w:r>
        <w:rPr>
          <w:rFonts w:ascii="Times New Roman" w:cs="Times New Roman" w:eastAsia="Times New Roman" w:hAnsi="Times New Roman"/>
          <w:sz w:val="13"/>
          <w:szCs w:val="13"/>
          <w:color w:val="auto"/>
        </w:rPr>
        <w:t>No</w:t>
      </w:r>
    </w:p>
    <w:p>
      <w:pPr>
        <w:spacing w:after="0" w:line="251" w:lineRule="exact"/>
        <w:rPr>
          <w:sz w:val="24"/>
          <w:szCs w:val="24"/>
          <w:color w:val="auto"/>
        </w:rPr>
      </w:pPr>
    </w:p>
    <w:p>
      <w:pPr>
        <w:ind w:right="160"/>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registrant’s voting common and non-voting stock held by non-affiliates of the registrant based on the closing stock price of its common stock on the Nasdaq Capital Market on September 30, 2025 (the last business day of its most recently completed second fiscal quarter) was $241,938,984. For purposes of this computation only, all executive officers, directors and 10% or greater stockholders have been deemed affiliates of the registrant.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June 19, 2026, 19,498,473 shares of the registrant’s common stock were outstanding.</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 xml:space="preserve">Portions of the registrant’s definitive proxy statement to be filed with the Securities and Exchange Commission pursuant to Regulation 14A in connection with the registrant’s </w:t>
      </w:r>
      <w:r>
        <w:rPr>
          <w:rFonts w:ascii="Times New Roman" w:cs="Times New Roman" w:eastAsia="Times New Roman" w:hAnsi="Times New Roman"/>
          <w:sz w:val="14"/>
          <w:szCs w:val="14"/>
          <w:color w:val="auto"/>
        </w:rPr>
        <w:t>2026</w:t>
      </w:r>
      <w:r>
        <w:rPr>
          <w:rFonts w:ascii="Times New Roman" w:cs="Times New Roman" w:eastAsia="Times New Roman" w:hAnsi="Times New Roman"/>
          <w:sz w:val="13"/>
          <w:szCs w:val="13"/>
          <w:color w:val="auto"/>
        </w:rPr>
        <w:t xml:space="preserve"> Annual Meeting of Stockholders, which will be filed subsequent to the date hereof, are incorporated by reference into Part III of this Form 10-K where indicated. Such definitive proxy statement will be filed with the Securities and Exchange Commission no later than 120 days following the end of the registrant’s fiscal year ended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34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280" w:type="dxa"/>
            <w:vAlign w:val="bottom"/>
          </w:tcPr>
          <w:p>
            <w:pPr>
              <w:spacing w:after="0"/>
              <w:rPr>
                <w:sz w:val="14"/>
                <w:szCs w:val="14"/>
                <w:color w:val="auto"/>
              </w:rPr>
            </w:pPr>
          </w:p>
        </w:tc>
        <w:tc>
          <w:tcPr>
            <w:tcW w:w="820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Anterix Inc.</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1280" w:type="dxa"/>
            <w:vAlign w:val="bottom"/>
          </w:tcPr>
          <w:p>
            <w:pPr>
              <w:spacing w:after="0"/>
              <w:rPr>
                <w:sz w:val="14"/>
                <w:szCs w:val="14"/>
                <w:color w:val="auto"/>
              </w:rPr>
            </w:pPr>
          </w:p>
        </w:tc>
        <w:tc>
          <w:tcPr>
            <w:tcW w:w="820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FORM 10-K</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1280" w:type="dxa"/>
            <w:vAlign w:val="bottom"/>
          </w:tcPr>
          <w:p>
            <w:pPr>
              <w:spacing w:after="0"/>
              <w:rPr>
                <w:sz w:val="16"/>
                <w:szCs w:val="16"/>
                <w:color w:val="auto"/>
              </w:rPr>
            </w:pPr>
          </w:p>
        </w:tc>
        <w:tc>
          <w:tcPr>
            <w:tcW w:w="820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For the fiscal year ended March 31, 2026</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40"/>
        </w:trPr>
        <w:tc>
          <w:tcPr>
            <w:tcW w:w="1280" w:type="dxa"/>
            <w:vAlign w:val="bottom"/>
          </w:tcPr>
          <w:p>
            <w:pPr>
              <w:spacing w:after="0"/>
              <w:rPr>
                <w:sz w:val="24"/>
                <w:szCs w:val="24"/>
                <w:color w:val="auto"/>
              </w:rPr>
            </w:pPr>
          </w:p>
        </w:tc>
        <w:tc>
          <w:tcPr>
            <w:tcW w:w="820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8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Business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1A.</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Risk Factors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1B.</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1C.</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Cybersecurity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2.</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3.</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Legal Proceedings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4.</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Mine Safety Disclosures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5.</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6.</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[Reserved]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7.</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7A.</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8.</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9.</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9A.</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Controls and Procedures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9B.</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Information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9C.</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10.</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11.</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Executive Compensation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12.</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13.</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14.</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Item 15.</w:t>
            </w:r>
          </w:p>
        </w:tc>
        <w:tc>
          <w:tcPr>
            <w:tcW w:w="8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Exhibit and Financial Statement Schedules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5"/>
                <w:szCs w:val="15"/>
                <w:color w:val="auto"/>
              </w:rPr>
            </w:pPr>
          </w:p>
        </w:tc>
      </w:tr>
      <w:tr>
        <w:trPr>
          <w:trHeight w:val="180"/>
        </w:trPr>
        <w:tc>
          <w:tcPr>
            <w:tcW w:w="1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Item 16.</w:t>
            </w:r>
          </w:p>
        </w:tc>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Form 10-K Summary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5"/>
                <w:szCs w:val="15"/>
                <w:color w:val="auto"/>
              </w:rPr>
            </w:pPr>
          </w:p>
        </w:tc>
      </w:tr>
      <w:tr>
        <w:trPr>
          <w:trHeight w:val="186"/>
        </w:trPr>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8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6"/>
                <w:szCs w:val="16"/>
                <w:color w:val="auto"/>
              </w:rPr>
            </w:pPr>
          </w:p>
        </w:tc>
      </w:tr>
      <w:tr>
        <w:trPr>
          <w:trHeight w:val="3889"/>
        </w:trPr>
        <w:tc>
          <w:tcPr>
            <w:tcW w:w="128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4"/>
          <w:szCs w:val="14"/>
          <w:b w:val="1"/>
          <w:bCs w:val="1"/>
          <w:color w:val="auto"/>
        </w:rPr>
        <w:t>Glossary of Selected Terms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otherwise noted or indicated by context, the following selected terms used in this Annual Report on Form 10-K have the following meanings:</w:t>
      </w:r>
    </w:p>
    <w:p>
      <w:pPr>
        <w:spacing w:after="0" w:line="92" w:lineRule="exact"/>
        <w:rPr>
          <w:sz w:val="20"/>
          <w:szCs w:val="20"/>
          <w:color w:val="auto"/>
        </w:rPr>
      </w:pPr>
    </w:p>
    <w:p>
      <w:pPr>
        <w:ind w:right="46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240 Channels: </w:t>
      </w:r>
      <w:r>
        <w:rPr>
          <w:rFonts w:ascii="Times New Roman" w:cs="Times New Roman" w:eastAsia="Times New Roman" w:hAnsi="Times New Roman"/>
          <w:sz w:val="14"/>
          <w:szCs w:val="14"/>
          <w:color w:val="auto"/>
        </w:rPr>
        <w:t>Equals 6 MHz of 900 MHz spectrum whether the individual 25 kHz channels are scattered throughout the 5 x 5 or 10 MHz 900 MHz band or are contained within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contiguous 3 x 3 or 6 MHz broadband segment.</w:t>
      </w:r>
    </w:p>
    <w:p>
      <w:pPr>
        <w:spacing w:after="0" w:line="35" w:lineRule="exact"/>
        <w:rPr>
          <w:sz w:val="20"/>
          <w:szCs w:val="20"/>
          <w:color w:val="auto"/>
        </w:rPr>
      </w:pPr>
    </w:p>
    <w:p>
      <w:pPr>
        <w:ind w:right="48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3 x 3 or 6 MHz: </w:t>
      </w:r>
      <w:r>
        <w:rPr>
          <w:rFonts w:ascii="Times New Roman" w:cs="Times New Roman" w:eastAsia="Times New Roman" w:hAnsi="Times New Roman"/>
          <w:sz w:val="14"/>
          <w:szCs w:val="14"/>
          <w:color w:val="auto"/>
        </w:rPr>
        <w:t>The broadband segment of the 900 MHz band (897.5 - 900.5 / 936.5 - 939.5 MHz) is authorized for a total of 6 MHz of spectrum, with 3 MHz designated for uplink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transmissions and 3 MHz for downlink transmissions.</w:t>
      </w:r>
    </w:p>
    <w:p>
      <w:pPr>
        <w:spacing w:after="0" w:line="35" w:lineRule="exact"/>
        <w:rPr>
          <w:sz w:val="20"/>
          <w:szCs w:val="20"/>
          <w:color w:val="auto"/>
        </w:rPr>
      </w:pPr>
    </w:p>
    <w:p>
      <w:pPr>
        <w:ind w:right="14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5 x 5 or 10 MHz: </w:t>
      </w:r>
      <w:r>
        <w:rPr>
          <w:rFonts w:ascii="Times New Roman" w:cs="Times New Roman" w:eastAsia="Times New Roman" w:hAnsi="Times New Roman"/>
          <w:sz w:val="14"/>
          <w:szCs w:val="14"/>
          <w:color w:val="auto"/>
        </w:rPr>
        <w:t>The narrowband and broadband segment of the 900 MHz band (896 - 901 / 935 - 940 MHz) are authorized for a total of 10 MHz of spectrum, with 5 MHz designated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uplink transmissions and 5 MHz for downlink transmissions.</w:t>
      </w:r>
    </w:p>
    <w:p>
      <w:pPr>
        <w:spacing w:after="0" w:line="35" w:lineRule="exact"/>
        <w:rPr>
          <w:sz w:val="20"/>
          <w:szCs w:val="20"/>
          <w:color w:val="auto"/>
        </w:rPr>
      </w:pPr>
    </w:p>
    <w:p>
      <w:pPr>
        <w:ind w:right="14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3GPP</w:t>
      </w:r>
      <w:r>
        <w:rPr>
          <w:rFonts w:ascii="Times New Roman" w:cs="Times New Roman" w:eastAsia="Times New Roman" w:hAnsi="Times New Roman"/>
          <w:sz w:val="14"/>
          <w:szCs w:val="14"/>
          <w:color w:val="auto"/>
        </w:rPr>
        <w:t>: The 3rd Generation Partnership Project is the standards organization that develops protocols for mobile telecommunications, such as Radio Access Networks, Services and Systems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Aspects, and Core Network and Terminals.</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4G: </w:t>
      </w:r>
      <w:r>
        <w:rPr>
          <w:rFonts w:ascii="Times New Roman" w:cs="Times New Roman" w:eastAsia="Times New Roman" w:hAnsi="Times New Roman"/>
          <w:sz w:val="14"/>
          <w:szCs w:val="14"/>
          <w:color w:val="auto"/>
        </w:rPr>
        <w:t>4th generation of radio system architecture.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5G: </w:t>
      </w:r>
      <w:r>
        <w:rPr>
          <w:rFonts w:ascii="Times New Roman" w:cs="Times New Roman" w:eastAsia="Times New Roman" w:hAnsi="Times New Roman"/>
          <w:sz w:val="14"/>
          <w:szCs w:val="14"/>
          <w:color w:val="auto"/>
        </w:rPr>
        <w:t>5th generation of radio system architecture.</w:t>
      </w:r>
    </w:p>
    <w:p>
      <w:pPr>
        <w:spacing w:after="0" w:line="94" w:lineRule="exact"/>
        <w:rPr>
          <w:sz w:val="20"/>
          <w:szCs w:val="20"/>
          <w:color w:val="auto"/>
        </w:rPr>
      </w:pPr>
    </w:p>
    <w:p>
      <w:pPr>
        <w:ind w:right="22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600 MHz Auction: </w:t>
      </w:r>
      <w:r>
        <w:rPr>
          <w:rFonts w:ascii="Times New Roman" w:cs="Times New Roman" w:eastAsia="Times New Roman" w:hAnsi="Times New Roman"/>
          <w:sz w:val="14"/>
          <w:szCs w:val="14"/>
          <w:color w:val="auto"/>
        </w:rPr>
        <w:t>The Federal Communications Commission’s (the “FCC”) 2016 “incentive auction” in which licensees of television broadcast channels were incentivized to relinquish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spectrum for defined payments so the spectrum could be repurposed for licensed wireless services.</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900 MHz: </w:t>
      </w:r>
      <w:r>
        <w:rPr>
          <w:rFonts w:ascii="Times New Roman" w:cs="Times New Roman" w:eastAsia="Times New Roman" w:hAnsi="Times New Roman"/>
          <w:sz w:val="14"/>
          <w:szCs w:val="14"/>
          <w:color w:val="auto"/>
        </w:rPr>
        <w:t>The 900 MHz band frequency ranges between 896 - 901 / 935 - 940 MHz.</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900 MHz Broadband Spectrum or 900 MHz Broadband Segment: </w:t>
      </w:r>
      <w:r>
        <w:rPr>
          <w:rFonts w:ascii="Times New Roman" w:cs="Times New Roman" w:eastAsia="Times New Roman" w:hAnsi="Times New Roman"/>
          <w:sz w:val="14"/>
          <w:szCs w:val="14"/>
          <w:color w:val="auto"/>
        </w:rPr>
        <w:t>The 900 MHz band authorized for broadband (897.5 - 900.5 / 936.5 - 939.5 MHz).</w:t>
      </w:r>
    </w:p>
    <w:p>
      <w:pPr>
        <w:spacing w:after="0" w:line="94"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Anti-Windfall Payment: </w:t>
      </w:r>
      <w:r>
        <w:rPr>
          <w:rFonts w:ascii="Times New Roman" w:cs="Times New Roman" w:eastAsia="Times New Roman" w:hAnsi="Times New Roman"/>
          <w:sz w:val="14"/>
          <w:szCs w:val="14"/>
          <w:color w:val="auto"/>
        </w:rPr>
        <w:t>A payment to the U.S. Treasury from a 900 MHz broadband applicant, if the applicant relinquishes less than 6 MHz (or 240 channels) of spectrum for any full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fractional MHz less than 6 MHz for 3 x 3 applicants or less than 10 MHz (or 399 channels) of spectrum for any full or fractional MHz less than 10 MHz for 5 x 5 applicants. The payment is based on the 600 MHz Auction prices for the Partial Economic Area in which the county applied for by the broadband applicant is included.</w:t>
      </w:r>
    </w:p>
    <w:p>
      <w:pPr>
        <w:spacing w:after="0" w:line="49"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Band 106 or n106: </w:t>
      </w:r>
      <w:r>
        <w:rPr>
          <w:rFonts w:ascii="Times New Roman" w:cs="Times New Roman" w:eastAsia="Times New Roman" w:hAnsi="Times New Roman"/>
          <w:sz w:val="14"/>
          <w:szCs w:val="14"/>
          <w:color w:val="auto"/>
        </w:rPr>
        <w:t>The broadband segment of the 900 MHz band (896 - 901 / 935 - 940 MHz), designated as LTE Band 106 (B106) or n106 (5G designation), is seen as critical for utilities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modernize grid communication.</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Band 8: </w:t>
      </w:r>
      <w:r>
        <w:rPr>
          <w:rFonts w:ascii="Times New Roman" w:cs="Times New Roman" w:eastAsia="Times New Roman" w:hAnsi="Times New Roman"/>
          <w:sz w:val="14"/>
          <w:szCs w:val="14"/>
          <w:color w:val="auto"/>
        </w:rPr>
        <w:t>LTE Band 8, also known as the 900 MHz band, is a frequency band used for both 2G GSM and 4G LTE mobile communications.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B/ILT: </w:t>
      </w:r>
      <w:r>
        <w:rPr>
          <w:rFonts w:ascii="Times New Roman" w:cs="Times New Roman" w:eastAsia="Times New Roman" w:hAnsi="Times New Roman"/>
          <w:sz w:val="14"/>
          <w:szCs w:val="14"/>
          <w:color w:val="auto"/>
        </w:rPr>
        <w:t>Systems operated by, or spectrum licensed for, private land mobile use by business users.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Complex System: </w:t>
      </w:r>
      <w:r>
        <w:rPr>
          <w:rFonts w:ascii="Times New Roman" w:cs="Times New Roman" w:eastAsia="Times New Roman" w:hAnsi="Times New Roman"/>
          <w:sz w:val="14"/>
          <w:szCs w:val="14"/>
          <w:color w:val="auto"/>
        </w:rPr>
        <w:t>As defined in the 2020 Report and Order, a Covered Incumbent’s system that consisted of 45 or more functionally integrated sites as of May 13, 2020.</w:t>
      </w:r>
    </w:p>
    <w:p>
      <w:pPr>
        <w:spacing w:after="0" w:line="94"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Covered Incumbent: </w:t>
      </w:r>
      <w:r>
        <w:rPr>
          <w:rFonts w:ascii="Times New Roman" w:cs="Times New Roman" w:eastAsia="Times New Roman" w:hAnsi="Times New Roman"/>
          <w:sz w:val="14"/>
          <w:szCs w:val="14"/>
          <w:color w:val="auto"/>
        </w:rPr>
        <w:t>Any 900 MHz site-based licensee in the broadband segment that is required under section 90.621(b) to be protected by a broadband licensee with a base station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location within the county, or any 900 MHz geographic-based Specialized Mobile Radio (“SMR”) licensee in the 3 x 3 MHz broadband segment or 5 x 5 900 MHz frequency range whose license area completely or partially overlaps the county.</w:t>
      </w:r>
    </w:p>
    <w:p>
      <w:pPr>
        <w:spacing w:after="0" w:line="49"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Eligibility Certification: </w:t>
      </w:r>
      <w:r>
        <w:rPr>
          <w:rFonts w:ascii="Times New Roman" w:cs="Times New Roman" w:eastAsia="Times New Roman" w:hAnsi="Times New Roman"/>
          <w:sz w:val="14"/>
          <w:szCs w:val="14"/>
          <w:color w:val="auto"/>
        </w:rPr>
        <w:t>A document submitted to the FCC as part of the broadband application that lists the licenses the applicant holds in the 900 MHz band to demonstrate that it holds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licenses for more than 50% of the total licensed 900 MHz spectrum for the relevant county, including credit for spectrum contained in a contract to acquire any covered incumbents filed on or after March 14, 2019 (i.e., the 50% Licensed Spectrum Test).</w:t>
      </w:r>
    </w:p>
    <w:p>
      <w:pPr>
        <w:spacing w:after="0" w:line="4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FCC: </w:t>
      </w:r>
      <w:r>
        <w:rPr>
          <w:rFonts w:ascii="Times New Roman" w:cs="Times New Roman" w:eastAsia="Times New Roman" w:hAnsi="Times New Roman"/>
          <w:sz w:val="14"/>
          <w:szCs w:val="14"/>
          <w:color w:val="auto"/>
        </w:rPr>
        <w:t>The Federal Communications Commission, an independent U.S. government agency overseen by Congress, is the United States’ primary authority for communications law, regulation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technological innovation. The FCC regulates interstate and international communications by radio, television, wire, satellite and cable in all 50 states, the District of Columbia and U.S. territories.</w:t>
      </w:r>
    </w:p>
    <w:p>
      <w:pPr>
        <w:spacing w:after="0" w:line="35" w:lineRule="exact"/>
        <w:rPr>
          <w:sz w:val="20"/>
          <w:szCs w:val="20"/>
          <w:color w:val="auto"/>
        </w:rPr>
      </w:pPr>
    </w:p>
    <w:p>
      <w:pPr>
        <w:ind w:right="78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Integrated Platform: </w:t>
      </w:r>
      <w:r>
        <w:rPr>
          <w:rFonts w:ascii="Times New Roman" w:cs="Times New Roman" w:eastAsia="Times New Roman" w:hAnsi="Times New Roman"/>
          <w:sz w:val="14"/>
          <w:szCs w:val="14"/>
          <w:color w:val="auto"/>
        </w:rPr>
        <w:t>A cloud-based 4G/5G core, enabling greater resilience and enhanced services between participating networks, including mutual aid, cybersecurity, shared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infrastructure, and integration of distributed energy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579755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 w:name="page4"/>
    <w:bookmarkEnd w:id="3"/>
    <w:p>
      <w:pPr>
        <w:ind w:right="22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Licensed Channel: </w:t>
      </w:r>
      <w:r>
        <w:rPr>
          <w:rFonts w:ascii="Times New Roman" w:cs="Times New Roman" w:eastAsia="Times New Roman" w:hAnsi="Times New Roman"/>
          <w:sz w:val="14"/>
          <w:szCs w:val="14"/>
          <w:color w:val="auto"/>
        </w:rPr>
        <w:t>Any of the 399 12.5 kHz narrowband 900 MHz channels for which there is a current, active FCC license to an existing entity. Not all 900 MHz channels are currently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as some channels are held in the FCC inventory. The FCC will provide credit to the broadband applicant for incumbent channels cancelled pursuant to a contract with the broadband applicant.</w:t>
      </w:r>
    </w:p>
    <w:p>
      <w:pPr>
        <w:spacing w:after="0" w:line="49" w:lineRule="exact"/>
        <w:rPr>
          <w:sz w:val="20"/>
          <w:szCs w:val="20"/>
          <w:color w:val="auto"/>
        </w:rPr>
      </w:pPr>
    </w:p>
    <w:p>
      <w:pPr>
        <w:ind w:right="24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Mandatory Retuning: </w:t>
      </w:r>
      <w:r>
        <w:rPr>
          <w:rFonts w:ascii="Times New Roman" w:cs="Times New Roman" w:eastAsia="Times New Roman" w:hAnsi="Times New Roman"/>
          <w:sz w:val="14"/>
          <w:szCs w:val="14"/>
          <w:color w:val="auto"/>
        </w:rPr>
        <w:t>A process by which a 900 MHz broadband licensee can mandatorily relocate a Covered Incumbent to channels outside of the 900 MHz Broadband Segment if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replacement channels provide comparable facilities to the Covered Incumbent’s existing system and the broadband licensee pays all reasonable retuning costs.</w:t>
      </w:r>
    </w:p>
    <w:p>
      <w:pPr>
        <w:spacing w:after="0" w:line="35" w:lineRule="exact"/>
        <w:rPr>
          <w:sz w:val="20"/>
          <w:szCs w:val="20"/>
          <w:color w:val="auto"/>
        </w:rPr>
      </w:pPr>
    </w:p>
    <w:p>
      <w:pPr>
        <w:ind w:right="280" w:firstLine="50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MTA: </w:t>
      </w:r>
      <w:r>
        <w:rPr>
          <w:rFonts w:ascii="Times New Roman" w:cs="Times New Roman" w:eastAsia="Times New Roman" w:hAnsi="Times New Roman"/>
          <w:sz w:val="14"/>
          <w:szCs w:val="14"/>
          <w:color w:val="auto"/>
        </w:rPr>
        <w:t>Major Trading Area; service areas based on the Rand McNally 1992 Commercial Atlas &amp; Marketing Guide, which defines the original geography of the FCC auctioned 900 MHz</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SMR licenses.</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Narrowband Channel: </w:t>
      </w:r>
      <w:r>
        <w:rPr>
          <w:rFonts w:ascii="Times New Roman" w:cs="Times New Roman" w:eastAsia="Times New Roman" w:hAnsi="Times New Roman"/>
          <w:sz w:val="14"/>
          <w:szCs w:val="14"/>
          <w:color w:val="auto"/>
        </w:rPr>
        <w:t>A 900 MHz 25 kHz bandwidth channel.</w:t>
      </w:r>
    </w:p>
    <w:p>
      <w:pPr>
        <w:spacing w:after="0" w:line="94"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PLTE: </w:t>
      </w:r>
      <w:r>
        <w:rPr>
          <w:rFonts w:ascii="Times New Roman" w:cs="Times New Roman" w:eastAsia="Times New Roman" w:hAnsi="Times New Roman"/>
          <w:sz w:val="14"/>
          <w:szCs w:val="14"/>
          <w:color w:val="auto"/>
        </w:rPr>
        <w:t>A private long-term evolution wireless network that is deployed and controlled specifically for the benefit of one organization. Only users authorized by that organization have access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network. The organization determines coverage, network performance, access and priority, the appropriate service level required for operations, specific cyber and physical security specifications and policies required for the network.</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Retuning: </w:t>
      </w:r>
      <w:r>
        <w:rPr>
          <w:rFonts w:ascii="Times New Roman" w:cs="Times New Roman" w:eastAsia="Times New Roman" w:hAnsi="Times New Roman"/>
          <w:sz w:val="14"/>
          <w:szCs w:val="14"/>
          <w:color w:val="auto"/>
        </w:rPr>
        <w:t>Modifying an incumbent’s narrowband system to operate on channels outside the 900 MHZ Broadband Segment established by the Report and Order.</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Swapping: </w:t>
      </w:r>
      <w:r>
        <w:rPr>
          <w:rFonts w:ascii="Times New Roman" w:cs="Times New Roman" w:eastAsia="Times New Roman" w:hAnsi="Times New Roman"/>
          <w:sz w:val="14"/>
          <w:szCs w:val="14"/>
          <w:color w:val="auto"/>
        </w:rPr>
        <w:t>Exchanging narrowband channels outside the 900 MHz Broadband Segment for the broadband segment channels held by a Covered Incumbent.</w:t>
      </w:r>
    </w:p>
    <w:p>
      <w:pPr>
        <w:spacing w:after="0" w:line="9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Transition Plan: </w:t>
      </w:r>
      <w:r>
        <w:rPr>
          <w:rFonts w:ascii="Times New Roman" w:cs="Times New Roman" w:eastAsia="Times New Roman" w:hAnsi="Times New Roman"/>
          <w:sz w:val="14"/>
          <w:szCs w:val="14"/>
          <w:color w:val="auto"/>
        </w:rPr>
        <w:t>A document filed as part of the broadband application that demonstrates that the broadband license applicant holds, or has agreements to acquire, cancel, relocate or protect,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least 90% of the licensed channels in the 900 MHz Broadband Segment of Covered Incumbents in or within 70 miles of the county (i.e., the 90% Broadband Segment Test). The 2026 Report and Order require the broadband application to demonstrate that the broadband license applicant holds, or has agreements to acquire, cancel, relocate or protect, 100% of the licensed channels in the 900 MHz Broadband Segment of Covered Incumbents in or within 70 miles of the county for a 5 x 5 MHz Broadband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711835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9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Various statements contained in this Annual Report on Form 10-K (the “Annual Report”), including those that express a belief, expectation, or intention, as well as those that are not statements of historical fact, are forward-looking statements. Our forward-looking statements are generally, but not always, accompanied by words such as, but not limited to, “aim,” “anticipate,” “believe,” “can,” “continue,” “could,” “estimate,” “expect,” “goal,” “intend,” “may,” “might,” “ongoing,” “plan,” “possible,” “potential,” “predict,” “project,” “seek,” “should,” “strategy,” “target,” “will,” “would” and similar expressions or phrases, or the negative of those expressions or phrases, or other words that convey the uncertainty of future events or outcomes, which are intended to identify forward-looking statements, although not all forward-looking statements contain these words. We have based these forward-looking statements on our current expectations, guidance and projections and related assumptions about future events and financial trends. While our management considers these expectations, guidance, projections and assumptions to be reasonable, they are inherently subject to significant business, economic, competitive, regulatory and other risks, contingencies and uncertainties, most of which are difficult to predict and many of which are beyond our control. There can be no assurance that actual developments will be as we anticipate. Actual results may differ materially from those expressed or implied in these statements as a result of significant risks and uncertainties, including, but not limited to:</w:t>
      </w:r>
    </w:p>
    <w:p>
      <w:pPr>
        <w:spacing w:after="0" w:line="3" w:lineRule="exact"/>
        <w:rPr>
          <w:sz w:val="20"/>
          <w:szCs w:val="20"/>
          <w:color w:val="auto"/>
        </w:rPr>
      </w:pPr>
    </w:p>
    <w:p>
      <w:pPr>
        <w:ind w:left="640" w:right="8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our spectrum assets to our targeted utility and critical infrastructure customers on a timely basis, and on commercially favorable terms, including our ability to monetize our spectrum on financial terms consistent with our business plan and assumptions;</w:t>
      </w:r>
    </w:p>
    <w:p>
      <w:pPr>
        <w:ind w:left="640" w:right="36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satisfy our obligations, including the delivery of cleared spectrum and broadband licenses, and the other contingencies required by our commercial agreements with our customers on a timely basis and on commercially reasonable terms;</w:t>
      </w: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market and sell and deliver new products and services offerings, in addition to our spectrum assets, to our targeted and critical infrastructure customers;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compete against third parties who offer spectrum and communication technologies, products and solutions to our targeted customers;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our business in light of macroeconomic pressures, including but not limited to inflation, regulatory and policy changes, and geopolitical matters;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correctly estimate our cash receipts, revenues and operating expenses and our future financial needs;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our operating and financial projections and guidance;</w:t>
      </w:r>
    </w:p>
    <w:p>
      <w:pPr>
        <w:spacing w:after="0" w:line="8" w:lineRule="exact"/>
        <w:rPr>
          <w:rFonts w:ascii="Times New Roman" w:cs="Times New Roman" w:eastAsia="Times New Roman" w:hAnsi="Times New Roman"/>
          <w:sz w:val="14"/>
          <w:szCs w:val="14"/>
          <w:color w:val="auto"/>
        </w:rPr>
      </w:pPr>
    </w:p>
    <w:p>
      <w:pPr>
        <w:ind w:left="640" w:right="48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support our future operations and business plans and return capital to our stockholders through our share repurchase program with our existing cash resources and the proceeds we generate from our commercial operations without raising additional capital through the issuance of stock or debt securities;</w:t>
      </w:r>
    </w:p>
    <w:p>
      <w:pPr>
        <w:ind w:left="640" w:right="16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qualify for and obtain broadband licenses in a timely manner or at all from the FCC in accordance with the requirements of the Report and Order approved by the FCC on May 13, 2020 (the “2020 Report and Order”) and the Report and Order approved by the FCC on February 18, 2026 (the “2026 Report and Order”, collectively, the “Report and Order”);</w:t>
      </w: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retune, protect, cancel or acquire Covered Incumbent narrowband channels, including Complex Systems, in a timely manner and on commercially reasonable terms, or at all;</w:t>
      </w:r>
    </w:p>
    <w:p>
      <w:pPr>
        <w:spacing w:after="0" w:line="8" w:lineRule="exact"/>
        <w:rPr>
          <w:rFonts w:ascii="Times New Roman" w:cs="Times New Roman" w:eastAsia="Times New Roman" w:hAnsi="Times New Roman"/>
          <w:sz w:val="14"/>
          <w:szCs w:val="14"/>
          <w:color w:val="auto"/>
        </w:rPr>
      </w:pPr>
    </w:p>
    <w:p>
      <w:pPr>
        <w:ind w:left="640" w:right="42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our efforts to encourage federal and state agencies and commissions supporting the deployment of broadband networks and services by our targeted customers;</w:t>
      </w: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any narrowband and broadband licenses that we own, acquire and/or obtain;</w:t>
      </w:r>
    </w:p>
    <w:p>
      <w:pPr>
        <w:spacing w:after="0" w:line="8" w:lineRule="exact"/>
        <w:rPr>
          <w:rFonts w:ascii="Times New Roman" w:cs="Times New Roman" w:eastAsia="Times New Roman" w:hAnsi="Times New Roman"/>
          <w:sz w:val="14"/>
          <w:szCs w:val="14"/>
          <w:color w:val="auto"/>
        </w:rPr>
      </w:pPr>
    </w:p>
    <w:p>
      <w:pPr>
        <w:ind w:left="640" w:right="60" w:hanging="253"/>
        <w:spacing w:after="0" w:line="253"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changes in government regulations or actions and the impact of such changes on our business prospects, liquidity and results of operations, including any changes by the FCC to the Report and Order or to the FCC rules and regulations governing the 900 MHz band;</w:t>
      </w: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the amount of repurchases and the related impact to our common stock relating to our share repurchase program;</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maintain an effective system of internal controls; and</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statements regarding the factors that may impact our financial results and stock price.</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These and other important factors, including those discussed under “Item 1. Business,” “Item 1A. Risk Factors” and “Item 7. Management’s Discussion and Analysis of Financial Condition and Results of Operations” within this Annual Report may cause our actual results, performance or achievements to differ materially from any future results, performance or achievements expressed or implied by these forward-looking statements. Therefore, you are cautioned not to place undue reliance on such statements. Further, any forward-looking statement speaks only as of the date on which it is made, and except to the extent required by applicable law, we undertake no obligation to update any forward-looking statement to reflect events or circumstances after the date on which the statement is made or to reflect the occurrence of unanticipated events,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color w:val="auto"/>
        </w:rPr>
        <w:t>We have prepared the following summary of the principal risks to our business and the risks associated with ownership of our common stock. This summary does not address all of the risks that we face. We encourage you to carefully review the full risk factors contained in this Annual Report in their entirety for additional information regarding the material factors that make an investment in our securities speculative or risky. These risks and uncertainties include, but are not limited to, the following:</w:t>
      </w:r>
    </w:p>
    <w:p>
      <w:pPr>
        <w:ind w:left="640" w:right="40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commercializing our spectrum assets to our targeted utility and critical infrastructure customers on a timely basis, and on commercially favorable terms, including our ability to monetize our spectrum on financial terms consistent with our business plan and assumptions;</w:t>
      </w:r>
    </w:p>
    <w:p>
      <w:pPr>
        <w:ind w:left="640" w:right="4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agreements with our customers are subject to contingencies and obligations, including the delivery of cleared spectrum and broadband licenses on a timely basis, and as a result, there is no assurance that we will receive payments from such customers in the amounts and on the timeline we currently expect, or that any payments we have received to date will not be subject to repayment, or that we will not be subject to contract claims, including rights of termination;</w:t>
      </w: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developing, marketing, selling and delivering new products and services offerings to our targeted utility and critical infrastructure customers;</w:t>
      </w:r>
    </w:p>
    <w:p>
      <w:pPr>
        <w:spacing w:after="0" w:line="8" w:lineRule="exact"/>
        <w:rPr>
          <w:rFonts w:ascii="Times New Roman" w:cs="Times New Roman" w:eastAsia="Times New Roman" w:hAnsi="Times New Roman"/>
          <w:sz w:val="14"/>
          <w:szCs w:val="14"/>
          <w:color w:val="auto"/>
        </w:rPr>
      </w:pPr>
    </w:p>
    <w:p>
      <w:pPr>
        <w:ind w:left="640" w:right="10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competing against other spectrum holders who offer spectrum to our target customers, including the buyer of T-Mobile’s 800 MHz spectrum. In addition, many of the third parties who offer spectrum and communication technologies, products, services and solutions to our targeted customers have existing long-term relationships with these targeted customers and have significantly more resources and greater political and regulatory influence than we do, and we may not be able to successfully compete with these third parties;</w:t>
      </w:r>
    </w:p>
    <w:p>
      <w:pPr>
        <w:ind w:left="64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conditions, including as the result of tariffs and inflation, may adversely affect our business or the businesses of our target customers, which could have an adverse effect on our commercialization efforts;</w:t>
      </w:r>
    </w:p>
    <w:p>
      <w:pPr>
        <w:ind w:left="640" w:right="4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generate funds through our commercialization operations as planned or correctly estimate our operating expenses, future cash proceeds or future revenues, which could lead to cash shortfalls, and may prevent us from returning capital to our stockholders and require us to secure additional financing;</w:t>
      </w: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unique business model, and our business activities, strategic approaches and plans may not be successful;</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had net losses most years since our inception and may not achieve or maintain profitability in the future;</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spectrum assets may fluctuate significantly based on supply and demand, as well as technical and regulatory changes;</w:t>
      </w:r>
    </w:p>
    <w:p>
      <w:pPr>
        <w:spacing w:after="0" w:line="8" w:lineRule="exact"/>
        <w:rPr>
          <w:rFonts w:ascii="Times New Roman" w:cs="Times New Roman" w:eastAsia="Times New Roman" w:hAnsi="Times New Roman"/>
          <w:sz w:val="14"/>
          <w:szCs w:val="14"/>
          <w:color w:val="auto"/>
        </w:rPr>
      </w:pPr>
    </w:p>
    <w:p>
      <w:pPr>
        <w:ind w:left="640" w:right="4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commercialize our 900 MHz spectrum assets depend on our ability to continue to qualify for and obtain broadband licenses from the FCC in accordance with the requirements of the Report and Order, including the enhanced standards required to qualify for the 5 x 5 MHz broadband licenses under the 2026 Report and Order;</w:t>
      </w:r>
    </w:p>
    <w:p>
      <w:pPr>
        <w:ind w:left="640" w:right="72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voluntary exchange process established by the FCC in the Report and Order may not allow us to clear or relocate incumbents in certain counties in a timely manner and on commercially reasonable terms, or at all;</w:t>
      </w:r>
    </w:p>
    <w:p>
      <w:pPr>
        <w:ind w:left="640" w:right="20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clearing process established by the FCC in the Report and Order, which exempts Complex Systems from mandatory retuning, may not allow us to retune or relocate incumbents in a timely manner and on commercially reasonable terms, or at all;</w:t>
      </w: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initiatives with the federal and state agencies and commissions that regulate electric utilities may not be successful, which may impact our commercialization efforts;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any narrowband and broadband licenses that we own and/or obtain from the FCC;</w:t>
      </w:r>
    </w:p>
    <w:p>
      <w:pPr>
        <w:spacing w:after="0" w:line="8" w:lineRule="exact"/>
        <w:rPr>
          <w:rFonts w:ascii="Times New Roman" w:cs="Times New Roman" w:eastAsia="Times New Roman" w:hAnsi="Times New Roman"/>
          <w:sz w:val="14"/>
          <w:szCs w:val="14"/>
          <w:color w:val="auto"/>
        </w:rPr>
      </w:pPr>
    </w:p>
    <w:p>
      <w:pPr>
        <w:ind w:left="640" w:right="2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or actions taken by governmental bodies could adversely affect our business prospects, liquidity and results of operations, including any changes by the FCC to the Report and Order or to the FCC rules and regulations governing the 900 MHz band;</w:t>
      </w:r>
    </w:p>
    <w:p>
      <w:pPr>
        <w:ind w:left="640" w:right="20" w:hanging="253"/>
        <w:spacing w:after="0" w:line="25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shutdowns could affect our ability to obtain broadband licenses from the FCC, which could adversely impact our ability to comply with our contractual obligations and to commercialize our 900 MHz spectrum assets;</w:t>
      </w: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our executive officers and key personnel and to attract, retain and motivate qualified personnel;</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of ownership will limit our stockholders’ ability to influence corporate matters; and</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utilize the full value of the share repurchase program approved by our stockholders as expected,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585470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Anterix Inc. (“Anterix,” “we,” “our,” or the “Company”) is the nation’s largest holder of licensed 900 MHz spectrum (896-901/935-940 MHz) with coverage spanning the contiguous United States, Hawaii, Alaska, and Puerto Rico. Our mission is to transform critical infrastructure connectivity, commercialize our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56"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During fiscal 2026, we evolved our business strategy. Building on our foundational 900 MHz spectrum position, we transitioned from a model focused predominantly on long-term spectrum leasing to a broader operating model. In the ordinary course of business, we now secure and expand our spectrum position, clear and retune spectrum, monetize spectrum through both sales and long-term leases, and develop a growing portfolio of products and services offerings around our spectrum that are designed to generate recurring revenue. Together, these activities form the foundation of how we generate revenue today and how we expect to generate revenue over time. Our new brand and visual identity, introduced during the fourth quarter, reflects this evolution.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2026 Highlights and Accomplishments</w:t>
      </w:r>
    </w:p>
    <w:p>
      <w:pPr>
        <w:spacing w:after="0" w:line="25" w:lineRule="exact"/>
        <w:rPr>
          <w:sz w:val="20"/>
          <w:szCs w:val="20"/>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Executed new spectrum sale agreements with CPS Energy (“CPS”), Texas-New Mexico Power (“TNMP”), and NorthWestern Energy (“NWE”).</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year end, in April 2026, we entered into a new spectrum sale agreement with Benton PUD.</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18, 2026, the FCC adopted the 2026 Report and Order to expand the 900 MHz broadband segment from 6 MHz to 10 MHz.</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$127.0 million of contracted proceeds from customers with $50 million of contracted proceeds outstanding.</w:t>
      </w:r>
    </w:p>
    <w:p>
      <w:pPr>
        <w:spacing w:after="0" w:line="8" w:lineRule="exact"/>
        <w:rPr>
          <w:rFonts w:ascii="Times New Roman" w:cs="Times New Roman" w:eastAsia="Times New Roman" w:hAnsi="Times New Roman"/>
          <w:sz w:val="14"/>
          <w:szCs w:val="14"/>
          <w:color w:val="auto"/>
        </w:rPr>
      </w:pPr>
    </w:p>
    <w:p>
      <w:pPr>
        <w:ind w:left="640" w:hanging="253"/>
        <w:spacing w:after="0" w:line="198"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Launched TowerX</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a tower site access service, and CatalyX®, a turnkey connectivity management solution</w:t>
      </w: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Delivered broadband licenses to customers in 155 counties and recorded a $34.8 million gain on the sale of intangible assets.</w:t>
      </w:r>
    </w:p>
    <w:p>
      <w:pPr>
        <w:spacing w:after="0" w:line="7"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Exchanged narrowband for broadband licenses in 219 counties and recorded a $105.4 million gain.</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Repurchased 43,175 shares of Anterix stock to return capital to our stockholders for a total of $1.0 million.</w:t>
      </w:r>
    </w:p>
    <w:p>
      <w:pPr>
        <w:spacing w:after="0" w:line="8" w:lineRule="exact"/>
        <w:rPr>
          <w:rFonts w:ascii="Times New Roman" w:cs="Times New Roman" w:eastAsia="Times New Roman" w:hAnsi="Times New Roman"/>
          <w:sz w:val="14"/>
          <w:szCs w:val="14"/>
          <w:color w:val="auto"/>
        </w:rPr>
      </w:pPr>
    </w:p>
    <w:p>
      <w:pPr>
        <w:ind w:left="640" w:right="320" w:hanging="253"/>
        <w:spacing w:after="0" w:line="266"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Evolved our business strategy from a predominantly lease-based model to a broader operating model under which we acquire, clear, sell and lease spectrum and develop products and services offerings around it, and unveiled a new brand and visual identity reflecting this evolution.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Strategy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strategy positions our 900 MHz spectrum as the linchpin of an integrated, end-to-end operating model. In the ordinary course of business, we (i) secure and expand our spectrum</w:t>
      </w:r>
    </w:p>
    <w:p>
      <w:pPr>
        <w:spacing w:after="0" w:line="4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position, (ii) clear and retune spectrum to convert our nationwide narrowband holdings into broadband, (iii) monetize that spectrum through sales or long-term leases and (iv) develop and deliver a growing suite of products, services offerings and ecosystem solutions, including TowerX, CatalyX and the Anterix Active Ecosystem, that are designed to generate recurring revenue as customer networks are deployed and operated. Each of these activities is a recurring part of how we operate and generate revenue today and expect to generate in the future, and together they are designed to capture the full value of our spectrum across its lifecycle. We serve utility and critical infrastructure enterprises tackling the defining challenges of grid modernization, operational resilience, cybersecurity, remote automation, real-time monitoring, and AI-enabled edge applications. Our solutions are purpose-built to support digital transformation and infrastructure modernization at scale, providing the security, performance, and reliability the modern grid demands.</w:t>
      </w:r>
    </w:p>
    <w:p>
      <w:pPr>
        <w:spacing w:after="0" w:line="61" w:lineRule="exact"/>
        <w:rPr>
          <w:sz w:val="20"/>
          <w:szCs w:val="20"/>
          <w:color w:val="auto"/>
        </w:rPr>
      </w:pPr>
    </w:p>
    <w:p>
      <w:pPr>
        <w:jc w:val="both"/>
        <w:ind w:right="340" w:firstLine="509"/>
        <w:spacing w:after="0" w:line="264" w:lineRule="auto"/>
        <w:rPr>
          <w:sz w:val="20"/>
          <w:szCs w:val="20"/>
          <w:color w:val="auto"/>
        </w:rPr>
      </w:pPr>
      <w:r>
        <w:rPr>
          <w:rFonts w:ascii="Times New Roman" w:cs="Times New Roman" w:eastAsia="Times New Roman" w:hAnsi="Times New Roman"/>
          <w:sz w:val="14"/>
          <w:szCs w:val="14"/>
          <w:color w:val="auto"/>
        </w:rPr>
        <w:t>Our value proposition increasingly extends beyond spectrum. Through TowerX, CatalyX, and the Anterix Active Ecosystem, which includes more than 150 technology innovators, we provide customers with a complete and integrated, pathway from spectrum acquisition to network deployment and operation. These offerings are designed to reduce implementation complexity, support more efficient deployment timelines, and enable scalable solutions that align with customers’ evolving operational requirements. As customers deploy and operate their networks, these offerings are designed to generate recurring revenue that extends our customer relationships beyond the initial spectrum sale or lease.</w:t>
      </w:r>
    </w:p>
    <w:p>
      <w:pPr>
        <w:spacing w:after="0" w:line="5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As previously noted, in February 2026 the FCC unanimously adopted its 2026 Report and Order, “Maximizing the Potential of the 900 MHz Band,” enabling broadband deployment across the full 10 megahertz of the band. This action enhances the utility and capacity of our spectrum holdings and supports the continued development of our platform and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202565</wp:posOffset>
            </wp:positionV>
            <wp:extent cx="71481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Evolution of Our Operating Model</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Today, acquiring, clearing, selling, leasing and developing products and services offerings around our spectrum are all undertaken in the ordinary course of business. This represents a change from our historical approach, under which we monetized spectrum predominantly through long-term leases and sold spectrum assets only to utilities operating within Complex Systems on a case-by-case basis. During fiscal 2026, as the market matured and utilities increasingly focused on selecting the ownership structure (sale or lease) that best aligned with their operational, regulatory and financial objectives, we evolved our commercial approach to meet customers through either structure. As a result of this change in strategy, spectrum sale agreements entered into after December 31, 2025 are entered into in the ordinary course of business, and the related revenue and cost of sales are recognized on a gross basis in accordance with ASC 606. The products and services offerings we develop around our spectrum are designed to generate recurring revenue as customer networks are deployed and operated, supporting revenue generation on an ongoing basis. For the discussion of the change in our spectrum sale agreement accounting and presentation, refer to Note 2 </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b w:val="1"/>
          <w:bCs w:val="1"/>
          <w:i w:val="1"/>
          <w:iCs w:val="1"/>
          <w:color w:val="auto"/>
        </w:rPr>
        <w:t>ummary of Significant Accounting Policies</w:t>
      </w:r>
      <w:r>
        <w:rPr>
          <w:rFonts w:ascii="Times New Roman" w:cs="Times New Roman" w:eastAsia="Times New Roman" w:hAnsi="Times New Roman"/>
          <w:sz w:val="14"/>
          <w:szCs w:val="14"/>
          <w:color w:val="auto"/>
        </w:rPr>
        <w:t xml:space="preserve"> in the Notes to the Consolidated Financial Statements contained within this Annual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Spectrum Assets</w:t>
      </w:r>
    </w:p>
    <w:p>
      <w:pPr>
        <w:spacing w:after="0" w:line="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Our spectrum is our most valuable owned asset. We acquired the majority of our 900 MHz spectrum, along with certain related equipment, from Sprint in September 2014. In the 900 MHz band, the FCC historically allocated approximately 10 MHz of spectrum, sub-divided into 40 10-channel blocks (for a total of 399 contiguous channels) alternating between blocks designated for the operation of SMR commercial systems and blocks designated for B/ILT, with the FCC’s rules also enabling B/ILT licenses to be converted to SMR use. Subsequently, the FCC conducted overlay auctions on the SMR designated blocks that awarded geographic-based licenses on an MTA basis while affording operational protection to incumbent, site-based licensees in those areas. Certain MTA licenses have been returned to the FCC. In addition, the FCC never auctioned the 20 blocks of B/ILT spectrum in the United States. The licensees acquired site-based licenses utilizing this spectrum through the initial application and coordination procedure, which has been frozen since 2017. As a result, the FCC is currently holding over 28% of 900 MHz narrowband spectrum in its inventory throughout the United States. We hold, or have held, licenses nationwide that cover over 59% of MHz Population (“MHzPop”) in the 900 MHz band in the United States.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Broadband Licenses</w:t>
      </w:r>
    </w:p>
    <w:p>
      <w:pPr>
        <w:spacing w:after="0" w:line="9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2026, we were cumulatively granted by the FCC broadband licenses for 419 counties, inclusive of 159 licenses transferred to customers. As a result, we relinquished to the FCC our narrowband licenses and if necessary, made the Anti-Windfall Payments for the same 419 counties, as required by the Report and Order.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Converting our Nationwide Narrowband 900 MHz Spectrum Position to Broadband</w:t>
      </w:r>
    </w:p>
    <w:p>
      <w:pPr>
        <w:spacing w:after="0" w:line="10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conversion of our spectrum holdings from narrowband to broadband licenses on a nationwide basis is a foundational element of our two-pronged strategy and supports the execution of our broader business objectives. To achieve this conversion, we are focused on clearing incumbents out of the broadband license segment and obtaining broadband licenses in counties (i) in which we have customer contracts, (ii) where we believe we have near-term commercial prospects, or (iii) that we consider strategically advantageous to optimize the cost of broadband licensing over time.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Secure Broadband Licenses</w:t>
      </w:r>
    </w:p>
    <w:p>
      <w:pPr>
        <w:spacing w:after="0" w:line="10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In the Report and Order, the FCC chose to make counties the “base unit of measure” for calculating whether an entity is eligible to hold a broadband license. As a result of this decision and our extensive accumulated spectrum holdings, Anterix, and only Anterix, is an essential party in every one of the nation’s 3,233 counties.</w:t>
      </w:r>
    </w:p>
    <w:p>
      <w:pPr>
        <w:spacing w:after="0" w:line="50"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While we intend to prioritize our spectrum transactions in areas where we have identified customer opportunities, we also plan to pursue spectrum transactions opportunistically to generate returns on our investment in spectrum clearing costs. We have taken a proactive approach to these efforts and have completed and expect to continue pursuing spectrum transactions to support our efforts to satisfy the broadband license eligibility requirements.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Clear Covered Incumbents</w:t>
      </w:r>
    </w:p>
    <w:p>
      <w:pPr>
        <w:spacing w:after="0" w:line="106"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We have been proactive in our spectrum clearing efforts in anticipation of the broadband licensing process. Our dedicated clearing team is focused on negotiating agreements to transition Covered Incumbents from the 3 x 3 MHz broadband segment of the 900 MHz spectrum band into segments designated for continued narrowband operations within the 900 MHz band or, where appropriate, out of 900 MHz band entirely. To date, we have successfully negotiated and executed agreements representing approximately 87% of the transactions required to clear the licensed 900 MHz Broadband segment channels, including six Complex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394970</wp:posOffset>
            </wp:positionV>
            <wp:extent cx="71481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Deploying our Commercial and Product Business Offering</w:t>
      </w:r>
    </w:p>
    <w:p>
      <w:pPr>
        <w:spacing w:after="0" w:line="117" w:lineRule="exact"/>
        <w:rPr>
          <w:sz w:val="20"/>
          <w:szCs w:val="20"/>
          <w:color w:val="auto"/>
        </w:rPr>
      </w:pPr>
    </w:p>
    <w:p>
      <w:pPr>
        <w:ind w:right="180" w:firstLine="509"/>
        <w:spacing w:after="0" w:line="263" w:lineRule="auto"/>
        <w:rPr>
          <w:sz w:val="20"/>
          <w:szCs w:val="20"/>
          <w:color w:val="auto"/>
        </w:rPr>
      </w:pPr>
      <w:r>
        <w:rPr>
          <w:rFonts w:ascii="Times New Roman" w:cs="Times New Roman" w:eastAsia="Times New Roman" w:hAnsi="Times New Roman"/>
          <w:sz w:val="14"/>
          <w:szCs w:val="14"/>
          <w:color w:val="auto"/>
        </w:rPr>
        <w:t>Following the completion of the 2020 Report and Order and the subsequent work to advance deployment of broadband in the 900 MHz band, we have entered the second key prong of our strategy: establishing our commercial position and accelerating adoption of our primary commercial offering. We are implementing this strategy through a coordinated set of initiatives including:</w:t>
      </w:r>
    </w:p>
    <w:p>
      <w:pPr>
        <w:spacing w:after="0" w:line="1"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targeted outreach and education by our sales, marketing, business development, commercial operations and industry government affairs teams;</w:t>
      </w:r>
    </w:p>
    <w:p>
      <w:pPr>
        <w:spacing w:after="0" w:line="10"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in the Utilities Broadband Alliance (“UBBA”), other industry associations and at relevant industry events;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with vendors to expand the Anterix Active Ecosystem (“AAE”);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advancement or our Utility Strategic Advisory Board (“USAB”);</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provision of connectivity and SIM management through CatalyX; and</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deployment of tower access and optimization services through TowerX.</w:t>
      </w:r>
    </w:p>
    <w:p>
      <w:pPr>
        <w:spacing w:after="0" w:line="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primary objective of our business is to monetize the broadband licenses we secure to customers. Based on our analysis and discussions with current and prospective customers to date, we are observing strong and growing indications of demand for PLTE networks using 900 MHz spectrum. Under our model, we are responsible for the costs associated with securing the broadband licenses from the FCC, including clearing costs and satisfying broadband eligibility requirements. In contrast, we expect that our customers will fund the deployment and ongoing operation of their private broadband networks, technologies and related solutions. In addition, we continue to evaluate additional opportunities to provide value-added solutions and services to utilities and other critical infrastructure industries in support of network deployment, operations, and grid modernization initiatives.</w:t>
      </w:r>
    </w:p>
    <w:p>
      <w:pPr>
        <w:spacing w:after="0" w:line="6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Accordingly, our approach to advancing this strategy includes: 1) progressing prospective customers through the pipeline by supporting their evaluation and decision making process related to private wireless networks; 2) engaging with federal and state agencies to encourage policies that support the investment in and deployment of PLTE solutions in the 900 MHz band; 3) participating in demonstrations and testing with organizations such as the National Renewable Energy Lab (“NREL”), Pacific Northwest National Lab and National Institute of Standards and Technology (“NIST”) to validate PLTE benefits; 4) developing expanded value-added product and services offerings; 5) enabling and scaling the AAE; 6) engaging through UBBA and other relevant industry associations to promote our solution; 7) enhancing product and deployment execution to connect and secure devices that measure, monitor, or control the flow of power; and 8) continuously evaluating opportunities to expand use cases for private wireless broadband networks built on 900 MHz broadband spectrum.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Continue to Build the Customer Pipeline</w:t>
      </w:r>
    </w:p>
    <w:p>
      <w:pPr>
        <w:spacing w:after="0" w:line="106"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Our sales and support teams are actively working in coordination with representatives from our target customers, LTE infrastructure vendors, end-user device manufacturers, system integrators and other technology companies in addition to responding to Requests for Information (“RFI”), Requests for Proposals (“RFP”) and requests to support technology trials related to using our 900 MHz spectrum for broadband services. Currently, there is one experimental license granted to noncustomer utilities and four experimental licenses granted to other vendors and labs to showcase and promote the use of 900 MHz Broadband Spectrum.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Build Support with Federal and State Agencies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vast majority of our targeted critical infrastructure customers are highly regulated by both federal and state agencies. Electric utilities, for example, may be regulated by the Federal Energy Regulatory Commission, the Public Utilities Commissions within the states they serve and/or other state and municipal governance and regulatory bodies. Other agencies that guide utility regulations include the Department of Energy, the Department of Homeland Security, and NIST, as well as regional transmission organizations and independent system operators. We are working with each of these agencies to educate them about the security, reliability and priority access benefits that private broadband wireless networks, technologies and solutions can offer to utilities. We are also working with a number of state agencies and commissions that regulate electric utilities and have a strong influence over electric utility investment decisions. Our goal with these stakeholders is to ensure they have the appropriate information and are properly educated on the substantial benefits of utility-scale private wireless broadband networks for end-use customers so they can confidently approve investments made by utilities including the costs of procuring our spectrum assets and deploying private broadband LTE networks, technologies and solutions into their respective rate making filings. Their understanding and appreciation that utility control of communications for grid modernization programs enhances the utilities’ ability to provide safe, secure, reliable and resilient electricity for ratepayers is essential. When included in rate bases, utilities are permitted to recover costs and earn a customary rate of return on these prudent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560070</wp:posOffset>
            </wp:positionV>
            <wp:extent cx="71481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Engagement in UBBA and Industry Associations</w:t>
      </w:r>
    </w:p>
    <w:p>
      <w:pPr>
        <w:spacing w:after="0" w:line="10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4"/>
          <w:szCs w:val="14"/>
          <w:color w:val="auto"/>
        </w:rPr>
        <w:t>To further support pipeline development and accelerate ecosystem adoption, we continue to expand our engagement through industry alliances and advisory initiatives. The UBBA membership currently includes 38 electric utilities and subsidiaries among its more than 100 members. The AAE targets the Nation’s electric grid innovators and includes participation of over 150 innovative technology companies that provide deployment and application solutions for private broadband networks. We launched the AAE to foster, strengthen, and expand the landscape of 900 MHz devices, services offerings and solutions. Participation from the broad range of technology innovators is intended to bring significant value to utilities and other critical infrastructure providers who deploy PLTE. Our USAB is composed of executives from both current and prospective utility customers, offering strategic guidance on issues where we can harness collective action to benefit their respective organizations, especially through the AAE, and other strategic initiatives.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Develop a Roadmap for Expanded Services</w:t>
      </w:r>
    </w:p>
    <w:p>
      <w:pPr>
        <w:spacing w:after="0" w:line="10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Through our day-to-day interactions with prospective utility and critical infrastructure customers, and our responses and subsequent discussions related to RFIs and RFPs, we have identified additional areas of opportunity to support our current and prospective customers in the implementation and operation of PLTE networks. We are actively evaluating solutions to address these customer needs, including using our internal expertise, collaborating with industry partners and working with specific service providers.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Identify and Evaluate New Opportunities for Our Spectrum</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The wireless communications industry is highly competitive and subject to rapid regulatory, technological and market changes. A key part of our business strategy is to continually monitor changes in the wireless industry and to evaluate how these changes could enable us to maximize the value of our spectrum assets. Additionally, although we are initially focusing on the electric utility industry, we have identified other customer groups, including ports, railroads, water, oil and gas facilities, and mining operations, where we believe there is both customer demand and a good fit for the private wireless broadband networks, technologies, and solutions that our spectrum assets could support. Additionally, Lynk Global, Inc. recently requested experimental authority from the FCC to use 900 MHz spectrum to communicate with our mobile and fixed wireless devices at certain test locations. This test is consistent with the new generation of commercial satellite providers enabling Direct-to-Device services using low-band spectrum. Another example of the demand for low-band spectrum are several pending acquisitions of 600 MHz broadband spectrum licenses for a significant premium to the price for these licenses at FCC auction.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CatalyX</w:t>
      </w:r>
    </w:p>
    <w:p>
      <w:pPr>
        <w:spacing w:after="0" w:line="9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CatalyX is the first AAE commercial service on our integrated platform. CatalyX is a turnkey connectivity management solution that helps utilities realize the benefits of private broadband networks, while leveraging commercial broadband networks. CatalyX simplifies connectivity management by integrating state-of-the-art SIM technology, device SIM management, and private to public roaming to deliver the flexibility and security that utilities require.</w:t>
      </w:r>
    </w:p>
    <w:p>
      <w:pPr>
        <w:spacing w:after="0" w:line="15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Utilities can now efficiently and securely deploy and manage smart grid devices on a private network while optimizing broadband coverage in their service territories. CatalyX provides control and visibility of devices, whether they are connected to the private or public radio access network. With CatalyX, utilities can manage each device SIM remotely, which can reduce operational costs and risks. Through a single dashboard, all aspects of device connectivity can be monitored and managed including connecting to both public and private networks. Utilities can achieve enhanced coverage at various service locations, by connecting to their PLTE network, or roaming on multiple carrier commercial networks.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TowerX</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partnered with Crown Castle, one of the nation’s largest tower companies, to deliver Anterix TowerX, a turnkey, streamlined path to 900 MHz private wireless network deployments, combining a portfolio of qualified tower sites with comprehensive site development. TowerX standardizes processes, leverages collective experience, and delivers measurable benefits helping utilities control costs, reduce project delays, and ensure tower assets are optimized for long-term operational needs. Utilities participating in TowerX will have access to a broad network of tower infrastructure across the U.S. including Crown Castle’s 40,000 plus sites enabling faster deployment of 900 MHz private wireless networks. This collaborative approach enables a more efficient path to connect critical assets, strengthen operational resilience, and enable grid modernization at scale.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Enable the Anterix Active Ecosystem with U.S. Band 8 and Band 106</w:t>
      </w:r>
    </w:p>
    <w:p>
      <w:pPr>
        <w:spacing w:after="0" w:line="9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Our spectrum assets are located in the international 3GPP global standard Band 8 channel which is a frequency division duplex pair assigned to the 880 - 915 / 925 - 960 MHz spectrum bands. This pairing is aligned for use with both 4G and 5G technologies and is currently being utilized with commercial LTE and 5G broadband networks globally in Asia, Europe, and other parts of the world. Our efforts are ongoing to facilitate continued adoption of 900 MHz Band 8 radio access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equipment and end-user devices in the U.S. by working with chipmakers and module and device vendors to help ensure that customers who deploy 900 MHz for private wireless networks have timely access to 3GPP standards-compliant Band 8 devices that meet the technical operating specifications established in the FCC’s Report and Order. We also worked with an FCC certification testing lab to develop testing protocols to enable more efficient and streamlined certification of devices for use in the United States. The benefit of working with a global standard is that many existing devices, network components, and solutions are well suited for the operating environment of our targeted critical infrastructure and enterprise customers. Global standards also provide a long-term path for technology evolution, ensuring forward and backward compatibility, all these benefits therefore extend to Anterix customers. Additionally, we successfully led and completed initiatives in 3GPP to secure enhancements to the US 900 MHz spectrum to benefit our customers, including the designation of a new band, both for LTE and 5G, which received worldwide wireless industry support. We are also working within 3GPP to develop technical specifications for 6G. 3GPP has approved and incorporated Band 106 and n106 in its specifications, designated for LTE and 5G respectively, as a subset of Band 8 in the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Broadband Market Opportunity</w:t>
      </w:r>
    </w:p>
    <w:p>
      <w:pPr>
        <w:spacing w:after="0" w:line="106"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We have currently identified utility and critical infrastructure enterprises as the primary customers for our current and future broadband spectrum assets. We have further identified the electric utility industry as our primary target customer group. We believe that security, priority access, low latency, redundancy, private ownership, control and unique coverage requirements are among the reasons utility and critical infrastructure enterprises would be interested in obtaining rights to deploy private wireless broadband networks, technologies and solutions that can be enabled through use of our licensed spectrum.</w:t>
      </w:r>
    </w:p>
    <w:p>
      <w:pPr>
        <w:spacing w:after="0" w:line="7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The electric utility industry is undergoing a fundamental transformation. Grid modernization efforts and the drive to reduce carbon emissions have changed the need for utilities to build new large-scale, centralized facilities. Today, power is generated by smaller, more geographically distributed facilities that can switch from a power producer to a recipient of power generated by a variety of other disparate sources, including wind and solar installations. Grid architecture must now accommodate end-users that are both generators and consumers, converting back and forth rapidly and carrying power in both directions, something the existing grid was not originally designed to handle. Technological advancements have produced sensors and smart devices to enable the emerging two-way grid and offer operators the ability to control and run the grid efficiently, safely and reliably. The legacy communications systems utilized by many utilities have increasing levels of interference and/or higher cyber threats, are not designed to handle this new data load, are inefficient and costly to maintain, and, in many cases, have associated equipment that is approaching end of life. The 900 MHz private wireless network allows utilities to have full control of the design, construction, and operation of their network. Utility mission-critical applications are prioritized, even in situations when other networks become overloaded or experience disruptions. Such control fosters heightened efficiency, resiliency, security, and responsiveness. This is more relevant than ever in light of recent extreme weather events.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and Product Developments</w:t>
      </w:r>
    </w:p>
    <w:p>
      <w:pPr>
        <w:spacing w:after="0" w:line="96" w:lineRule="exact"/>
        <w:rPr>
          <w:sz w:val="20"/>
          <w:szCs w:val="20"/>
          <w:color w:val="auto"/>
        </w:rPr>
      </w:pPr>
    </w:p>
    <w:p>
      <w:pPr>
        <w:jc w:val="both"/>
        <w:ind w:right="180" w:firstLine="509"/>
        <w:spacing w:after="0" w:line="264" w:lineRule="auto"/>
        <w:rPr>
          <w:sz w:val="20"/>
          <w:szCs w:val="20"/>
          <w:color w:val="auto"/>
        </w:rPr>
      </w:pPr>
      <w:r>
        <w:rPr>
          <w:rFonts w:ascii="Times New Roman" w:cs="Times New Roman" w:eastAsia="Times New Roman" w:hAnsi="Times New Roman"/>
          <w:sz w:val="14"/>
          <w:szCs w:val="14"/>
          <w:color w:val="auto"/>
        </w:rPr>
        <w:t>We have invested in building our business development, sales, marketing and other support teams, which include both external and internal resources, to help foster our evolving customer relationships in furtherance of growing and maturing our pipeline. Since the FCC’s issuance of the 2020 Report and Order, our sales and marketing efforts have been focused on pursuing spectrum lease and sale arrangements, implementing creative spectrum solutions in markets where Complex Systems exist and introducing our integrated platform solutions to our targeted utility and critical infrastructure customers.</w:t>
      </w:r>
    </w:p>
    <w:p>
      <w:pPr>
        <w:spacing w:after="0" w:line="6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Our business development, sales and marketing organizations employ the following three key methods to grow and mature our pipeline: (i) direct account-based sales and marketing efforts directed to our targeted customers; (ii) regulatory outreach and engagement; and (iii) collaboration with industry trade organizations. These efforts are enhanced through sales and marketing partnerships with a variety of third parties, such as integrators and technology and equipment vendors, with whom we will seek active promotion of our broadband spectrum assets and support deployment of our spectrum-enabled solutions, technologies, and services. Additionally, our senior executives and our engineering, technology, commercial operations and marketing teams support our sales efforts through presentations, branded participation through sponsorships and speaking engagements at major trade events, associations and organizations, customer meetings, collateral, and product demonstrations to expand our reach and brand awareness.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1085850</wp:posOffset>
            </wp:positionV>
            <wp:extent cx="714819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900 MHz Broadband Revenue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Spectrum Lease Agreements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our spectrum lease agreements (as defined in the table below and collectively referred to as the “Spectrum Lease Agreements”) include: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Lease Agreements </w:t>
            </w:r>
            <w:r>
              <w:rPr>
                <w:rFonts w:ascii="Times New Roman" w:cs="Times New Roman" w:eastAsia="Times New Roman" w:hAnsi="Times New Roman"/>
                <w:sz w:val="18"/>
                <w:szCs w:val="18"/>
                <w:b w:val="1"/>
                <w:bCs w:val="1"/>
                <w:color w:val="auto"/>
                <w:vertAlign w:val="superscript"/>
              </w:rPr>
              <w:t>(1)</w:t>
            </w: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Initial Term</w:t>
            </w: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Renewal Options</w:t>
            </w: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1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 Remaining</w:t>
            </w:r>
          </w:p>
        </w:tc>
      </w:tr>
      <w:tr>
        <w:trPr>
          <w:trHeight w:val="17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Ameren Corporation (“Ameren”)</w:t>
            </w:r>
          </w:p>
        </w:tc>
        <w:tc>
          <w:tcPr>
            <w:tcW w:w="1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December 2020</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30 - years</w:t>
            </w:r>
          </w:p>
        </w:tc>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10 - years</w:t>
            </w: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$47.7 million</w:t>
            </w:r>
          </w:p>
        </w:tc>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$31.4 million</w:t>
            </w:r>
          </w:p>
        </w:tc>
        <w:tc>
          <w:tcPr>
            <w:tcW w:w="172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4"/>
                <w:szCs w:val="14"/>
                <w:color w:val="auto"/>
              </w:rPr>
              <w:t xml:space="preserve">$16.3 million </w:t>
            </w:r>
            <w:r>
              <w:rPr>
                <w:rFonts w:ascii="Times New Roman" w:cs="Times New Roman" w:eastAsia="Times New Roman" w:hAnsi="Times New Roman"/>
                <w:sz w:val="18"/>
                <w:szCs w:val="18"/>
                <w:color w:val="auto"/>
                <w:vertAlign w:val="superscript"/>
              </w:rPr>
              <w:t>(2)</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Services, Inc. (“Evergy”)</w:t>
            </w: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2021</w:t>
            </w: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$30.2 million</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$30.2 million</w:t>
            </w:r>
          </w:p>
        </w:tc>
        <w:tc>
          <w:tcPr>
            <w:tcW w:w="1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Xcel Energy Services Inc. (“Xcel Energy”)</w:t>
            </w:r>
          </w:p>
        </w:tc>
        <w:tc>
          <w:tcPr>
            <w:tcW w:w="1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October 2022</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$80.0 million</w:t>
            </w:r>
          </w:p>
        </w:tc>
        <w:tc>
          <w:tcPr>
            <w:tcW w:w="1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$76.0 million</w:t>
            </w:r>
          </w:p>
        </w:tc>
        <w:tc>
          <w:tcPr>
            <w:tcW w:w="1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$4.0 million </w:t>
            </w:r>
            <w:r>
              <w:rPr>
                <w:rFonts w:ascii="Times New Roman" w:cs="Times New Roman" w:eastAsia="Times New Roman" w:hAnsi="Times New Roman"/>
                <w:sz w:val="18"/>
                <w:szCs w:val="18"/>
                <w:color w:val="auto"/>
                <w:vertAlign w:val="superscript"/>
              </w:rPr>
              <w:t>(3)</w:t>
            </w: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Tampa Electric Company (“TECO”)</w:t>
            </w: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November 2023</w:t>
            </w: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$34.5 million</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$34.5 million</w:t>
            </w:r>
          </w:p>
        </w:tc>
        <w:tc>
          <w:tcPr>
            <w:tcW w:w="1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r>
    </w:tbl>
    <w:p>
      <w:pPr>
        <w:spacing w:after="0" w:line="56" w:lineRule="exact"/>
        <w:rPr>
          <w:sz w:val="20"/>
          <w:szCs w:val="20"/>
          <w:color w:val="auto"/>
        </w:rPr>
      </w:pPr>
    </w:p>
    <w:p>
      <w:pPr>
        <w:ind w:left="260" w:right="80" w:hanging="255"/>
        <w:spacing w:after="0" w:line="249"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Lease Agreements are subject to customary provisions regarding remedies for non-delivery, including termination rights and refund of amounts paid, if Anterix fails to perform its other contractual obligations, including failure to deliver the relevant cleared 900 MHz Broadband Spectrum in accordance with the terms of the Agreements.</w:t>
      </w:r>
    </w:p>
    <w:p>
      <w:pPr>
        <w:ind w:left="260" w:right="80" w:hanging="255"/>
        <w:spacing w:after="0" w:line="245"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payments of $16.3 million, excluding potential penalties, for the 30-year initial term are due by mid-2026, per the terms of the Ameren Agreements and as we deliver the relevant cleared 900 MHz Broadband Spectrum and the associated broadband leases.</w:t>
      </w:r>
    </w:p>
    <w:p>
      <w:pPr>
        <w:ind w:left="260" w:right="460" w:hanging="255"/>
        <w:spacing w:after="0" w:line="247"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payments of $4.0 million, excluding potential penalties, for the 20-year initial term are due by mid-2028, per the terms of the Xcel Energy Agreement and as we deliver the relevant cleared 900 MHz Broadband Spectrum and the associated broadband 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Spectrum Sale Agreements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our spectrum sale agreements (as defined in the table below and collectively referred to as the “Spectrum Revenue Sale Agreements”) include: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0" w:type="dxa"/>
            <w:vAlign w:val="bottom"/>
          </w:tcPr>
          <w:p>
            <w:pPr>
              <w:spacing w:after="0"/>
              <w:rPr>
                <w:sz w:val="1"/>
                <w:szCs w:val="1"/>
                <w:color w:val="auto"/>
              </w:rPr>
            </w:pPr>
          </w:p>
        </w:tc>
      </w:tr>
      <w:tr>
        <w:trPr>
          <w:trHeight w:val="13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Sale Agreements </w:t>
            </w:r>
            <w:r>
              <w:rPr>
                <w:rFonts w:ascii="Times New Roman" w:cs="Times New Roman" w:eastAsia="Times New Roman" w:hAnsi="Times New Roman"/>
                <w:sz w:val="18"/>
                <w:szCs w:val="18"/>
                <w:b w:val="1"/>
                <w:bCs w:val="1"/>
                <w:color w:val="auto"/>
                <w:vertAlign w:val="superscript"/>
              </w:rPr>
              <w:t>(1)</w:t>
            </w:r>
          </w:p>
        </w:tc>
        <w:tc>
          <w:tcPr>
            <w:tcW w:w="13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1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Total Consideration </w:t>
            </w:r>
            <w:r>
              <w:rPr>
                <w:rFonts w:ascii="Times New Roman" w:cs="Times New Roman" w:eastAsia="Times New Roman" w:hAnsi="Times New Roman"/>
                <w:sz w:val="18"/>
                <w:szCs w:val="18"/>
                <w:b w:val="1"/>
                <w:bCs w:val="1"/>
                <w:color w:val="auto"/>
                <w:vertAlign w:val="superscript"/>
              </w:rPr>
              <w:t>(2)</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remaining</w:t>
            </w:r>
          </w:p>
        </w:tc>
        <w:tc>
          <w:tcPr>
            <w:tcW w:w="920" w:type="dxa"/>
            <w:vAlign w:val="bottom"/>
          </w:tcPr>
          <w:p>
            <w:pPr>
              <w:jc w:val="center"/>
              <w:ind w:left="109"/>
              <w:spacing w:after="0" w:line="138" w:lineRule="exact"/>
              <w:rPr>
                <w:sz w:val="20"/>
                <w:szCs w:val="20"/>
                <w:color w:val="auto"/>
              </w:rPr>
            </w:pPr>
            <w:r>
              <w:rPr>
                <w:rFonts w:ascii="Times New Roman" w:cs="Times New Roman" w:eastAsia="Times New Roman" w:hAnsi="Times New Roman"/>
                <w:sz w:val="14"/>
                <w:szCs w:val="14"/>
                <w:b w:val="1"/>
                <w:bCs w:val="1"/>
                <w:color w:val="auto"/>
                <w:w w:val="99"/>
              </w:rPr>
              <w:t>license(s)</w:t>
            </w:r>
          </w:p>
        </w:tc>
        <w:tc>
          <w:tcPr>
            <w:tcW w:w="300" w:type="dxa"/>
            <w:vAlign w:val="bottom"/>
          </w:tcPr>
          <w:p>
            <w:pPr>
              <w:spacing w:after="0"/>
              <w:rPr>
                <w:sz w:val="11"/>
                <w:szCs w:val="11"/>
                <w:color w:val="auto"/>
              </w:rPr>
            </w:pPr>
          </w:p>
        </w:tc>
        <w:tc>
          <w:tcPr>
            <w:tcW w:w="104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b w:val="1"/>
                <w:bCs w:val="1"/>
                <w:color w:val="auto"/>
                <w:w w:val="99"/>
              </w:rPr>
              <w:t>license(s)</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7"/>
              </w:rPr>
              <w:t>delivered</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 (“CPS”)</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January 2026</w:t>
            </w:r>
          </w:p>
        </w:tc>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$13.0 million</w:t>
            </w:r>
          </w:p>
        </w:tc>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$6.5 million</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$6.5 million</w:t>
            </w:r>
          </w:p>
        </w:tc>
        <w:tc>
          <w:tcPr>
            <w:tcW w:w="92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Texas-New Mexico Power Company (“TNMP”)</w:t>
            </w:r>
          </w:p>
        </w:tc>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March 2026</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$3.2 million</w:t>
            </w:r>
          </w:p>
        </w:tc>
        <w:tc>
          <w:tcPr>
            <w:tcW w:w="1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 million</w:t>
            </w:r>
          </w:p>
        </w:tc>
        <w:tc>
          <w:tcPr>
            <w:tcW w:w="92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NorthWestern Energy (“NWE”)</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March 2026</w:t>
            </w:r>
          </w:p>
        </w:tc>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$7.7 million</w:t>
            </w:r>
          </w:p>
        </w:tc>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$7.7 million</w:t>
            </w: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right="20" w:hanging="255"/>
        <w:spacing w:after="0" w:line="249"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ind w:left="260" w:right="480" w:hanging="255"/>
        <w:spacing w:after="0" w:line="247"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ASC 606, the payments of prepaid fees under the spectrum sale agreements will be accounted for as deferred revenue on the Company’s Consolidated Balance Sheets. Revenue will be recognized for each county once we deliver the cleared 900 MHz Broadband Spectrum and the associated broadband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1964690</wp:posOffset>
            </wp:positionV>
            <wp:extent cx="714819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5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900 MHz Broadband Spectrum Sale Agreements Entered into Prior to December 31, 2025</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980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As of March 31, 2026, our spectrum sale agreements (as defined in the table below and collectively referred to as the “Spectrum Sale Agreements”) include:</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0" w:type="dxa"/>
            <w:vAlign w:val="bottom"/>
          </w:tcPr>
          <w:p>
            <w:pPr>
              <w:spacing w:after="0"/>
              <w:rPr>
                <w:sz w:val="1"/>
                <w:szCs w:val="1"/>
                <w:color w:val="auto"/>
              </w:rPr>
            </w:pPr>
          </w:p>
        </w:tc>
      </w:tr>
      <w:tr>
        <w:trPr>
          <w:trHeight w:val="142"/>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Sale Agreements </w:t>
            </w:r>
            <w:r>
              <w:rPr>
                <w:rFonts w:ascii="Times New Roman" w:cs="Times New Roman" w:eastAsia="Times New Roman" w:hAnsi="Times New Roman"/>
                <w:sz w:val="18"/>
                <w:szCs w:val="18"/>
                <w:b w:val="1"/>
                <w:bCs w:val="1"/>
                <w:color w:val="auto"/>
                <w:vertAlign w:val="superscript"/>
              </w:rPr>
              <w:t>(1)</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16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remaining</w:t>
            </w:r>
          </w:p>
        </w:tc>
        <w:tc>
          <w:tcPr>
            <w:tcW w:w="94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300" w:type="dxa"/>
            <w:vAlign w:val="bottom"/>
          </w:tcPr>
          <w:p>
            <w:pPr>
              <w:spacing w:after="0"/>
              <w:rPr>
                <w:sz w:val="12"/>
                <w:szCs w:val="12"/>
                <w:color w:val="auto"/>
              </w:rPr>
            </w:pPr>
          </w:p>
        </w:tc>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delivered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Diego Gas &amp; Electric (“SDG&amp;E”)</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February 2021</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$50.0 million</w:t>
            </w:r>
          </w:p>
        </w:tc>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$45.6 million </w:t>
            </w:r>
            <w:r>
              <w:rPr>
                <w:rFonts w:ascii="Times New Roman" w:cs="Times New Roman" w:eastAsia="Times New Roman" w:hAnsi="Times New Roman"/>
                <w:sz w:val="8"/>
                <w:szCs w:val="8"/>
                <w:color w:val="auto"/>
              </w:rPr>
              <w:t>(2)</w:t>
            </w:r>
          </w:p>
        </w:tc>
        <w:tc>
          <w:tcPr>
            <w:tcW w:w="1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 million</w:t>
            </w: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Lower Colorado River Authority (“LCRA”)</w:t>
            </w:r>
          </w:p>
        </w:tc>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April 2023</w:t>
            </w:r>
          </w:p>
        </w:tc>
        <w:tc>
          <w:tcPr>
            <w:tcW w:w="1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 million</w:t>
            </w:r>
          </w:p>
        </w:tc>
        <w:tc>
          <w:tcPr>
            <w:tcW w:w="1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$29.3 million</w:t>
            </w:r>
          </w:p>
        </w:tc>
        <w:tc>
          <w:tcPr>
            <w:tcW w:w="1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$0.7 million</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LCRA Expansion Agreement</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2025</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$13.5 million</w:t>
            </w:r>
          </w:p>
        </w:tc>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$6.0 million</w:t>
            </w:r>
          </w:p>
        </w:tc>
        <w:tc>
          <w:tcPr>
            <w:tcW w:w="1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$6.5 million </w:t>
            </w:r>
            <w:r>
              <w:rPr>
                <w:rFonts w:ascii="Times New Roman" w:cs="Times New Roman" w:eastAsia="Times New Roman" w:hAnsi="Times New Roman"/>
                <w:sz w:val="8"/>
                <w:szCs w:val="8"/>
                <w:color w:val="auto"/>
              </w:rPr>
              <w:t>(3)</w:t>
            </w: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Oncor Electric Delivery Company LLC (“Oncor”)</w:t>
            </w:r>
          </w:p>
        </w:tc>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2024</w:t>
            </w:r>
          </w:p>
        </w:tc>
        <w:tc>
          <w:tcPr>
            <w:tcW w:w="1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$102.5 million </w:t>
            </w:r>
            <w:r>
              <w:rPr>
                <w:rFonts w:ascii="Times New Roman" w:cs="Times New Roman" w:eastAsia="Times New Roman" w:hAnsi="Times New Roman"/>
                <w:sz w:val="18"/>
                <w:szCs w:val="18"/>
                <w:color w:val="auto"/>
                <w:vertAlign w:val="superscript"/>
              </w:rPr>
              <w:t>(4)</w:t>
            </w:r>
          </w:p>
        </w:tc>
        <w:tc>
          <w:tcPr>
            <w:tcW w:w="1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$100.6 million </w:t>
            </w:r>
            <w:r>
              <w:rPr>
                <w:rFonts w:ascii="Times New Roman" w:cs="Times New Roman" w:eastAsia="Times New Roman" w:hAnsi="Times New Roman"/>
                <w:sz w:val="18"/>
                <w:szCs w:val="18"/>
                <w:color w:val="auto"/>
                <w:vertAlign w:val="superscript"/>
              </w:rPr>
              <w:t>(4)</w:t>
            </w:r>
          </w:p>
        </w:tc>
        <w:tc>
          <w:tcPr>
            <w:tcW w:w="1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60" w:right="140" w:hanging="255"/>
        <w:spacing w:after="0" w:line="248"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Sale Agreements are subject to customary provisions regarding remedies for non-delivery, including termination rights and refund of amounts paid, if Anterix fails to perform its other contractual obligations, including failure to deliver the relevant cleared 900 MHz Broadband Spectrum in accordance with the terms of the Agreements. A gain or loss on the sale of spectrum will be recognized for each county once we deliver the cleared 900 MHz Broadband Spectrum and the associated broadband licenses.</w:t>
      </w: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delivery delay adjustments.</w:t>
      </w:r>
    </w:p>
    <w:p>
      <w:pPr>
        <w:ind w:left="260" w:hanging="255"/>
        <w:spacing w:after="0" w:line="237"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$1.0 million credit, which was applied against the remaining balance pursuant to the LCRA Expansion Agreement in recognition of their contributions to our business efforts.</w:t>
      </w:r>
    </w:p>
    <w:p>
      <w:pPr>
        <w:ind w:left="260" w:right="540" w:hanging="255"/>
        <w:spacing w:after="0" w:line="263"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reimbursable clearing costs and Anti-Windfall Payments made in connection with the transfer of the associated broadband licenses. Total consideration included $7.5 million in estimated reimbursable clearing costs and Anti-Windfall Payments of which $5.6 million was realized.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Motorola Lease</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2014, we entered into an agreement with Motorola (the “2014 Motorola Spectrum Agreement”) to lease a portion of our 900 MHz licenses in exchange for an upfront, fully paid lease fee of $7.5 million and a $10 million investment in our subsidiary, PDV Spectrum Holding Company, LLC (the “Subsidiary”), which we formed to hold our 900 MHz spectrum licenses. Motorola’s investment in the Subsidiary was convertible, at the option of either party, into shares of our common stock at a price equal to $20.00 per share (the “Conversion Right”). In May 2022, Motorola exercised its Conversion Right, and we issued Motorola 500,000 shares of our common stock (the “Shares”) in conversion of Motorola’s ownership of 500,000 Class B Units (the “Units”) in our Subsidiary. In June 2022, we filed a Registration Statement on Form S-3 (File No. 333-265930) to register the 500,000 shares of our common stock held by Motorola for resale or other disposition by Motorola (the “Resale Registration Statement”). The Resale Registration Statement was declared effective by the SEC on July 15, 2022.</w:t>
      </w:r>
    </w:p>
    <w:p>
      <w:pPr>
        <w:spacing w:after="0" w:line="6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Motorola is not entitled to any profits, dividends, or other distribution from the operations of the Subsidiary. Under the terms of the 2014 Motorola Spectrum Agreement, Motorola can use the leased channels to provide narrowband services to certain qualified end-users. The end-users can only use the leased channels for their internal communication purposes. The end-users cannot sublease the channels to any other end-users or any commercial radio system operations or carriers. The 2014 Motorola Spectrum Agreement limits the total number of channels that Motorola can lease in any market area. It also provides us with flexibility regarding the future use and management of our spectrum, including relocation and repurposing policies designed to facilitate any necessary realignment of frequencies that may be associated with our efforts to clear spectrum for broadband uses.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we recognized all the revenue associated with the 2014 Motorola Spectrum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competitors include spectrum holders, retail wireless network providers, such as Verizon, AT&amp;T, and T-Mobile, private radio operators and other public and private companies, including potential new spectrum entrants who supply spectrum or other communication networks, technologies, products and solutions to our targeted utility and critical infrastructure entities. For example, in February 2025, T-Mobile announced that it has entered into an agreement to sell its 800 MHz spectrum holdings. The buyer of this spectrum has indicated it may make this spectrum available to our target utility customers. If the buyer of this spectrum does elect to lease or sell the 800 MHz spectrum it acquires from T-Mobile to our target customers, the resulting direct competition from this offering could reduce the number of agreements we can secure to lease or sell our spectrum and reduce the price that potential customers are willing to pay to lease or acquire our spectrum, any of which would have a material adverse effect on our business, results of operations, financial condition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209550</wp:posOffset>
            </wp:positionV>
            <wp:extent cx="71481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Many of these competitors have a long track record of providing technologies, products and solutions to our targeted customers and have greater political and regulatory influence than we do. In addition, many of our competitors have more resources, substantially greater product development and marketing budgets, greater name and brand recognition, a significantly greater base of customers in which to spread their operating costs and more financial and personnel resources than we do. All of these factors could prevent, delay or increase the costs of commercializing the broadband licenses we secure to our targeted customers.</w:t>
      </w:r>
    </w:p>
    <w:p>
      <w:pPr>
        <w:spacing w:after="0" w:line="56"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addition, these and other competitors have developed or may develop services, technologies, products and solutions that directly compete with the broadband networks, technologies, products and solutions that can be deployed with our spectrum assets. If competitors offer services, technologies, products and solutions to our targeted customers at prices and terms that make the licensing of our spectrum assets unattractive, we may be unable to attract customers at prices or on terms that would be favorable, or at all, which could have an adverse effect on our financial results and prospects.</w:t>
      </w:r>
    </w:p>
    <w:p>
      <w:pPr>
        <w:spacing w:after="0" w:line="5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Further, the FCC and other federal, state and local governmental authorities could adopt new regulations or take actions, including making additional spectrum available that can be utilized by our targeted customers, which could harm our ability to license our spectrum assets. For example, the federal government created and funded the First Responder Network Authority (“FRNA”), which the federal government authorized to help accomplish, fund, and oversee the deployment of a dedicated Nationwide Public Safety Broadband Network (“NPSBN”), which is marketed as “FirstNet.” The NPSBN is an additional source of competition to our 900 MHz spectrum assets by our targeted utility and critical infrastructure enterprises.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FCC Initiatives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3 x 3 900 MHz 2020 Report and Order</w:t>
      </w:r>
    </w:p>
    <w:p>
      <w:pPr>
        <w:spacing w:after="0" w:line="9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On May 13, 2020, the FCC approved the 2020 Report and Order to modernize and realign the 900 MHz band to increase its usability and capacity by allowing it to be utilized for the deployment of broadband networks, technologies and solutions. In the 2020 Report and Order, the FCC reconfigured the 900 MHz band to create a 6 MHz broadband segment (240 channels) and two narrowband segments, consisting of a 3 MHz narrowband segment (120 channels) and a 1 MHz narrowband segment (39 channels). FIGURE I below illustrates the FCC realignment as outlined in the Report and Order.</w:t>
      </w:r>
    </w:p>
    <w:p>
      <w:pPr>
        <w:spacing w:after="0" w:line="5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323E4F"/>
        </w:rPr>
        <w:t>FIGURE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68580</wp:posOffset>
            </wp:positionV>
            <wp:extent cx="4608195" cy="1340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08195" cy="134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Role of the County</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Under the 2020 Report and Order, the FCC established the “county” as the base unit of measure in determining whether a broadband applicant is eligible to secure a broadband license. There are 3,233 counties in the United States, including Puerto Rico and other U.S. territories.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3 x 3 Broadband License Eligibility Requirements</w:t>
      </w:r>
    </w:p>
    <w:p>
      <w:pPr>
        <w:spacing w:after="0" w:line="96"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The 2020 Report and Order established three eligibility requirements to obtain broadband licenses in a county, which we refer to herein as (i) the “50% Licensed Spectrum Test,” (ii) the “90% Broadband Segment Test” and (iii) the “240 Channel Requirement.”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Treatment of Complex Systems</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2020 Report and Order exempts Complex Systems from the Mandatory Retuning process, even when a broadband applicant meets the 90% Broadband Segment Test, because retuning these systems would potentially be disruptive to the operators. MAP 1 below illustrates the remaining five current Complex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346075</wp:posOffset>
            </wp:positionV>
            <wp:extent cx="4608195" cy="2607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819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Association of American Railroads</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nation’s railroads, particularly the major freight lines, had operated on six narrowband 900 MHz channels licensed to their trade association, the Association of American Railroads (“AAR”). Three of these narrowband channels were located in the 3 x 3 MHz broadband segment and three were in the lower narrowband segment. Pursuant to a January 2020 agreement between us and AAR, AAR agreed to vacate their narrowband channels, to be replaced by a nationwide license for the 900 MHz A Block. The FCC required us to cancel our A Block licenses, which was completed in June 2020, after which the FCC modified the AAR license to authorize use of the A Block channels. Consistent with the agreement, all narrowband channels have been deleted from the AAR license effective September 17, 2025. The FCC has credited us for our cancelled licenses for purposes of determining our eligibility to secure broadband licenses and the calculation of any Anti-Windfall Payments.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Broadband Licensing Process</w:t>
      </w:r>
    </w:p>
    <w:p>
      <w:pPr>
        <w:spacing w:after="0" w:line="96"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In May 2021, the FCC’s Wireless Telecommunication Bureau released a Public Notice detailing the application requirements and timeline for obtaining broadband licenses. The broadband licensing process includes filing an application with the FCC for new wireless licenses, completing an Eligibility Certification and developing a Transition Plan describing the agreements the prospective broadband applicant has entered into with Covered Incumbents. We have filed applications based on the timing of customer opportunities, strategic initiatives and our spectrum clearing results and shortly thereafter surrendered our underlying licenses. The Anti-Windfall Payment to the U.S. Treasury for any spectrum we obtain from the FCC’s inventory to reach the 240 Channel Requirement will be made as soon as possible after the FCC provides us the amount due for these channels. In cases where we have satisfied the 90% Broadband Segment Test but have not reached an agreement with all Covered Incumbents, the Mandatory Retuning process may commence after we receive the broadband license.</w:t>
      </w:r>
    </w:p>
    <w:p>
      <w:pPr>
        <w:spacing w:after="0" w:line="59" w:lineRule="exact"/>
        <w:rPr>
          <w:sz w:val="20"/>
          <w:szCs w:val="20"/>
          <w:color w:val="auto"/>
        </w:rPr>
      </w:pPr>
    </w:p>
    <w:p>
      <w:pPr>
        <w:ind w:right="20" w:firstLine="514"/>
        <w:spacing w:after="0" w:line="260" w:lineRule="auto"/>
        <w:tabs>
          <w:tab w:leader="none" w:pos="1018"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50% Licensed Spectrum Test</w:t>
      </w:r>
      <w:r>
        <w:rPr>
          <w:rFonts w:ascii="Times New Roman" w:cs="Times New Roman" w:eastAsia="Times New Roman" w:hAnsi="Times New Roman"/>
          <w:sz w:val="14"/>
          <w:szCs w:val="14"/>
          <w:color w:val="auto"/>
        </w:rPr>
        <w:t>. To be eligible for a broadband license in a particular county, a broadband applicant must demonstrate that it holds more than 50% of the outstanding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licensed channels in that county. As noted above, the 900 MHz band is made up of a maximum of 399 channels in each county. The FCC has licensed less than the maximum number of 399 channels in all but the most populous counties. Because the 50% Licensed Spectrum Test is based on licensed channels, any channels that are not licensed by the FCC are not included in the denominator when determining whether the broadband applicant has satisfied this test. As of the date of this filing, we alone satisfy the 50% Licensed Spectrum Test in approximately 3,200 counties of the 3,233 counties in the United States and its territories. MAP 2 below illustrates our licensed channels (including those pending applications with the FCC) by county in the entire 900 MHz band segment created by the 2020 Report and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5"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346075</wp:posOffset>
            </wp:positionV>
            <wp:extent cx="4608195" cy="258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14"/>
        <w:spacing w:after="0" w:line="259" w:lineRule="auto"/>
        <w:tabs>
          <w:tab w:leader="none" w:pos="1018"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90% Broadband Segment Test</w:t>
      </w:r>
      <w:r>
        <w:rPr>
          <w:rFonts w:ascii="Times New Roman" w:cs="Times New Roman" w:eastAsia="Times New Roman" w:hAnsi="Times New Roman"/>
          <w:sz w:val="14"/>
          <w:szCs w:val="14"/>
          <w:color w:val="auto"/>
        </w:rPr>
        <w:t>. The second test, the 90% Broadband Segment Test, addresses the balance between a voluntary market process to clear any Covered Incumbent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Mandatory Retuning process established by the FCC in the 2020 Report and Order (which applies to all Covered Incumbents, except for those Covered Incumbents operating Complex Systems. This test requires the broadband applicant to hold, have agreements with or protect Covered Incumbents equal to 90% or more of the licensed channels in the broadband segment in a particular county and within 70 miles of the county’s boundaries before the FCC will issue a broadband license. The broadband segment in the 900 MHz band has a total of 240 channels. The 90% Broadband Segment Test is calculated using outstanding licensed channels, which means that if the FCC has licensed all 240 channels, the broadband applicant would be required to have control of, or agreements covering, 216 channels within the broadband segment. In most counties in the United States, the FCC has licensed fewer than 240 channels in the broadband segment, and these unlicensed channels are not included in the denominator when determining whether the broadband applicant has satisfied this 90% Broadband Segment Test.</w:t>
      </w:r>
    </w:p>
    <w:p>
      <w:pPr>
        <w:spacing w:after="0" w:line="5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A broadband applicant can satisfy the 90% Broadband Segment Test by purchasing or canceling channels from Covered Incumbents for cash or other consideration, by paying to relocate Covered Incumbents to replacement spectrum channels outside the broadband segment, or by demonstrating that the broadband applicant’s facilities will be far enough from the Covered Incumbent’s narrowband system to ensure the two types of networks are separate.</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Before filing for a broadband license, the broadband applicant must satisfy the 90% Broadband Segment Test by utilizing its channel holdings and negotiating with Covered Incumbents on a purely voluntary basis for any additional channels it requires to satisfy this test. Only after the 50% Licensed Spectrum Test and the 90% Broadband Segment Test are both satisfied will the FCC issue to the broadband applicant a broadband license. We can request a Mandatory Retuning of any Covered Incumbents that remain in the broadband segment (other than Complex Systems) which are required to negotiate in good faith with the broadband applicant to sell their channels or otherwise clear the 900 MHz Broadband Segment, subject to intervention by the FCC if the parties cannot reach an agreement.</w:t>
      </w:r>
    </w:p>
    <w:p>
      <w:pPr>
        <w:spacing w:after="0" w:line="58"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MAP 3 below illustrates our licensed holdings (including those pending applications with the FCC) and the licensed holdings we have under contract by county in the 6 MHz broadband segment created by the 2020 Report and Order. This map does not reflect licenses that may meet the protection criteria as that is evaluated on a county basis as each broadband transition plan is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346075</wp:posOffset>
            </wp:positionV>
            <wp:extent cx="4608195" cy="258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0819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514"/>
        <w:spacing w:after="0" w:line="262" w:lineRule="auto"/>
        <w:tabs>
          <w:tab w:leader="none" w:pos="1018"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240 Channel Requirement. </w:t>
      </w:r>
      <w:r>
        <w:rPr>
          <w:rFonts w:ascii="Times New Roman" w:cs="Times New Roman" w:eastAsia="Times New Roman" w:hAnsi="Times New Roman"/>
          <w:sz w:val="14"/>
          <w:szCs w:val="14"/>
          <w:color w:val="auto"/>
        </w:rPr>
        <w:t>The 2020 Report and Order requires the broadband applicant to surrender 6 MHz of narrowband spectrum (or 240 channels) in the applicable county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FCC in exchange for a broadband license. If the broadband applicant does not have sufficient channels in the county to return 240 channels to the FCC, it can elect to make an Anti-Windfall Payment to the U.S. Treasury to purchase spectrum. The Anti-Windfall Payment for these channels will be based on prices paid in the applicable county in the 600 MHz auction conducted by the FCC. To satisfy the 240 Channel Requirement, the broadband applicant has the option on a county-by-county basis to determine whether it is more cost-effective to make the Anti-Windfall Payment, purchase channels from incumbents (where available), or possibly a combination of both.</w:t>
      </w:r>
    </w:p>
    <w:p>
      <w:pPr>
        <w:spacing w:after="0" w:line="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Importantly, the markets where we may need to make Anti-Windfall Payments to effectively have 240 channels are generally in smaller urban, suburban and rural markets. Our spectrum position is greatest in the largest, most populated and therefore most expensive markets, with a few exceptions as shown in MAP 4 below. Although we will need to make Anti-Windfall Payments to secure broadband licenses in most counties, the average cost in aggregate for the channels will be lower than the nationwide average amount of $0.93 per MHzPop paid in the FCC’s 600 MHz auction.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206375</wp:posOffset>
            </wp:positionV>
            <wp:extent cx="714819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346075</wp:posOffset>
            </wp:positionV>
            <wp:extent cx="4608195" cy="257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08195"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5 x 5 900 MHz 2026 Report and Order</w:t>
      </w:r>
    </w:p>
    <w:p>
      <w:pPr>
        <w:spacing w:after="0" w:line="85" w:lineRule="exact"/>
        <w:rPr>
          <w:sz w:val="20"/>
          <w:szCs w:val="20"/>
          <w:color w:val="auto"/>
        </w:rPr>
      </w:pPr>
    </w:p>
    <w:p>
      <w:pPr>
        <w:jc w:val="both"/>
        <w:ind w:right="100" w:firstLine="509"/>
        <w:spacing w:after="0" w:line="254" w:lineRule="auto"/>
        <w:rPr>
          <w:sz w:val="20"/>
          <w:szCs w:val="20"/>
          <w:color w:val="auto"/>
        </w:rPr>
      </w:pPr>
      <w:r>
        <w:rPr>
          <w:rFonts w:ascii="Times New Roman" w:cs="Times New Roman" w:eastAsia="Times New Roman" w:hAnsi="Times New Roman"/>
          <w:sz w:val="14"/>
          <w:szCs w:val="14"/>
          <w:color w:val="auto"/>
        </w:rPr>
        <w:t>On February 18, 2026, the 2026 Report and Order was adopted unanimously by the FCC to “address the critical demand and growing need for private broadband networks in the 900 MHz band, allowing users to leverage broadband capacity for more advanced and robust networks.” In the 2026 Report and Order, the FCC reconfigured the 900 MHz band to allow a 10 MHz broadband segment consisting of two 5 MHz broadband segments. FIGURE I above illustrates the FCC realignment as outlined in the 2026 Report and Order.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Association of American Railroads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indicated in the 2026 Report and Order, voluntary negotiation applies to the AAR, which holds a nationwide license for the 900 MHz A Block (896.0125-896.1250/935.0125-935.1250</w:t>
      </w:r>
    </w:p>
    <w:p>
      <w:pPr>
        <w:spacing w:after="0" w:line="3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MHz) as discussed above. Authority has been delegated to the Wireless Telecommunications Bureau (WTB) to facilitate AAR’s potential solution of relocating from the 900 MHz band to the 220 MHz band, including by allowing access to 220 MHz spectrum held in FCC inventory for a frequency exchange and taking other steps to expedite and streamline any waiver requests needed to promote 900 MHz broadband access while ensuring rail safety.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5 x 5 Broadband License Eligibility Requirements</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2026 Report and Order established three eligibility requirements to obtain broadband licenses in a county, which we refer to herein as (i) the “5 x 5 50% Licensed Spectrum Test,” (ii) the “5 x 5 Broadband Segment Test” and (iii) the “399 Channel Requirement.”</w:t>
      </w:r>
    </w:p>
    <w:p>
      <w:pPr>
        <w:spacing w:after="0" w:line="37" w:lineRule="exact"/>
        <w:rPr>
          <w:sz w:val="20"/>
          <w:szCs w:val="20"/>
          <w:color w:val="auto"/>
        </w:rPr>
      </w:pPr>
    </w:p>
    <w:p>
      <w:pPr>
        <w:ind w:firstLine="514"/>
        <w:spacing w:after="0" w:line="265" w:lineRule="auto"/>
        <w:tabs>
          <w:tab w:leader="none" w:pos="1018"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5 x 5 50% Licensed Spectrum Test</w:t>
      </w:r>
      <w:r>
        <w:rPr>
          <w:rFonts w:ascii="Times New Roman" w:cs="Times New Roman" w:eastAsia="Times New Roman" w:hAnsi="Times New Roman"/>
          <w:sz w:val="14"/>
          <w:szCs w:val="14"/>
          <w:color w:val="auto"/>
        </w:rPr>
        <w:t>. To be eligible for a 5 x 5 broadband license in a particular county, a broadband applicant must demonstrate that it holds more than 50%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licensed channels in that county. A 5 x 5 broadband applicant can rely on either its 3 x 3 broadband license and/or its 900 MHz SMR and B/ILT spectrum to meet the 50% threshold in the relevant county. The main difference between the 5 x 5 and 3 x 3 900 MHz broadband configurations is that the starting point for a 5 x 5 license may be either the narrowband channel configuration or a 3 x 3 broadband segment configuration. This ensures that existing 3 x 3 broadband licensees may expand their broadband operations if it otherwise meets the eligibility criteria.</w:t>
      </w:r>
    </w:p>
    <w:p>
      <w:pPr>
        <w:spacing w:after="0" w:line="52" w:lineRule="exact"/>
        <w:rPr>
          <w:rFonts w:ascii="Times New Roman" w:cs="Times New Roman" w:eastAsia="Times New Roman" w:hAnsi="Times New Roman"/>
          <w:sz w:val="14"/>
          <w:szCs w:val="14"/>
          <w:b w:val="1"/>
          <w:bCs w:val="1"/>
          <w:i w:val="1"/>
          <w:iCs w:val="1"/>
          <w:color w:val="auto"/>
        </w:rPr>
      </w:pPr>
    </w:p>
    <w:p>
      <w:pPr>
        <w:jc w:val="both"/>
        <w:ind w:right="20" w:firstLine="514"/>
        <w:spacing w:after="0" w:line="271" w:lineRule="auto"/>
        <w:tabs>
          <w:tab w:leader="none" w:pos="1018"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5 x 5 Broadband Segment Test</w:t>
      </w:r>
      <w:r>
        <w:rPr>
          <w:rFonts w:ascii="Times New Roman" w:cs="Times New Roman" w:eastAsia="Times New Roman" w:hAnsi="Times New Roman"/>
          <w:sz w:val="14"/>
          <w:szCs w:val="14"/>
          <w:color w:val="auto"/>
        </w:rPr>
        <w:t>. The 5 x 5 Broadband Segment Test, is similar to the corresponding 3 x 3 broadband licensing rules of the 2020 Report and Order with the exception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prospective 5 x 5 broadband licensees must hold, have agreements with or protect Covered Incumbents for 100% of Covered Incumbents in the narrowband segments but may invoke Mandatory Retuning of channels in the 3 x 3 MHz broadband segment held by those licensees. Mandatory Retuning does not apply to any Covered Incumbent channels in the two narrowband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20" w:firstLine="514"/>
        <w:spacing w:after="0" w:line="260" w:lineRule="auto"/>
        <w:tabs>
          <w:tab w:leader="none" w:pos="1018"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399 Channel Requirement. </w:t>
      </w:r>
      <w:r>
        <w:rPr>
          <w:rFonts w:ascii="Times New Roman" w:cs="Times New Roman" w:eastAsia="Times New Roman" w:hAnsi="Times New Roman"/>
          <w:sz w:val="14"/>
          <w:szCs w:val="14"/>
          <w:color w:val="auto"/>
        </w:rPr>
        <w:t>The 2026 Report and Order requires the broadband applicant to surrender 399 channels or 3 x 3 broadband license with 159 narrowband channels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county to the FCC in exchange for a 5 x 5 broadband license. If the broadband applicant does not have sufficient channels in the county to return 399 channels and/or 3 x 3 broad band license with 159 channels to the FCC, it must make an Anti-Windfall Payment to the U.S. Treasury to purchase spectrum. The Anti-Windfall Payment for these channels will be based on prices paid in the applicable county in the 600 MHz auction conducted by the FCC. To satisfy the 399 Channel Requirement or broadband licenses and narrowband channel requirements, the broadband applicant has the option on a county-by-county basis to determine whether it is more cost-effective to make the Anti-Windfall Payment, purchase channels from incumbents (where available), or possibly a combination of both.</w:t>
      </w:r>
    </w:p>
    <w:p>
      <w:pPr>
        <w:spacing w:after="0" w:line="5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2026 Report and Order has a specific buildout provision for licensees that expand from a 3 x 3 MHz to a 5 x 5 broadband license. In general, and depending on where they are in their 3 x 3 buildout schedule, their deadlines for 5 x 5 MHz deployment will be extended by two years. Licensees will control the timing of when they apply to expand from a 3 x 3 to a 5 x 5 broadband license to coincide with their deployment progress and ability to meet modified buildout deadlines. The FCC retained the 600 MHz auction prices to calculate the per county Anti-Windfall Payments discussed above, but upon publication of the 2026 Report and Order in the Federal Register, the county population will be based on the 2020 rather than 2010 Census.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Costs of Securing Broadband Licenses</w:t>
      </w:r>
    </w:p>
    <w:p>
      <w:pPr>
        <w:spacing w:after="0" w:line="9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As discussed above, to obtain a broadband license in a county, the broadband applicant must satisfy (i) the 50% Licensed Spectrum Test, (ii) the 90% Broadband Segment or the 5 x 5 Broadband Segment Test and (iii) the 240 or 399 Channel Requirement. As the broadband applicant, we can satisfy these channel requirements by including our existing licensed channels in the 900 MHz band and by acquiring or clearing additional channels, when necessary, through (i) spectrum purchases, (ii) spectrum retuning and/or (iii) by making Anti-Windfall Payments. Under the Report and Order, we have the option of using each of these options alone, or in any combination required, to satisfy the broadband license eligibility requirements for a particular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44450</wp:posOffset>
            </wp:positionV>
            <wp:extent cx="3234055" cy="2007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4055" cy="200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firstLine="514"/>
        <w:spacing w:after="0" w:line="265" w:lineRule="auto"/>
        <w:tabs>
          <w:tab w:leader="none" w:pos="1018"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Spectrum Purchase. </w:t>
      </w:r>
      <w:r>
        <w:rPr>
          <w:rFonts w:ascii="Times New Roman" w:cs="Times New Roman" w:eastAsia="Times New Roman" w:hAnsi="Times New Roman"/>
          <w:sz w:val="14"/>
          <w:szCs w:val="14"/>
          <w:color w:val="auto"/>
        </w:rPr>
        <w:t>We have and will continue to employ spectrum acquisition as a tool for those situations where an incumbent desires to exit the 900 MHz band. We also acquire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channels outside the 900 MHz Broadband Segment and may use them to swap for channels within the broadband segment or to reduce the anti-windfall payments for licenses. For purposes of our broadband license eligibility, any contracted acquisitions negotiated in the 900 MHz band may be included as part of our broadband application, but the acquisition does not need to be consummated at the time we submit our broadband license application for the purposes of calculating the 90% threshold.</w:t>
      </w:r>
    </w:p>
    <w:p>
      <w:pPr>
        <w:spacing w:after="0" w:line="52" w:lineRule="exact"/>
        <w:rPr>
          <w:rFonts w:ascii="Times New Roman" w:cs="Times New Roman" w:eastAsia="Times New Roman" w:hAnsi="Times New Roman"/>
          <w:sz w:val="14"/>
          <w:szCs w:val="14"/>
          <w:b w:val="1"/>
          <w:bCs w:val="1"/>
          <w:i w:val="1"/>
          <w:iCs w:val="1"/>
          <w:color w:val="auto"/>
        </w:rPr>
      </w:pPr>
    </w:p>
    <w:p>
      <w:pPr>
        <w:ind w:right="20" w:firstLine="514"/>
        <w:spacing w:after="0" w:line="265" w:lineRule="auto"/>
        <w:tabs>
          <w:tab w:leader="none" w:pos="1018"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Spectrum Retuning. </w:t>
      </w:r>
      <w:r>
        <w:rPr>
          <w:rFonts w:ascii="Times New Roman" w:cs="Times New Roman" w:eastAsia="Times New Roman" w:hAnsi="Times New Roman"/>
          <w:sz w:val="14"/>
          <w:szCs w:val="14"/>
          <w:color w:val="auto"/>
        </w:rPr>
        <w:t>Retuning is the exercise of modifying Covered Incumbents’ licenses to remove the 900 MHz channels held by incumbents and swapping narrowband segments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channels to facilitate a move to channels outside of the 900 MHz Broadband Segment. An agreement to retune adds to the number of channels we hold for computational purposes of the 90% Broadband Segment Test. We will continue to retune channels with incumbents as needed. For purposes of broadband license eligibility, any potential spectrum retuning agreements we negotiate in the 900 MHz band will be included as part of our broadband application, but the retune is not required to be completed before we submit our broadband license application.</w:t>
      </w:r>
    </w:p>
    <w:p>
      <w:pPr>
        <w:spacing w:after="0" w:line="52" w:lineRule="exact"/>
        <w:rPr>
          <w:rFonts w:ascii="Times New Roman" w:cs="Times New Roman" w:eastAsia="Times New Roman" w:hAnsi="Times New Roman"/>
          <w:sz w:val="14"/>
          <w:szCs w:val="14"/>
          <w:b w:val="1"/>
          <w:bCs w:val="1"/>
          <w:i w:val="1"/>
          <w:iCs w:val="1"/>
          <w:color w:val="auto"/>
        </w:rPr>
      </w:pPr>
    </w:p>
    <w:p>
      <w:pPr>
        <w:ind w:right="80" w:firstLine="514"/>
        <w:spacing w:after="0" w:line="290" w:lineRule="auto"/>
        <w:tabs>
          <w:tab w:leader="none" w:pos="1018"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Anti-Windfall Payment. </w:t>
      </w:r>
      <w:r>
        <w:rPr>
          <w:rFonts w:ascii="Times New Roman" w:cs="Times New Roman" w:eastAsia="Times New Roman" w:hAnsi="Times New Roman"/>
          <w:sz w:val="14"/>
          <w:szCs w:val="14"/>
          <w:color w:val="auto"/>
        </w:rPr>
        <w:t>To obtain a broadband license, we must surrender 240 or 399 licensed channels in the county depending on whether the application is for a 3 x 3 or a 5 x 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MHz broadband license. As this band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194945</wp:posOffset>
            </wp:positionV>
            <wp:extent cx="71481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underutilized historically, most counties in the United States do not have required outstanding licensed channels that can be surrendered. To make up for the difference, we effectively pay for channels from the FCC’s spectrum inventory by making an Anti-Windfall Payment. As noted above, the FCC will use a reference per channel price based on the average price paid in the FCC’s 600 MHz auction in each given county. The county population will be based on the 2020 census upon publication of the 2026 Report and Order in the Federal Register.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Intellectual Property</w:t>
      </w:r>
    </w:p>
    <w:p>
      <w:pPr>
        <w:spacing w:after="0" w:line="9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We rely on a combination of patent, copyright, trademark and trade-secret laws, as well as confidentiality provisions in our contracts, to protect our intellectual property. We have several trademarks and service marks to protect our current and future corporate name, services offerings, goodwill and brand. There are currently no claims or litigation regarding these trademarks, patents, copyrights, or service marks. We also rely on trade secret protection of our intellectual property. We enter into confidentiality agreements with third parties, employees and consultants when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of Our Business</w:t>
      </w:r>
    </w:p>
    <w:p>
      <w:pPr>
        <w:spacing w:after="0" w:line="96"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We hold FCC spectrum licenses in the 900 MHz band throughout the contiguous United States, plus Hawaii, Alaska and Puerto Rico. The FCC regulates our wireless spectrum holdings, the issuance of broadband licenses in the 900 MHz band, our future leasing or sale of any broadband licenses we secure, and the future construction and operation of wireless networks, technologies and solutions utilizing our spectrum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Licensing</w:t>
      </w:r>
    </w:p>
    <w:p>
      <w:pPr>
        <w:spacing w:after="0" w:line="9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We are authorized to provide our wireless communication services on specified frequencies within specified geographic areas and in doing so must comply with the rules, regulations and policies adopted by the FCC. The FCC issues each spectrum license for a fixed period, typically ten years in the case of the FCC narrowband licenses we currently hold and 15 years for any broadband licenses. Any broadband licenses we secure will also have performance requirements at the 6- and 12-year marks to demonstrate that the broadband spectrum is being used to serve the public interest. While the FCC has generally renewed licenses held by operating companies like us, the FCC has the authority to both revoke a license for cause and to deny a license renewal if it determines that license renewal is not in the public interest. Furthermore, we could be subject to fines, forfeitures and other penalties for failure to comply with FCC regulations, even if any such non-compliance is unintentional. The loss of any licenses, or any related fines or forfeitures, could adversely affect our business, results of operations or financial condition.</w:t>
      </w:r>
    </w:p>
    <w:p>
      <w:pPr>
        <w:spacing w:after="0" w:line="6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The Communications Act of 1934, as amended, and FCC rules and regulations require us to obtain the FCC’s prior approval before assigning or transferring control of wireless licenses, with limited exceptions. The FCC’s rules and regulations also govern spectrum lease arrangements for a range of wireless radio service licenses, including the licenses we hold. These same requirements apply to any licenses or leases we may wish to enter into, transfer, or acquire as part of our broadband initiatives. The FCC may prohibit or impose conditions on any proposed acquisitions, sales, or other transfers of control of licenses or leases. The FCC engages in a case-by-case review of transactions that involve the consolidation or sale of spectrum licenses or leases and may apply a spectrum “screen” in examining such transactions. Because an FCC license is necessary to lawfully provide the wireless services we plan to enable, if the FCC were to disapprove of any such request to acquire, assign, or otherwise transfer a license or lease, our business plans would be adversely affected. Approval from the Federal Trade Commission and the Department of Justice, as well as state or local regulatory authorities, also may be required if we sell or acquire spectrum.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FCC Regulations</w:t>
      </w:r>
    </w:p>
    <w:p>
      <w:pPr>
        <w:spacing w:after="0" w:line="9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FCC does not currently regulate rates for services offered by wireless providers. However, we may be subject to other FCC regulations that impose obligations on wireless providers, such as Federal Universal Service Fund obligations, which require communications providers to contribute to a fund that supports subsidized communications services to underserved areas and users; rules governing billing, subscriber privacy and customer proprietary network information; roaming obligations; rules that require wireless service providers to configure their networks to facilitate electronic surveillance by law enforcement officials; rules governing spam, telemarketing and truth-in-billing and rules requiring us to offer equipment and services that are accessible to and usable by persons with disabilities, among others. There are also pending proceedings that may affect spectrum aggregation limits and/or adjustment of the FCC’s case-by-case spectrum screens; regulation surrounding the deployment of advanced wireless broadband infrastructure; the imposition of text-to-911 capabilities; and the transition to IP networks, among others. Some of these requirements and pending proceedings (of which the previous examples are not an exhaustive list) pose technical and operational challenges for which we, and the industry as a whole, have not yet developed clear solutions. We are unable to predict how these pending or future FCC proceedings may affect our business, financial condition, or results of operations. Our failure to comply with any applicable FCC regulations could subject us to significant fines or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384810</wp:posOffset>
            </wp:positionV>
            <wp:extent cx="71481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 and Local Regulation</w:t>
      </w:r>
    </w:p>
    <w:p>
      <w:pPr>
        <w:spacing w:after="0" w:line="9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In addition to FCC regulations, we are subject to certain state regulatory requirements. The Communications Act of 1934, as amended, preempts state and local regulation of the entry of, or the rates charged by, any wireless provider. State and local governments, however, are permitted to manage public rights of way and can require fair and reasonable compensation from wireless providers for use of those rights of way so long as the compensation required is publicly disclosed by the government. The siting of base stations also remains subject to some degree of control by state and local jurisdiction.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Tower Siting</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current and future customers who deploy broadband networks will be required to comply with various federal, state and local regulations that govern the siting, lighting and construction of transmitter towers and antennas, including requirements imposed by the FCC and the Federal Aviation Administration (“FAA”). Federal rules subject certain tower site locations to extensive zoning, environmental and historic preservation requirements and mandate consultation with various parties, including State and Tribal Historic Preservation Offices, which can make it more difficult and expensive to deploy facilities. The FCC antenna structure registration process also imposes public notice requirements when plans are made for construction of, or modification to, antenna structures that require FAA approval, potentially adding to the delays and burdens associated with tower siting, including potential challenges from special interest groups. To the extent governmental agencies continue to impose additional requirements like this on the tower siting process, the time and cost to construct towers could be negatively impacted. The FCC has, however, imposed a tower siting “shot clock” that requires local authorities to address tower applications within a specific timeframe, which can assist carriers in more rapid deployment of towers. More recently, the FCC also has adopted rules intended to accelerate broadband deployment by removing barriers to infrastructure investment, in particular for “small cell” equipment. Those rules have been challenged by certain municipalities and tribal nations both at the FCC and in court.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National Security</w:t>
      </w:r>
    </w:p>
    <w:p>
      <w:pPr>
        <w:spacing w:after="0" w:line="96"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With a range of weather-related and cyber security impacts on the nation’s grid over the last several years, national security and disaster recovery issues continue to receive attention at the federal, state and local levels. For example, Congress is currently considering a number of bills related to grid security. While the timing and likelihood of enactment of specific legislation remains uncertain, cybersecurity and infrastructure resiliency are expected to remain ongoing legislative priorities. Our current and future customers who deploy broadband networks may be required to comply with potential federal, state and local regulations that govern elements of the electric grid.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Report and Order</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FCC regulates the issuance of broadband licenses in the 900 MHz band in accordance with the Report and Order.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People</w:t>
      </w:r>
    </w:p>
    <w:p>
      <w:pPr>
        <w:spacing w:after="0" w:line="96"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success of our business depends on our ability to attract, grow, and retain talented individuals who reflect and understand the perspectives of our customers and stakeholders. We combine our deep industry expertise and operational know-how to deliver solutions that redefine what is possible for the industries, utilities, and the communities that we serve.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Culture</w:t>
      </w:r>
    </w:p>
    <w:p>
      <w:pPr>
        <w:spacing w:after="0" w:line="9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We are guided by our core values, Integrity, Courage, Camaraderie, Transformative, and Excellence. These values are the backbone of our corporate culture, and we work tirelessly to act as responsible stewards, to our employees, communities and other stakeholders who rely on us.</w:t>
      </w:r>
    </w:p>
    <w:p>
      <w:pPr>
        <w:spacing w:after="0" w:line="3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We use semi-annual engagement surveys to assess organizational health, to understand how employees feel about the organization and guide our improvements for greater engagement and success. Participation is voluntary and all responses are strictly confidential.</w:t>
      </w:r>
    </w:p>
    <w:p>
      <w:pPr>
        <w:spacing w:after="0" w:line="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response to our engagement survey feedback, we launched Anterix GROW in 2023. The focus of Anterix GROW is to instill continuous learning into everyday life, personally and professionally. Anterix GROW fosters a culture of inclusion and collaboration by providing actionable opportunities and resources. Examples include Mental Health Awareness Week, Employee Service Days and a Multicultural Marketplace. We realize that preparing for the future requires a workforce with a depth and breadth of skills. Anterix provides LinkedIn Learning subscriptions to all of our employees. Our approach to managing performance includes frequent check-ins between managers and employees on goals, career development, feedback and wellbeing. Performance and feedback discussions are initiated via the Lattice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4"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We are committed to fostering an inclusive culture, ensuring equitable pay, and focusing on attracting and retaining diverse representation at every level within the Company. We embrace this commitment to diversity at all levels of the organization.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&amp; Benefits</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We believe our compensation should reflect the value of our talent. We deliver competitive market compensation and aim to provide a balance of fixed pay, short-term and long-term incentives. We benchmark our salary ranges for each role against the market. Salary is positioned within the range and based upon criteria such as experience, skills, and competencies. Annual salary reviews take place in May.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Well-being</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programs ensure access to the best healthcare and focus on all aspects of well-being: physical, mental, financial and social. In addition to best-in-class medical benefits, Anterix partners with ADP Lifecare to offer Self-Led well-being platforms, 24/7 psychological support, and a range of e-learning and training resources for managers and team members to learn more about taking care of themselves and others.</w:t>
      </w:r>
    </w:p>
    <w:p>
      <w:pPr>
        <w:spacing w:after="0" w:line="5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We are committed to maintaining work-life balance and striving to provide opportunities for our employees to be flexible about when and where they work. At the same time, we believe in creating time and space to meet in person. We have implemented a hybrid working model where employees are onsite nine days a month and work remotely the remaining days of the month.</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we had 64 total employees and 63 full time employees.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96"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We manage our business as a single operating and reportable segment. Segment information on our total financial and operating performance is reported on a consolidated basis and is consistent with how management reviews our business and allocates resources.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of our identifiable assets are located in the United States. We did not generate any revenue from sources outside of the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Our principal executive offices are located at 3 Garret Mountain Plaza, Suite 401, Woodland Park, New Jersey 07424 and 8260 Greensboro Drive, Suite 501, McLean, Virginia. Our main telephone number is (973) 771-0300. We were originally incorporated in California in 1997 and reincorporated in Delaware in 2014. Our website is www.anterix.com.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our website as soon as reasonably practicable after we electronically file such material with, or furnish it to, the Securities and Exchange Commissions (the “SEC”). The SEC maintains an internet site at www.sec.gov that contains reports, proxy and information statements, and other information regarding issuers that file electronically with the SEC. We include our website address in this Annual Report only as an inactive textual reference. The information on or accessible through our website is not incorporated into this Annual Report, and you should not consider any information on, or that can be accessed through, our website a part of this Annual Report or our other filings with the SEC.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You should carefully consider the following risk factors, together with the other information contained in this Annual Report and our other reports and filings made with the SEC, in evaluating our business and prospects. If any of the risks discussed in this Annual Report occur, our business, prospects, liquidity, financial condition and results of operations could be materially and adversely affected, in which case the trading price of our common stock could decline significantly. Some statements in this Annual Report, including statements in the following risk factors, constitute forward-looking statements. Please refer to the section entitled “Cautionary Statement Concerning Forward-Looking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commercializing our spectrum assets to our targeted utility and critical infrastructure customers in accordance with our business plans and expectations.</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We have identified utilities and other critical infrastructure enterprises as our primary target customers. As of the date of this filing, we have signed long-term leases of our spectrum assets with Ameren, Evergy, Xcel Energy, and TECO and have entered into agreements to sell our spectrum assets to SDG&amp;E, LCRA, Oncor, CPS, TNMP, NWE, and Public Utility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No. 1 of Benton County (“Benton PUD”). Although we are in discussions with other utilities and critical infrastructure enterprises, there is no assurance that these discussions will continue to progress or eventually result in contracts with these entities or that we will be successful in our efforts to commercialize our spectrum assets and other service offerings. For example, utilities or other critical infrastructure enterprises may not elect to acquire use of any broadband licenses we secure on terms satisfactory to us or for a consideration that represents what we believe is the fair market value for the rights to our spectrum, on a timely basis, or at all. Similarly, there is no assurance that utilities or other critical infrastructure customers will retain us for any other value-added services we offer them. As a result, our prospects must be considered in light of the uncertainties, risks, expenses and difficulties frequently encountered by companies implementing a new business plan and pursuing opportunities in highly competitive and rapidly developing markets.</w:t>
      </w:r>
    </w:p>
    <w:p>
      <w:pPr>
        <w:spacing w:after="0" w:line="61"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4"/>
          <w:szCs w:val="14"/>
          <w:color w:val="auto"/>
        </w:rPr>
        <w:t>In addition, under our current business plan, we generally intend to enter into long-term leasing or sales agreements for our spectrum assets in one county with one customer, or a limited number of customers, in each geographic area. We also expect that our customers will pay what we believe is the fair market value for rights to our spectrum and bear the costs of deploying and operating their private wireless broadband networks. As a result, many geographic areas may have only one or a limited number of potential customers and if we are not successful with the initially targeted customer or limited number of customers, our spectrum may not be utilized, and we will not be able to generate revenues from owning spectrum in that geographic area. In addition, even if we enter a long-term lease or sales agreements for a geographic area, we expect payments by our customer in such area will continue to be contingent on our ability to clear incumbents and take the other necessary actions to secure broadband licenses on a timely and cost-effective basis. Our customers also will typically receive rights to all spectrum we have in its geographic operating area. Because of this, we may not have additional spectrum assets to lease in such geographical area to other potential customers. Further, other than our lease or sales agreements, currently we do not generate revenue from the operation of the broadband networks or technologies deployed by our customers. As a result, there is considerable uncertainty as to whether we can generate sufficient revenues to develop a profitable business from leasing or selling our licensed 900 MHz spectrum.</w:t>
      </w:r>
    </w:p>
    <w:p>
      <w:pPr>
        <w:spacing w:after="0" w:line="6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Our ability to successfully commercialize our spectrum assets will also depend on the continued commercial availability of technology, products and solutions that can both utilize the broadband licenses we secure and satisfy our customers’ demands. Our spectrum assets are located within the 3GPP global standard of Band 8 (also known as the E-GSM band, or 880 - 915 MHz paired with 925 - 960 MHz). Band 8 is currently being utilized in LTE and 5G networks, with a specific designation for the US under Band 106 and n106. However, chipmakers and other technology, product and solution manufacturers and vendors may not continue to develop the technology, products and solutions required to satisfy our customers’ various use cases and meet the technical specifications established in the Report and Order. Further, adverse economic conditions, including as a result of inflation, trade restrictions and tariffs, regulatory actions and policy changes, wars and other geopolitical matters, may result in supply chain issues which limit our customer’s ability to obtain the necessary technology and products to deploy an LTE or 5G wireless broadband network utilizing our spectrum. If such technologies, products and solutions are not available, not competitively priced or are significantly delayed, our targeted customers may decide not to pursue 900 MHz broadband licenses with us on acceptable terms, on a timely basis, or at all.</w:t>
      </w:r>
    </w:p>
    <w:p>
      <w:pPr>
        <w:spacing w:after="0" w:line="6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Our assessment that we should target utilities and other critical infrastructure entities as potential customers for our spectrum is based on our determination that these entities will need to install a significant number of new technologies, such as smart devices and sensors, that will generate an increasing amount of data that cannot be addressed well by their existing communication networks and systems. Our potential customers, however, are large organizations and their decision to implement private broadband networks, technologies and solutions is an involved decision and will require significant capital outlays. Any negotiation and contract process with these potential customers has taken, and likely will continue to take, a significant amount of time and effort to work through their approval and funding processes. In addition, there is no assurance that the governmental agencies that regulate these entities will in each case allow them to pass the capital costs of implementing broadband networks, technologies and solutions utilizing our spectrum on to their ratepayers, which could cause these entities to be unable to afford, or to elect not to pursue, rights to our spectrum assets. In addition, although there is broad availability of broadband LTE, there is no assurance that our targeted customers will be able to utilize existing networks, technologies and solutions with our spectrum for their desired use cases without requiring modifications to existing equipment or engaging in product and/or service development efforts, any of which could result in deployment delays, require them or us to invest in technology or other development activities or otherwise adversely limit the potential benefits or value of our spectrum assets. If any of these risks occur or continue beyond our plans and expectations, our plans to commercialize our spectrum assets may not be as valuable as we expect and we may experience significant delays in our commercialization plans, which will have an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736600</wp:posOffset>
            </wp:positionV>
            <wp:extent cx="71481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contingencies and obligations under our commercial agreements with our customers including the delivery of cleared spectrum and broadband licenses on a timely basis, and as a result, there is no assurance that we will receive payments from such customers in the amounts and on the timeline we currently expect, or that any payments we have received to date from our customers, will not be subject to repayment or that our commercial agreements will not be subject to contract claims, including rights of termination.</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We are subject to contingencies and obligations under our commercial agreements with our customers, including the delivery of cleared spectrum and broadband licenses in the designated service territories on a timely basis. There is no assurance that we will be able to clear incumbents from our customers’ respective service territories and obtain broadband licenses from the FCC on the timeline required under our agreements, or at all. Customers’ respective payment obligations, including our ability to maintain any upfront payments and any future payment obligations under these agreements, are contingent on our ability to deliver cleared spectrum and Broadband Spectrum licenses on the timelines required in these agreements. As a result, there is no assurance that we will be able to retain any upfront payments or receive future payments in the amounts and on the timeline we currently expect, or at all. Additionally, our customers may not elect to exercise their options for additional terms contemplated by the terms of the long-term lease agreements. Further, our costs to clear incumbents, qualify for broadband licenses and perform our other obligations under our agreements with our customers may be significantly more than we currently anticipate, which could increase our capital expenses and reduce our net income or increase our net loss.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developing, marketing, selling and delivering new products and services offerings to our targeted utility and critical infrastructure customers</w:t>
      </w: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In addition to the leasing and sale of our spectrum assets, we are seeking to expand our product and service offerings to leverage and enhance the value of our spectrum assets. Most notably, we are actively marketing CatalyX and TowerX, connectivity management and tower optimization solutions that we developed to help utilities realize the benefits of private broadband networks, while leveraging commercial broadband networks. We also continue to explore other service offerings to help our customers deploy systems using our service offerings. We face significant competition in development, sale, and delivery of products and services offerings related to our spectrum to our customers. Many of these competitors have significantly larger workforces, a broad array of capabilities, deep customer relationships, and greater financial resources. We may not be able to adequately compete in sales of these additional offerings, or be unable to develop, market or deliver competitive offerings.</w:t>
      </w:r>
    </w:p>
    <w:p>
      <w:pPr>
        <w:spacing w:after="0" w:line="59"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operate in a competitive environment, including with other spectrum holders that may offer broadband spectrum to our target customers. Additionally, many of the third parties who offer spectrum and communication technologies, products, services and solutions to our targeted customers have existing long-term relationships with these targeted customers and have significantly more resources and greater political and regulatory influence than we do, and we may not be able to successfully compete with these third parties.</w:t>
      </w:r>
    </w:p>
    <w:p>
      <w:pPr>
        <w:spacing w:after="0" w:line="5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competitors include spectrum holders, retail wireless network providers, such as Verizon, AT&amp;T, and T-Mobile, private radio operators and other public and private companies, including potential new spectrum entrants, who supply spectrum or other communication networks, technologies, products and solutions to our targeted utility and critical infrastructure entities. For example, in February 2025, T-Mobile announced that it has entered into an agreement to sell its 800 MHz spectrum holdings. Although the transaction has not yet been approved by the FCC, the buyer of this spectrum has indicated it may make this spectrum available to our target utility customers. If the buyer of this spectrum elects to lease or sell the 800 MHz spectrum it acquires from T-Mobile to our target customers, the resulting direct competition from this offering could reduce the number of agreements we can secure to lease or sell our spectrum to our target customers and reduce the cost that potential customers are willing to pay to lease or acquire our spectrum, any of which would have a material adverse effect on our business, results of operations, financial condition and prospects.</w:t>
      </w:r>
    </w:p>
    <w:p>
      <w:pPr>
        <w:spacing w:after="0" w:line="6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Additionally, many of our competitors have significantly more resources, a longer track record of providing technologies, products, services and solutions to our targeted customers and greater political and regulatory influence than we do, all of which could prevent, delay or increase the costs of commercializing our spectrum to our targeted customers. In addition, we expect our targeted customers will bear the cost of installing and operating the broadband networks, technologies and solutions utilizing our licensed spectrum, thereby requiring the replacement of some or all of their existing communication systems. Given these significant capital requirements, there is no assurance that we will be able to generate enough revenues through the commercialization of our spectrum assets to achieve profitability, especially in light of the competitive environment in which we operate, and the wide variety of technologies, products, services and solutions offered by our competitors. Further, in the process of pursuing broadband licenses, we may be required to make significant concessions or contractual commitments, make significant payments or assume significant costs, purchase additional spectrum or replacement communication systems or limit the use of our spectrum assets or restrict our pursuit of business opportunities to address the concerns expressed by incumbents and other interested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211455</wp:posOffset>
            </wp:positionV>
            <wp:extent cx="71481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In addition, the FCC and other federal, state and local governmental authorities, or other third parties, could adopt new regulations or take actions, including making additional spectrum available that can be utilized by our targeted customers, which could harm our ability to license our spectrum assets. For example, the federal government created and funded the FRNA, which the federal government authorized to help accomplish, fund, and oversee the deployment of a dedicated NPSBN. The NPSBN, which is marketed as “FirstNet”, may provide an additional source of competition to utilizing our 900 MHz spectrum assets by our targeted utility and critical infrastructure enterprises.</w:t>
      </w:r>
    </w:p>
    <w:p>
      <w:pPr>
        <w:spacing w:after="0" w:line="5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212529"/>
        </w:rPr>
        <w:t xml:space="preserve">Some of our competitors, </w:t>
      </w:r>
      <w:r>
        <w:rPr>
          <w:rFonts w:ascii="Times New Roman" w:cs="Times New Roman" w:eastAsia="Times New Roman" w:hAnsi="Times New Roman"/>
          <w:sz w:val="14"/>
          <w:szCs w:val="14"/>
          <w:color w:val="000000"/>
        </w:rPr>
        <w:t>such as Verizon, AT&amp;T, and T-Mobile, have significantly greater pricing flexibility and have taken steps to compete or may decide to compete against us more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aggressively. These and other competitors may own or acquire spectrum that directly competes with our 900 MHz spectrum and/or have developed </w:t>
      </w:r>
      <w:r>
        <w:rPr>
          <w:rFonts w:ascii="Times New Roman" w:cs="Times New Roman" w:eastAsia="Times New Roman" w:hAnsi="Times New Roman"/>
          <w:sz w:val="14"/>
          <w:szCs w:val="14"/>
          <w:color w:val="212529"/>
        </w:rPr>
        <w:t>or may develop technologies that directly compete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with our solutions. If competitors offer spectrum rights or services, technologies and solutions to our targeted customers at prices and terms that make the licensing of our spectrum assets unattractive, our ability to license or otherwise commercialize our spectrum assets could be impaired. As a result, we may be unable to attract sufficient customers at prices or on terms that would enable us to generate sufficient revenues to operate a profitable business, which would have an adverse effect on the growth, results of operations and prospects. In addition, we may not be able to fund or invest in certain areas of our business to the same degree as our competitors. Several have substantially greater product development and marketing budgets and other financial and regulatory personnel resources than we do. Several also have greater name and brand recognition and a larger base of customers than we have. Competition could increase our selling and marketing expenses and related customer acquisition costs. We may not have the financial resources, technical expertise or marketing and support capabilities to compete successfully.</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our results of operations and our business will be adversely affected.</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212529"/>
        </w:rPr>
        <w:t>Our targeted customers are large, heavily-regulated enterprises and our business plan requires these customers to commit to enter into long-term lease transactions or to purchase our spectrum and then to purchase and deploy broadband network equipment, solutions and services utilizing our 900 MHz Broadband Spectrum. There are typically a number of constituencies within each of our targeted customers that need to review and approve the commercial agreements of our spectrum before signing a contract with us. As a result, we have experienced, and we expect to continue to experience, long sales cycles with our targeted customers. In addition, numerous other factors, many of which are out of our control, may now or in the future impact our ability to acquire new customers, including not gaining support from governmental bodies that regulate our customers, the ability of our customers to pass their broadband spectrum use and deployment costs to their ratepayers, our customers’ existing commitments to other providers or communication solutions, real or perceived costs of securing our spectrum assets and deploying broadband networks, solutions and services, our failure to expand, retain and motivate our sales and marketing personnel, our failure to develop or expand relationships with the manufacturers or suppliers of broadband technologies, solutions and services that can be utilized on our spectrum, negative media, industry or financial analyst commentary regarding us or our solutions, litigation, the spectrum and service offerings of our competitors, the adverse impacts geopolitical uncertainties, inflation, trade restrictions and tariffs and other adverse economic conditions and events. Any of these factors could impact our ability to attract new customers to lease or obtain rights to our spectrum assets. As a result of these and other factors, we may be unable to timely attract enough customers to support our costs and to generate profits, which would harm our business, results of operations, financial condition and prospects.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reputation and business may be harmed, and we may be subject to legal claims if there is loss, disclosure, or misappropriation of, or access to, our customers’ information.</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We make use of online services and centralized data processing, including through third-party service providers. The secure maintenance and transmission of customer information is an important element of our operations. Our information technology and other systems, and those of our service providers or contract partners, that maintain and transmit customer information, including location or personal information, may be compromised by a malicious third-party penetration of our network security, or that of our third-party service providers or contract partners, or impacted by unauthorized intentional or inadvertent actions or inactions by our employees, or by the employees of our third-party service providers or contract partners. Cyber-attacks, which include the use of malware, computer viruses and other means of disruption or unauthorized access, have increased in frequency, scope and potential harm in recent years. While, to date, we have not been subject to cyber-attacks or other cyber incidents which, individually or in the aggregate, have been material to our operations or financial condition, the preventive actions we and our third-party service providers and contract partners take to reduce the risk of cyber incidents and protect information technology resources and networks may be insufficient to repel a major cyber-attack in the future. As a result, our customers’ information may be lost, disclosed, accessed, used, corrupted, destroyed or taken without the customers’ consent. Any significant compromise of our data or network security, failure to prevent or mitigate the loss of customer information and delays in detecting any such compromise or loss could disrupt our operations, impact our reputation and subject us to additional costs and liabilities, including litigation, which could produce material and adverse effects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387350</wp:posOffset>
            </wp:positionV>
            <wp:extent cx="71481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32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Macroeconomic and unfavorable market conditions, regulatory and policy changes, and ongoing wars and other geopolitical matters, may have an adverse impact on our business, financial results, stock price and results of operations as well as the business of our current and potential customers.</w:t>
      </w:r>
    </w:p>
    <w:p>
      <w:pPr>
        <w:spacing w:after="0" w:line="3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Recent wars and geopolitical disputes and regulatory and policy initiatives have created negative and uncertain macroeconomic conditions, and could result in adverse market conditions, decreases in per capita income and level of disposable income, increased inflation, rising interest rates and supply chain issues. Trade tensions or restrictions on free trade, including the tariffs imposed by the U.S. government and actions taken by other countries in response to these tariffs, could exacerbate these effects. Such conditions may adversely impact our business, financial results and prospects and our target customers’ businesses. 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Condition</w:t>
      </w:r>
    </w:p>
    <w:p>
      <w:pPr>
        <w:spacing w:after="0" w:line="94" w:lineRule="exact"/>
        <w:rPr>
          <w:sz w:val="20"/>
          <w:szCs w:val="20"/>
          <w:color w:val="auto"/>
        </w:rPr>
      </w:pPr>
    </w:p>
    <w:p>
      <w:pPr>
        <w:ind w:right="2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correctly estimate our operating expenses, future cash proceeds or future revenues, which could lead to cash shortfalls, and may prevent us from returning capital to our stockholders and require us to secure additional financing.</w:t>
      </w:r>
    </w:p>
    <w:p>
      <w:pPr>
        <w:spacing w:after="0" w:line="37"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We have expended and will need to continue to expend substantial resources for the foreseeable future, to commercialize our spectrum assets to our targeted utility and critical infrastructure customers. We also will need to expend substantial resources for the foreseeable future to qualify for and obtain broadband licenses, including the costs related to retuning incumbent systems, purchasing additional spectrum from incumbents and/or making Anti-Windfall Payments to the U.S. Treasury to commercialize our spectrum assets. We believe our cash and cash equivalents on hand, along with contracted proceeds from customers will be sufficient to meet our financial obligations through at least 12 months from the date of this filing.</w:t>
      </w:r>
    </w:p>
    <w:p>
      <w:pPr>
        <w:spacing w:after="0" w:line="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Our budgeted expense levels are based in part on our expectations and assumptions regarding the timing and costs to qualify for and obtain broadband licenses, the demand by our target customers to utilize our spectrum assets to deploy broadband networks, technologies and solutions and the time required to enter into binding contracts with our target customers. However, we may not correctly predict the amount or timing of our future contract proceeds, revenues and our operating expenses, which may fluctuate significantly in the future as a result of a variety of factors, many of which are outside of our control, and may be materially different than our announced plans and expectations. These factors include:</w:t>
      </w:r>
    </w:p>
    <w:p>
      <w:pPr>
        <w:spacing w:after="0" w:line="1" w:lineRule="exact"/>
        <w:rPr>
          <w:sz w:val="20"/>
          <w:szCs w:val="20"/>
          <w:color w:val="auto"/>
        </w:rPr>
      </w:pPr>
    </w:p>
    <w:p>
      <w:pPr>
        <w:ind w:left="640" w:right="140" w:hanging="253"/>
        <w:spacing w:after="0" w:line="253" w:lineRule="auto"/>
        <w:tabs>
          <w:tab w:leader="none" w:pos="6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time required to obtain broadband licenses, including the costs to clear the 900 MHz band and to acquire additional spectrum from incumbents and/or to make Anti-Windfall Payments;</w:t>
      </w: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qualify for and utilize the Mandatory Retuning process established by the 2020 Report and Order;</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5 x 5 MHz broadband licenses in accordance with the 2026 Report and Order;</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agreements with the operators of Complex Systems;</w:t>
      </w:r>
    </w:p>
    <w:p>
      <w:pPr>
        <w:spacing w:after="0" w:line="8" w:lineRule="exact"/>
        <w:rPr>
          <w:rFonts w:ascii="Times New Roman" w:cs="Times New Roman" w:eastAsia="Times New Roman" w:hAnsi="Times New Roman"/>
          <w:sz w:val="14"/>
          <w:szCs w:val="14"/>
          <w:color w:val="auto"/>
        </w:rPr>
      </w:pPr>
    </w:p>
    <w:p>
      <w:pPr>
        <w:ind w:left="640" w:right="60" w:hanging="253"/>
        <w:spacing w:after="0" w:line="253" w:lineRule="auto"/>
        <w:tabs>
          <w:tab w:leader="none" w:pos="6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time to promote, market and commercialize our spectrum assets, including the long sales cycle required to enter commercial arrangements with our targeted utility and critical infrastructure customers;</w:t>
      </w: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terms, including the timing of payments, in our future commercial arrangements with our targeted customers;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increasing the size of our organization, including the costs to attract and retain personnel with the skills required to support our business plans;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and market conditions, including as a result of inflation and trade restrictions and tariffs, that delay or otherwise hinder our commercialization efforts; and</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funds we return to stockholders through our share repurchase program.</w:t>
      </w:r>
    </w:p>
    <w:p>
      <w:pPr>
        <w:spacing w:after="0" w:line="7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efforts to control and reduce our operating costs may not be successful. In addition, costs may arise that we currently do not anticipate and unanticipated events may occur that reduce the amounts and delay the timing of our future revenues. We may not be able to adjust our operations in a timely manner to compensate for any shortfall in our revenues, delays in obtaining broadband licenses, delays in entering commercial agreements for our spectrum or increases in the expenses required to secure broadband licenses and implement our commercialization and business plans.</w:t>
      </w:r>
    </w:p>
    <w:p>
      <w:pPr>
        <w:spacing w:after="0" w:line="5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4"/>
          <w:szCs w:val="14"/>
          <w:color w:val="auto"/>
        </w:rPr>
        <w:t>Further, our assumptions regarding the terms of any spectrum transactions we enter into with our targeted customers, including the timing of customer payments, may turn out to be inaccurate. As a result, a significant shortfall in our planned revenues, a significant delay in obtaining broadband licenses, a delay in entering into agreements for our spectrum assets, future customers electing not to make significant pre-payments under the terms of any agreements we enter into or significant increases in our planned expenses could have an immediate and material adverse effect on our business, liquidity, results of operations and prospects. In such case, we may not be able to return capital to our stockholders through dividends or stock repurchases and may be required to issue additional equity or debt securities or enter into other commercial arrangements to secure the additional financial resources to support our future operations and the implementation of our business plans.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318135</wp:posOffset>
            </wp:positionV>
            <wp:extent cx="71481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financing may result in dilution to stockholders, imposition of debt covenants and repayment obligations, or other restrictions that may adversely affect our business, prospects and results of operations. In addition, we may seek additional capital due to market conditions or strategic considerations even if we believe we have sufficient funds for our current or future operating plans.</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have a unique business model, and our business activities, strategic approaches and plans may not be successful.</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Our business is reliant on our ability to secure broadband licenses pursuant to the Report and Order and to commercialize our spectrum assets to our targeted utility and critical infrastructure customers. Since the 2020 Report and Order, we have signed commercial agreements with eleven of our target utility customers for the long-term lease or the sale of our spectrum assets. Although we are in discussions with other utilities and critical infrastructure companies, and we believe many of these utility and critical infrastructure customers have demonstrated an intention to acquire use of our 900 MHz Broadband Spectrum based on their level of engagement, there is no assurance that these discussions will continue to progress or will eventually result in contracts with these entities. There also is no assurance regarding the terms of any agreements we enter into with our target customers, including the time required to enter into an agreement and the amount or timing of any payments from any executed agreement. In addition, there is no assurance that we will be able to satisfy our obligations under our commercial agreements, including our obligations to secure broadband licenses on a timely basis and on commercially reasonable terms, or at all. As a result, there is no assurance that we will be successful in our efforts to commercialize our spectrum assets and other service offerings. Further, our ability to forecast our future operating results is limited and subject to a number of risks and uncertainties, including our ability to accurately forecast and estimate our future revenues and the expenses and time required to obtain broadband licenses and pursue our commercialization plans. We have encountered, and expect to continue to encounter, risks and uncertainties frequently experienced by businesses with unique business models that operate in highly competitive, technical and rapidly changing markets. If our assumptions regarding these risks and uncertainties are incorrect, or if there are adverse changes in our commercialization plans or opportunities or general economic conditions, or if we do not manage or address these risks and uncertainties successfully, our results of operations could differ materially and adversely from our expectations.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 business with a unique business model, our future success will depend, in large part, on our ability to, among other things:</w:t>
      </w:r>
    </w:p>
    <w:p>
      <w:pPr>
        <w:spacing w:after="0" w:line="23" w:lineRule="exact"/>
        <w:rPr>
          <w:sz w:val="20"/>
          <w:szCs w:val="20"/>
          <w:color w:val="auto"/>
        </w:rPr>
      </w:pPr>
    </w:p>
    <w:p>
      <w:pPr>
        <w:ind w:left="640" w:right="140" w:hanging="253"/>
        <w:spacing w:after="0" w:line="253"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requirements and restrictions the FCC has established in the Report and Order to qualify for and obtain broadband licenses in key geographic areas on a timely and cost-effective basis;</w:t>
      </w:r>
    </w:p>
    <w:p>
      <w:pPr>
        <w:ind w:left="640" w:hanging="253"/>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commercialize our spectrum assets to our targeted utility and critical infrastructure customers on favorable terms and on a timely basis;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our obligations under our existing and any future agreements with our customers on a timely basis and on commercially reasonable terms;</w:t>
      </w:r>
    </w:p>
    <w:p>
      <w:pPr>
        <w:spacing w:after="0" w:line="8" w:lineRule="exact"/>
        <w:rPr>
          <w:rFonts w:ascii="Times New Roman" w:cs="Times New Roman" w:eastAsia="Times New Roman" w:hAnsi="Times New Roman"/>
          <w:sz w:val="14"/>
          <w:szCs w:val="14"/>
          <w:color w:val="auto"/>
        </w:rPr>
      </w:pPr>
    </w:p>
    <w:p>
      <w:pPr>
        <w:ind w:left="640" w:right="60" w:hanging="253"/>
        <w:spacing w:after="0" w:line="253"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against the purchaser of T-Mobile’s 800 MHz spectrum and other wireless companies, such as Verizon, AT&amp;T, and T-Mobile, and telecommunication manufacturers and vendors, many of whom have significantly greater resources and pricing flexibility, long-term relationships with our targeted customers and greater political and regulatory influence;</w:t>
      </w:r>
    </w:p>
    <w:p>
      <w:pPr>
        <w:ind w:left="640" w:right="80" w:hanging="253"/>
        <w:spacing w:after="0" w:line="253"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convince chipmakers and other technology, product and solution manufacturers and vendors to continue to offer or to develop the technology, products and solutions required to satisfy our customers’ various use cases and meet the technical specifications established in the Report and Order; and</w:t>
      </w:r>
    </w:p>
    <w:p>
      <w:pPr>
        <w:ind w:left="640" w:hanging="253"/>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manage our internal business, regulatory, technical and commercial operations in an efficient and cost-effective manner.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12529"/>
        </w:rPr>
        <w:t>Any failure to achieve one or more of these objectives could adversely affect our business, our results of operations and our financial condition.</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have had net losses most years since our inception and may not achieve or maintain profitability in the future.</w:t>
      </w:r>
    </w:p>
    <w:p>
      <w:pPr>
        <w:spacing w:after="0" w:line="96"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212529"/>
        </w:rPr>
        <w:t>We have incurred net losses most years since our inception and we may not achieve or maintain profitability in the future for a number of reasons, including without limitation, the costs to obtain broadband licenses, including the costs to clear the 900 MHz band, the costs to promote and commercialize our spectrum assets to our targeted utility and critical infrastructure customers, our inability to commercialize our spectrum assets to our targeted utility and critical infrastructure customers on a timely basis and on commercially favorable terms and changes in our revenue recognition policies. Additionally, we may encounter unforeseen operating expenses, difficulties, complications, delays and other unknown factors that may result in significant delays in our commercialization efforts, levels of revenue below our current expectations, or losses or expenses that exceed our current expectations. If our losses or expenses exceed our expectations or our revenue assumptions are not met in future periods, we may never achieve or maintain profitability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209550</wp:posOffset>
            </wp:positionV>
            <wp:extent cx="71481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net operating losses (</w:t>
      </w:r>
      <w:r>
        <w:rPr>
          <w:rFonts w:ascii="Times New Roman" w:cs="Times New Roman" w:eastAsia="Times New Roman" w:hAnsi="Times New Roman"/>
          <w:sz w:val="14"/>
          <w:szCs w:val="14"/>
          <w:b w:val="1"/>
          <w:bCs w:val="1"/>
          <w:color w:val="212529"/>
        </w:rPr>
        <w:t>“</w:t>
      </w:r>
      <w:r>
        <w:rPr>
          <w:rFonts w:ascii="Times New Roman" w:cs="Times New Roman" w:eastAsia="Times New Roman" w:hAnsi="Times New Roman"/>
          <w:sz w:val="14"/>
          <w:szCs w:val="14"/>
          <w:b w:val="1"/>
          <w:bCs w:val="1"/>
          <w:i w:val="1"/>
          <w:iCs w:val="1"/>
          <w:color w:val="auto"/>
        </w:rPr>
        <w:t>NOLs</w:t>
      </w:r>
      <w:r>
        <w:rPr>
          <w:rFonts w:ascii="Times New Roman" w:cs="Times New Roman" w:eastAsia="Times New Roman" w:hAnsi="Times New Roman"/>
          <w:sz w:val="14"/>
          <w:szCs w:val="14"/>
          <w:b w:val="1"/>
          <w:bCs w:val="1"/>
          <w:color w:val="212529"/>
        </w:rPr>
        <w:t>”</w:t>
      </w:r>
      <w:r>
        <w:rPr>
          <w:rFonts w:ascii="Times New Roman" w:cs="Times New Roman" w:eastAsia="Times New Roman" w:hAnsi="Times New Roman"/>
          <w:sz w:val="14"/>
          <w:szCs w:val="14"/>
          <w:b w:val="1"/>
          <w:bCs w:val="1"/>
          <w:i w:val="1"/>
          <w:iCs w:val="1"/>
          <w:color w:val="auto"/>
        </w:rPr>
        <w:t>) are subject to certain restrictions and limitations, which may reduce our ability to use such NOLs in offsetting our future taxable income.</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212529"/>
        </w:rPr>
        <w:t xml:space="preserve">As of </w:t>
      </w:r>
      <w:r>
        <w:rPr>
          <w:rFonts w:ascii="Times New Roman" w:cs="Times New Roman" w:eastAsia="Times New Roman" w:hAnsi="Times New Roman"/>
          <w:sz w:val="14"/>
          <w:szCs w:val="14"/>
          <w:color w:val="000000"/>
        </w:rPr>
        <w:t>March 31, 2026</w:t>
      </w:r>
      <w:r>
        <w:rPr>
          <w:rFonts w:ascii="Times New Roman" w:cs="Times New Roman" w:eastAsia="Times New Roman" w:hAnsi="Times New Roman"/>
          <w:sz w:val="14"/>
          <w:szCs w:val="14"/>
          <w:color w:val="212529"/>
        </w:rPr>
        <w:t xml:space="preserve">, we had approximately </w:t>
      </w:r>
      <w:r>
        <w:rPr>
          <w:rFonts w:ascii="Times New Roman" w:cs="Times New Roman" w:eastAsia="Times New Roman" w:hAnsi="Times New Roman"/>
          <w:sz w:val="14"/>
          <w:szCs w:val="14"/>
          <w:color w:val="000000"/>
        </w:rPr>
        <w:t>$194.2 million</w:t>
      </w:r>
      <w:r>
        <w:rPr>
          <w:rFonts w:ascii="Times New Roman" w:cs="Times New Roman" w:eastAsia="Times New Roman" w:hAnsi="Times New Roman"/>
          <w:sz w:val="14"/>
          <w:szCs w:val="14"/>
          <w:color w:val="212529"/>
        </w:rPr>
        <w:t xml:space="preserve"> in federal NOL carryforwards that can be carried forward indefinitely but are limited to 80% of future taxable income when used. In the United States, the utilization of our NOL carryforwards may be subject to a substantial annual limitations under Section 382 of the Internal Revenue Code of 1986, as amended (the “Code”), and similar state provisions due to ownership change limitations that have occurred previously or that could occur in the future. If we were to lose the benefits of these NOL carryforwards, our future earnings and cash resources would be materially and adversely affected. We have mainly incurred net losses since our inception, and we anticipate that we will continue to incur significant losses for the foreseeable future; thus, we do not know whether or when we will generate the U.S. federal taxable income necessary to utilize our NOLs.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 value of our spectrum assets may fluctuate significantly based on supply and demand, as well as technical and regulatory changes.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FCC spectrum licenses we hold are our most valuable asset. The value of our spectrum, however, may fluctuate based on various factors, including, among others:</w:t>
      </w:r>
    </w:p>
    <w:p>
      <w:pPr>
        <w:spacing w:after="0" w:line="23" w:lineRule="exact"/>
        <w:rPr>
          <w:sz w:val="20"/>
          <w:szCs w:val="20"/>
          <w:color w:val="auto"/>
        </w:rPr>
      </w:pPr>
    </w:p>
    <w:p>
      <w:pPr>
        <w:ind w:left="520" w:right="14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time required to comply with the FCC’s requirements to obtain broadband licenses in the 900 MHz band, including purchasing additional spectrum and retuning and relocating incumbents;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long-term leases or sales agreements with our targeted utility and critical infrastructure customers on a timely basis and on commercially reasonable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uses of our spectrum based on the Report and Order and available technology;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availability of, and demand for, broadband spectrum;</w:t>
      </w:r>
    </w:p>
    <w:p>
      <w:pPr>
        <w:spacing w:after="0" w:line="8"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of broadband spectrum made available to our targeted customers by existing wireless carriers, including broadband spectrum offered to our customers by the buyer of T-Mobile’s 800 MHz spectrum;</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private broadband networks, technologies and solutions by our targeted utility and critical infrastructure customers;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by the FCC to make additional spectrum available or to promote more flexible uses of existing spectrum in other bands.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Similarly, the price of any additional spectrum we desire to purchase to enable us to qualify for broadband licenses or our future business plans will also fluctuate based on similar factors.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decline in the value of our spectrum or increases in the cost of the spectrum we acquire could have an adverse effect on our market value and our business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Use of Our Spectrum</w:t>
      </w:r>
    </w:p>
    <w:p>
      <w:pPr>
        <w:spacing w:after="0" w:line="94"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plans to commercialize our 900 MHz spectrum assets depend on our ability to continue to qualify for and obtain broadband licenses from the FCC requirements. If we are unable to continue to obtain broadband licenses on a timely basis, our business, liquidity, results of operations and prospects will be materially adversely affected.</w:t>
      </w:r>
    </w:p>
    <w:p>
      <w:pPr>
        <w:spacing w:after="0" w:line="3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Our plans to commercialize our 900 MHz spectrum assets depend on our ability to continue to obtain broadband licenses in accordance with the FCC requirements, including three general eligibility requirements to obtain a broadband license, which we refer to herein as (i) the “50% Licensed Spectrum Test,” (ii) the “90% Broadband Segment Test” or the 5 x 5 Broadband Segment Test and (iii) the “240 or 399 Channel Requirement.” We need to satisfy all eligibility requirements in each county in the United States for which we desire to obtain a broadband license. Under the 50% Licensed Spectrum Test, we must demonstrate that we hold more than 50% of the licensed channels in the 900 MHz band in the applicable county. Under the 90% Broadband Segment Test, we must provide the FCC with a plan demonstrating that we hold, will protect, or have agreements with Covered Incumbents for, at least 90% of the licensed channels in the 6 MHz broadband segment designated by the FCC and within 70 miles of the county boundary. The 5 x 5 Broadband Segment Test, is similar to the corresponding 3 x 3 broadband licensing rules of the 2020 Report and Order with the exception that prospective 5 x 5 broadband licensees must hold, have agreements with or protect Covered Incumbents for 100% of Covered Incumbents in the narrowband segments. Anterix may invoke Mandatory Retuning of channels in the 3 x 3 MHz broadband segment held by those licensees. under the 240 MHz Channel Requirement, but we must surrender 6 MHz (240 channels) or 10 MHz (399 channels) of broadband or narrowband spectrum in the applicable county to the FCC. If we do not have a sufficient number of channels to satisfy any of these eligibility requirements, we will be required to purchase the additional channels from incumbents in privately negotiated transactions, swap channels with incumbents (including any required retuning of the incumbent radio systems), demonstrate the ability to protect Covered Incumbents or pay for the deficiency by making an Anti-Windfall Payment. The amount of spectrum we will be required to purchase and/or swap and the amount of any Anti-Windfall Payment will vary in each county based on our existing spectrum holdings in such county. Our ability to acquire and/or swap the additional spectrum necessary to secure broadband licenses in a desired county on a timely and cost-effective basis will depend on the incumbents who hold the additional spectrum we need to acquire or swap and their operations that we may need to retune or replace. Obtaining the required spectrum to qualify for broadband licenses in a particular county may take longer and be more expensive than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481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3"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currently anticipate. In addition, as discussed in more detail below, incumbents may elect not to sell or swap their existing channels on reasonable terms, or at all, and until we obtain a broadband license from the FCC, we will not be able to utilize the Mandatory Retuning procedures, which apply only to channels in the 3 x 3 MHz broadband segment and not to channels in the two narrowband segments. If we are unable to continue to obtain broadband licenses on favorable terms and on a timely basis, our business, liquidity, results of operations and prospects will be materially adversely affected. In addition, significant costs or delays beyond what we have anticipated in our business plan will further delay us from commercializing our spectrum assets, may prevent us from returning capital to stockholders (through dividends or stock repurchases), and require us to seek additional sources of capital and liquidity in order to carry out our business and plans, which could cause significant dilution to our existing stockholders. See the risk factor entitled “</w:t>
      </w:r>
      <w:r>
        <w:rPr>
          <w:rFonts w:ascii="Times New Roman" w:cs="Times New Roman" w:eastAsia="Times New Roman" w:hAnsi="Times New Roman"/>
          <w:sz w:val="14"/>
          <w:szCs w:val="14"/>
          <w:i w:val="1"/>
          <w:iCs w:val="1"/>
          <w:color w:val="auto"/>
        </w:rPr>
        <w:t>We may not be able to correctly estimate our operating expenses or future revenues, which could lead to cash shortfalls,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may prevent us from returning capital to our stockholders and require us to secure additional financing</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right="50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voluntary exchange process established by the FCC in the Report and Order may not allow us to clear or relocate incumbents in certain counties in a timely manner and on commercially reasonable terms, or at all.</w:t>
      </w:r>
    </w:p>
    <w:p>
      <w:pPr>
        <w:spacing w:after="0" w:line="37" w:lineRule="exact"/>
        <w:rPr>
          <w:sz w:val="20"/>
          <w:szCs w:val="20"/>
          <w:color w:val="auto"/>
        </w:rPr>
      </w:pPr>
    </w:p>
    <w:p>
      <w:pPr>
        <w:ind w:right="40" w:firstLine="446"/>
        <w:spacing w:after="0" w:line="257" w:lineRule="auto"/>
        <w:rPr>
          <w:sz w:val="20"/>
          <w:szCs w:val="20"/>
          <w:color w:val="auto"/>
        </w:rPr>
      </w:pPr>
      <w:r>
        <w:rPr>
          <w:rFonts w:ascii="Times New Roman" w:cs="Times New Roman" w:eastAsia="Times New Roman" w:hAnsi="Times New Roman"/>
          <w:sz w:val="14"/>
          <w:szCs w:val="14"/>
          <w:color w:val="auto"/>
        </w:rPr>
        <w:t>The Report and Order established a market-driven, voluntary exchange process for clearing the channels in the 3 x 3 MHz broadband segment. When we apply for a 3 x 3 broadband license, we will need to demonstrate that we satisfy the 90% Broadband Segment Test to obtain a 3 x 3 broadband license or the 5 x 5 Broadband Segment Test (which requires agreements with 100% of the Covered Incumbents) for a 5 x 5 broadband license. The fact that we will need to account for 90% of the licensed channels in the broadband segment before we can file for a broadband application, can lead to holdouts by Covered Incumbents. For example, a Covered Incumbent may demand compensation in an amount that is disproportionate to the cost of relocating its system or any reasonable reflection of the value of its spectrum holdings or may elect not to negotiate an agreement at all. There is no assurance, however, that we can swap or acquire sufficient channels, including purchasing additional spectrum, swapping spectrum or entering into protective agreements with Covered Incumbents, to satisfy the 90% Broadband Segment Test or the 5 x 5 Broadband Segment Test in all counties on a timely basis and on commercially reasonable terms, or at all. Further, even if we satisfy the 90% Broadband Segment Test, as part of the Mandatory Retuning process we may be required to pay any costs associated with providing Covered Incumbents with comparable facilities and paying relocation costs.</w:t>
      </w:r>
    </w:p>
    <w:p>
      <w:pPr>
        <w:spacing w:after="0" w:line="64" w:lineRule="exact"/>
        <w:rPr>
          <w:sz w:val="20"/>
          <w:szCs w:val="20"/>
          <w:color w:val="auto"/>
        </w:rPr>
      </w:pPr>
    </w:p>
    <w:p>
      <w:pPr>
        <w:ind w:right="40" w:firstLine="446"/>
        <w:spacing w:after="0" w:line="257" w:lineRule="auto"/>
        <w:rPr>
          <w:sz w:val="20"/>
          <w:szCs w:val="20"/>
          <w:color w:val="auto"/>
        </w:rPr>
      </w:pPr>
      <w:r>
        <w:rPr>
          <w:rFonts w:ascii="Times New Roman" w:cs="Times New Roman" w:eastAsia="Times New Roman" w:hAnsi="Times New Roman"/>
          <w:sz w:val="14"/>
          <w:szCs w:val="14"/>
          <w:color w:val="auto"/>
        </w:rPr>
        <w:t>In addition, the FCC has exempted channels from the Mandatory Retuning process that are being utilized by incumbents operating Complex Systems. The FCC exempted Complex Systems from the Mandatory Retuning requirements because retuning these systems could be complex and disruptive to the incumbent operators. Complex Systems are located in some of the largest business and population centers in the United States. Most are operated by electric utilities, including some utilities that actively opposed our 900 MHz Broadband Spectrum initiatives that resulted in the Report and Order. This exemption may prevent us from obtaining broadband licenses in counties where these Complex Systems are located (or if a Complex System is being operated within 70 miles of a county boundary for which we are attempting to obtain a broadband license) without the incumbent’s consent, which could be withheld for any reason, or for no reason. As a result, the incumbents operating Complex Systems can make demands that are not commercially reasonable (including the commercial terms to obtain the use of our spectrum), delay their decision or refuse to negotiate with us altogether. Our inability to obtain broadband licenses in counties where Complex Systems are currently being operated (or are being operated within 70 miles of a county boundary for which we are attempting to obtain a broadband license) could have a material adverse effect on our operations and business plan, our future prospects and opportunities and on our ability to develop a profitable business.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 members of the AAR may delay our ability to commercialize broadband licenses.</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AAR holds a nationwide geographic license for the 900 MHz A Block and is not subject to Mandatory Retuning Relocation from that spectrum must be on a voluntary basis and a failure to reach an agreement regarding the relocation to 220 MHz could prevent issuance of a 5 x 5 MHz broadband license in any county. We recognized from the outset of the 900 MHz proceedings the importance of reaching agreements with the railroads about their relocation and worked with them throughout the FCC process.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customers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initiatives with the federal and state agencies and commissions that regulate electric utilities may not be successful, which may impact our commercialization efforts.</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targeted utility and critical infrastructure customers are highly regulated by both federal and state agencies. Electrical utilities, for example, are regulated by federal agencies including the Department of Energy, the Department of Homeland Security, the Federal Energy Regulatory Commission and the NIST. We are working with each of these agencies to educate them about the potential benefits that private broadband LTE networks, technologies and solutions utilizing our spectrum assets can offer utilities. We are also working with state agencies and commissions who regulate the electrical utilities in their respective states, and who have a strong influence over electric utility buying decisions in their jurisdictions. Our goal with these state agencies and commissions is to gain their support for allowing utilities to pass the capital costs of leasing or purchasing our spectrum assets and deploying private broadband LTE networks, technologies and solutions to ratepayers,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209550</wp:posOffset>
            </wp:positionV>
            <wp:extent cx="71481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including at a customary rate of return for the utility company. To date, these initiatives have been successful with certain states in which our customers operate. We may not be successful, however, in gaining support from all of the governmental bodies that regulate our existing and future customers on a timely basis, or at all, which could hinder or delay our commercialization efforts with utilities and other entities. If we do not gain support from these governmental bodies, our targeted critical infrastructure customers may not find it commercially feasible to lease or buy our spectrum assets.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any broadband licenses that we own and/or obtain from the FCC.</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FCC issues each spectrum license for a fixed period, typically ten years in the case of the FCC licenses for the narrowband spectrum we currently hold and 15 years for any broadband licenses we have or intend to secure in the future. The 2020 Report and Order established “performance” or build-out requirements that we will be required to meet to retain and renew any broadband licenses we obtain (“Build-out Requirements”). Performance will be measured at the six- and twelve-year anniversaries of each broadband license. The 2026 Report and Order has a specific buildout provision for licensees that expand from a 3 x 3 MHz to a 5 x 5 MHz broadband license. In general and depending on where they are in their 3 x 3 MHz buildout schedule, their deadlines for 5 x 5 MHz deployment will be extended by two years. Licenses will control the timing of when they apply to expand from a 3 x 3 MHz to a 5 x 5 MHz broadband license to coincide with their deployment progress and ability to meet modified buildout deadlines. Although we have contractual rights and remedies with our licensees in the event of their failure to meet the Build-Out Requirements, a failure to satisfy the six-year anniversary requirement accelerates the twelve-year anniversary to a ten-year anniversary requirement. A failure to satisfy these requirements could result in the FCC’s termination of a broadband license or refusal to renew a previously issued broadband license. In addition, under our business plan, we intend for our customers to be responsible to pay the build-out and operating costs of such broadband systems. Such Build-Out Requirements could impose a significant expense and could cause potential customers to decide not to license broadband licenses from us, or to seek alternative communication solutions from other providers. Additionally, if the customer fails to satisfy these requirements, we have the step in rights to meet the Build-Out Requirements which could impose a significant expense on our business.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any narrowband licenses that we own and/or obtain from the FCC or other licensees.</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FCC issues each spectrum license for a fixed period, typically ten years in the case of the FCC licenses for the narrowband spectrum we currently hold or intend to secure in the future. Our narrowband licenses are necessary for us to meet the eligibility requirements of becoming a broadband licensee and hence to obtain a broadband license. Narrowband licenses that have met their construction requirements must be renewed prior to their expiration date. These renewals are subject to continued certification that they are constructed and operational. Although we have contractual rights with site owners and operators, a failure to maintain these operations could occur outside of our control. A failure to satisfy these requirements could result in the FCC’s termination of a narrowband license or refusal to renew a previously issued narrowband license.</w:t>
      </w:r>
    </w:p>
    <w:p>
      <w:pPr>
        <w:spacing w:after="0" w:line="56" w:lineRule="exact"/>
        <w:rPr>
          <w:sz w:val="20"/>
          <w:szCs w:val="20"/>
          <w:color w:val="auto"/>
        </w:rPr>
      </w:pPr>
    </w:p>
    <w:p>
      <w:pPr>
        <w:ind w:right="4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or actions taken by governmental bodies could adversely affect our business prospects, liquidity and results of operations, including any changes by the FCC to the Report and Order or to the FCC rules and regulations governing the 900 MHz band.</w:t>
      </w:r>
    </w:p>
    <w:p>
      <w:pPr>
        <w:spacing w:after="0" w:line="37"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leasing and sale of spectrum licenses, as well as the deployment and operation of wireless networks and technologies, are regulated by the FCC and, depending on the jurisdiction, by state and local regulatory agencies. In particular, the FCC imposes significant regulation on licensees of wireless spectrum with respect to how FCC licenses may be transferred or sold. The FCC also regulates how the spectrum is used by licensees, the nature of the services that licensees may offer and how the services may be offered, including resolution of issues of interference. Failure to comply with FCC requirements applicable to a given license could result in revocation or non-renewal of the license, depending on the nature and severity of the non-compliance. If we, or any of the future licensees of our spectrum assets, fail to comply with applicable FCC regulations, we may be subject to sanctions or lose our FCC licenses, which would have a material adverse effect on our business, liquidity, results of operations and prospects.</w:t>
      </w:r>
    </w:p>
    <w:p>
      <w:pPr>
        <w:spacing w:after="0" w:line="6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addition, the FCC and other federal, state and local governmental authorities could adopt new regulations or take actions, including imposing taxes or fees on our business that could have a materially adverse effect on our business, liquidity, results of operations and prospects. Further, the FCC or Congress may make additional spectrum available for communications services, which may result in the introduction of additional competitive entrants to the already crowded wireless communications marketplace in which we compete. For example, the federal government created and funded the FRNA which the federal government authorized to help accomplish, fund and oversee the deployment of the dedicated NPSBN. The NPSBN, which is marketed as “FirstNet”, may provide an additional source of competition to utilizing our 900 MHz spectrum assets by our targeted critical infrastructure and enterprise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382905</wp:posOffset>
            </wp:positionV>
            <wp:extent cx="71481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Federal government shutdowns could affect our ability to obtain broadband licenses from the FCC, which could adversely impact our ability to comply with our contractual obligations and to commercialize our 900 MHz spectrum assets.</w:t>
      </w:r>
    </w:p>
    <w:p>
      <w:pPr>
        <w:spacing w:after="0" w:line="3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Our plans to commercialize our 900 MHz spectrum assets depend on our ability to continue to qualify for and obtain broadband licenses from the FCC. In addition, our existing commercial agreements with our customers require us to deliver cleared spectrum and broadband licenses in designated service territories on a timely basis.</w:t>
      </w:r>
    </w:p>
    <w:p>
      <w:pPr>
        <w:spacing w:after="0" w:line="3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federal government shutdown that began on October 1, 2025 and ended on November 12, 2025 resulted in the FCC operating with significantly reduced staffing and suspensions of most licensing and application processing activities. As a result, the review, processing, and grant of our broadband license applications and related filings were delayed and could continue to be delayed. Future federal government shutdowns and any related delays could impede our ability to obtain, renew, or modify broadband licenses and other approvals necessary to satisfy our contractual obligations with our customers and to commercialize our 900 MHz spectrum assets in accordance with our business plan.</w:t>
      </w:r>
    </w:p>
    <w:p>
      <w:pPr>
        <w:spacing w:after="0" w:line="56" w:lineRule="exact"/>
        <w:rPr>
          <w:sz w:val="20"/>
          <w:szCs w:val="20"/>
          <w:color w:val="auto"/>
        </w:rPr>
      </w:pPr>
    </w:p>
    <w:p>
      <w:pPr>
        <w:jc w:val="center"/>
        <w:ind w:right="420"/>
        <w:spacing w:after="0" w:line="287" w:lineRule="auto"/>
        <w:rPr>
          <w:sz w:val="20"/>
          <w:szCs w:val="20"/>
          <w:color w:val="auto"/>
        </w:rPr>
      </w:pPr>
      <w:r>
        <w:rPr>
          <w:rFonts w:ascii="Times New Roman" w:cs="Times New Roman" w:eastAsia="Times New Roman" w:hAnsi="Times New Roman"/>
          <w:sz w:val="14"/>
          <w:szCs w:val="14"/>
          <w:color w:val="auto"/>
        </w:rPr>
        <w:t>The duration of any government shutdown directly impacts our ability to deliver broadband licenses to our customers on a timely basis, satisfy our obligations and execute our commercialization strategy. If a federal government shutdown were to recur in the future, our business, liquidity, results of operations, and prospects could be materially and adversely affected.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Organization and Structure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change our operations and business strategies without stockholder consent.</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Our executive management team, with oversight from our Board, establishes our operational plans, our commercialization plans and our business strategies. Our Board and executive management team may make changes to or approve transactions that deviate from our current operations and strategies without a vote of, or prior notice to, our stockholders. This authority to change our operations, commercialization plans and business strategies could result in us conducting operational matters, making investments, pursuing spectrum opportunities, or implementing business or growth strategies in a manner different than those that we are currently pursuing. Under any of these circumstances, we may expose ourselves to different and more significant risks, decrease our revenues or increase our expenses and financial requirements, any of which could have a material adverse effect on our business, prospects, liquidity, financial condition and results of operations.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our executive officers and key personnel and to attract, retain and motivate qualified personnel.</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success depends to a significant degree upon the contributions of our executive officers and key personnel, who have unique experience and expertise in the telecommunications industry, large scale and multi-year solution selling to utilities, wireless broadband networks, FCC rulemaking and spectrum retuning and clearing to obtain FCC licenses. Although we have adopted a severance plan for our executive officers, we do not otherwise have long-term employment agreements with any of our executive officers or key personnel. There is no guarantee that these individuals will remain employed with us. In addition, we have not obtained and do not expect to obtain key man life insurance that would provide us with proceeds in the event of the death or disability of any of our executive officers or key personnel. If any of our executive officers or key personnel were to cease employment with us, our operating results and the implementation of our commercial and business terms could suffer. Further, the process of attracting and retaining suitable replacements for our executive officers and key personnel would result in transition costs and could divert the attention of other members of our senior management team from our existing operations. As a result, the loss of services from our executive officers or key personnel or a limitation in their availability could materially and adversely impact our business, customer prospects and results of operations. Further, such a loss could be negatively perceived in the capital markets.</w:t>
      </w:r>
    </w:p>
    <w:p>
      <w:pPr>
        <w:spacing w:after="0" w:line="64"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Recruiting and retaining qualified personnel, including effective sales personnel, are critical to our success. Competition to hire qualified personnel in our industry is intense, and we may be unable to hire, train, retain or motivate these key personnel on acceptable terms given the competition among numerous telecommunications, service and infrastructure companies for similar personnel.</w:t>
      </w:r>
    </w:p>
    <w:p>
      <w:pPr>
        <w:spacing w:after="0" w:line="49" w:lineRule="exact"/>
        <w:rPr>
          <w:sz w:val="20"/>
          <w:szCs w:val="20"/>
          <w:color w:val="auto"/>
        </w:rPr>
      </w:pPr>
    </w:p>
    <w:p>
      <w:pPr>
        <w:ind w:right="60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implement and maintain an effective system of internal controls, we may not be able to accurately determine our financial results or prevent fraud. As a result, our stockholders could lose confidence in our financial results, which would materially and adversely affect our value and our ability to raise any required capital in the future.</w:t>
      </w:r>
    </w:p>
    <w:p>
      <w:pPr>
        <w:spacing w:after="0" w:line="3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Effective internal controls are necessary for us to provide reliable financial reports and effectively prevent fraud. We cannot be certain that we will be successful in implementing or maintaining effective internal controls for all financial periods. We have discovered in the past and may discover in the future areas of our internal controls that need improvement or additional documentation. As we look to grow our business, our internal controls will become more complex, and we will require significantly more resources to ensure our internal controls remain effective. The existence of any material weakness or significant deficiency in the future may require management to devote significant time and incur significant expense to remediate any such material weaknesses or significant deficiencies and management may not be able to remediate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4"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material weaknesses or significant deficiencies in a timely manner. In addition, the existence of any material weakness in our internal controls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value and our ability to raise any required capital in the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There is no assurance that a robust market in our common stock will develop or be sustained.</w:t>
      </w:r>
    </w:p>
    <w:p>
      <w:pPr>
        <w:spacing w:after="0" w:line="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Since our common stock began trading on the Nasdaq Stock Market in 2015, a limited number of stockholders have owned a significant percentage of our common stock, which has resulted in a limited daily trading volume for our common stock. We cannot assure you that a more active or liquid trading market for our common stock will develop, or will be sustained if it does develop, either of which could materially and adversely affect the market price of our common stock, our ability to raise capital in the future and the ability of stockholders to sell their shares at the volume, prices and times desired. In addition, the risks and uncertainties related to our ability to timely commercialize our spectrum assets makes it difficult to evaluate our business, our prospects and the valuation of our Company, which limits the liquidity and volume of our common stock and may have a material adverse effect on the market price of our common stock.</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prices may be volatile, which could cause the value of our common stock to decline.</w:t>
      </w:r>
    </w:p>
    <w:p>
      <w:pPr>
        <w:spacing w:after="0" w:line="96" w:lineRule="exact"/>
        <w:rPr>
          <w:sz w:val="20"/>
          <w:szCs w:val="20"/>
          <w:color w:val="auto"/>
        </w:rPr>
      </w:pPr>
    </w:p>
    <w:p>
      <w:pPr>
        <w:ind w:right="120" w:firstLine="446"/>
        <w:spacing w:after="0" w:line="263" w:lineRule="auto"/>
        <w:rPr>
          <w:sz w:val="20"/>
          <w:szCs w:val="20"/>
          <w:color w:val="auto"/>
        </w:rPr>
      </w:pPr>
      <w:r>
        <w:rPr>
          <w:rFonts w:ascii="Times New Roman" w:cs="Times New Roman" w:eastAsia="Times New Roman" w:hAnsi="Times New Roman"/>
          <w:sz w:val="14"/>
          <w:szCs w:val="14"/>
          <w:color w:val="auto"/>
        </w:rPr>
        <w:t>The market price of our common stock may be highly volatile and subject to wide fluctuations. Some of the factors that could negatively affect or result in fluctuations in the market price of our common stock include:</w:t>
      </w:r>
    </w:p>
    <w:p>
      <w:pPr>
        <w:spacing w:after="0" w:line="1"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costs of securing broadband licenses;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contracts with our targeted utility and critical infrastructure customers, on a timely basis and on commercially favorable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customer contracts, including pre-payments and our contractual obligations;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our obligations, on a timely and cost-effective basis, under our existing customer contracts;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reaction to any changes in our business plans or strategies;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offerings or actions by our competitors, including the recent purchaser of T-Mobile’s 800 MHz spectrum;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regulations or actions taken by governmental bodies;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any of our executive officers or key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our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economic and political conditions, including an economic slowdown, inflation, trade restrictions and tariffs, and supply chain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performance and the performance of other similar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judgments or assumptions;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passage of legislation or other regulatory developments that adversely affect us or our industry.</w:t>
      </w:r>
    </w:p>
    <w:p>
      <w:pPr>
        <w:spacing w:after="0" w:line="77"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Concentration of ownership will limit your ability to influence corporate matters.</w:t>
      </w:r>
    </w:p>
    <w:p>
      <w:pPr>
        <w:spacing w:after="0" w:line="9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Based on our review of publicly available filings as of June 19, 2026, funds affiliated with Owl Creek Asset Management, L.P. (“Owl Creek”) beneficially owned approximately 27.8%, funds affiliated with Heard Capital LLC owned approximately 8.8%. These two investment firms collectively beneficially own approximately 36.6% of our outstanding shares of common stock. In addition, one of our directors is the Chief Portfolio Manager of Owl Creek. Although we are not aware of any voting arrangements between these stockholders, our significant stockholders can significantly influence: (i) the outcome of any corporate actions submitted by our Board for approval by our stockholders and (ii) any proposals or director nominees submitted by a stockholder. Further, they could place significant pressure on our Board to pursue corporate actions, director candidates and business opportunities they identify. For example, our significant stockholders could significantly influence a proposed sale of the company or its assets. As a result of this concentration of ownership, our other stockholders may have a reduced voice in our corporate actions or the operations of our business, which may adversely affect the market price of our common stock.</w:t>
      </w:r>
    </w:p>
    <w:p>
      <w:pPr>
        <w:spacing w:after="0" w:line="60"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or preferred stock, or of other securities convertible into our common stock or preferred stock, could cause the market value of our common stock to decline and could result in dilution of your shares.</w:t>
      </w:r>
    </w:p>
    <w:p>
      <w:pPr>
        <w:spacing w:after="0" w:line="3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Our Board is authorized, without stockholder approval, to permit us to issue additional shares of common stock or to raise capital through the creation and issuance of preferred stock, other debt securities convertible into common stock or preferred stock, options, warrants and other rights, on terms and for consideration as our Board in its sole discretion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Sales of substantial amounts of our common stock, including sales by our officers, directors or 5% and greater stockholders, or of preferred stock could cause the market price of our common stock to decrease significantly. We cannot predict the effect, if any, of future sales of our common stock, or the availability of our common stock for future sales, on the value of our common stock. Sales of substantial amounts of our common stock by any one or more of our large stockholders, or the perception that such sales could occur, may adversely affect the market price of our common stock.</w:t>
      </w:r>
    </w:p>
    <w:p>
      <w:pPr>
        <w:spacing w:after="0" w:line="54" w:lineRule="exact"/>
        <w:rPr>
          <w:sz w:val="20"/>
          <w:szCs w:val="20"/>
          <w:color w:val="auto"/>
        </w:rPr>
      </w:pPr>
    </w:p>
    <w:p>
      <w:pPr>
        <w:ind w:right="2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3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Board authorized a share repurchase program (the “2023 Share Repurchase Program”) pursuant to which we may repurchase up to $250.0 million of our common stock on or before September 21, 2026.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 Tax”). We have and will continue to take the Share Repurchase Excise Tax into account with respect to our decisions to repurchase shares.</w:t>
      </w:r>
    </w:p>
    <w:p>
      <w:pPr>
        <w:spacing w:after="0" w:line="62"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offerings of debt securities or preferred stock, which would rank senior to our common stock in the event of our bankruptcy or liquidation, may adversely affect the market price of our common stock.</w:t>
      </w:r>
    </w:p>
    <w:p>
      <w:pPr>
        <w:spacing w:after="0" w:line="3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In the future, we may attempt to increase our capital resources by making offerings of debt securities or otherwise incurring debt. In the event of our bankruptcy or liquidation, holders of our debt securities may be entitled to receive distributions of our available assets prior to the holders of our common stock. In addition, we may offer preferred stock that provides holders with a preference on liquidating distributions or a preference on dividend payments or both or that could otherwise limit our ability to pay dividends or make liquidating distributions to the holders of our common stock. Although we have no present plans to do so, our decision to issue debt securities or to issue preferred stock in any future offerings or otherwise incur debt may depend on market conditions and other factors beyond our control. As a result, we cannot predict or estimate the amount, timing or nature of our future offerings, and investors in our common stock bear the risk of our future offerings reducing the market price of our common stock and/or diluting their ownership interest in us.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Certain anti-takeover defenses and applicable law may limit the ability of a third party to acquire control of us.</w:t>
      </w:r>
    </w:p>
    <w:p>
      <w:pPr>
        <w:spacing w:after="0" w:line="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as amended (the “Amended and Restated Certificate of Incorporation”) and amended and restated bylaws, as amended (the “Amended and Restated Bylaws”), could discourage, delay, or prevent a merger, acquisition, or other change of control that stockholders may consider favorable, including transactions in which you might otherwise receive a premium for your shares. These provisions also could limit the price that investors might be willing to pay in the future for our common stock, thereby depressing the market price of our common stock. These provisions, among other things:</w:t>
      </w:r>
    </w:p>
    <w:p>
      <w:pPr>
        <w:spacing w:after="0" w:line="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directors to be changed only by resolution of our Board;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to issue, without stockholder approval, preferred stock, the rights of which will be determined at the discretion of our Board and that, if issued, could operate as a “poison pill” to dilute the stock ownership of a potential hostile acquirer to prevent an acquisition that our Board does not approve;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nominations to our Board or for stockholder proposals that can be acted on at stockholder meetings;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a stockholders meeting.</w:t>
      </w:r>
    </w:p>
    <w:p>
      <w:pPr>
        <w:spacing w:after="0" w:line="7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color w:val="auto"/>
        </w:rPr>
        <w:t>In addition, we are subject to Section 203 of the Delaware General Corporation Law (the “DGCL”). In general, Section 203 of the DGCL prevents an “interested stockholder” (as defined in the DGCL) from engaging in a “business combination” (as defined in the DGCL) with us for three years following the date that person becomes an interested stockholder unless one or more of the following occurs:</w:t>
      </w:r>
    </w:p>
    <w:p>
      <w:pPr>
        <w:ind w:left="520" w:right="400" w:hanging="260"/>
        <w:spacing w:after="0" w:line="253"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that person became an interested stockholder, our Board approved the transaction in which the interested stockholder became an interested stockholder or approved the business combination;</w:t>
      </w:r>
    </w:p>
    <w:p>
      <w:pPr>
        <w:ind w:left="520" w:right="440" w:hanging="260"/>
        <w:spacing w:after="0" w:line="266"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205105</wp:posOffset>
            </wp:positionV>
            <wp:extent cx="71481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9"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520" w:right="180"/>
        <w:spacing w:after="0" w:line="263" w:lineRule="auto"/>
        <w:rPr>
          <w:sz w:val="20"/>
          <w:szCs w:val="20"/>
          <w:color w:val="auto"/>
        </w:rPr>
      </w:pPr>
      <w:r>
        <w:rPr>
          <w:rFonts w:ascii="Times New Roman" w:cs="Times New Roman" w:eastAsia="Times New Roman" w:hAnsi="Times New Roman"/>
          <w:sz w:val="14"/>
          <w:szCs w:val="14"/>
          <w:color w:val="auto"/>
        </w:rPr>
        <w:t>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 w:lineRule="exact"/>
        <w:rPr>
          <w:sz w:val="20"/>
          <w:szCs w:val="20"/>
          <w:color w:val="auto"/>
        </w:rPr>
      </w:pPr>
    </w:p>
    <w:p>
      <w:pPr>
        <w:ind w:left="520" w:right="380" w:hanging="260"/>
        <w:spacing w:after="0" w:line="266"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 in which that person became an interested stockholder, the business combination is approved by our Board and authorized at a meeting of stockholders by the affirmative vote of the holders of at least 66 2/3% of our outstanding voting stock not owned by the interested stockholder.</w:t>
      </w:r>
    </w:p>
    <w:p>
      <w:pPr>
        <w:spacing w:after="0" w:line="53"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DGCL generally defines “interested stockholder” as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As a result, our election to be subject to Section 203 of the DGCL could limit the ability of a third party to acquire control of us.</w:t>
      </w:r>
    </w:p>
    <w:p>
      <w:pPr>
        <w:spacing w:after="0" w:line="49" w:lineRule="exact"/>
        <w:rPr>
          <w:sz w:val="20"/>
          <w:szCs w:val="20"/>
          <w:color w:val="auto"/>
        </w:rPr>
      </w:pPr>
    </w:p>
    <w:p>
      <w:pPr>
        <w:ind w:right="4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7" w:lineRule="exact"/>
        <w:rPr>
          <w:sz w:val="20"/>
          <w:szCs w:val="20"/>
          <w:color w:val="auto"/>
        </w:rPr>
      </w:pPr>
    </w:p>
    <w:p>
      <w:pPr>
        <w:ind w:right="420" w:firstLine="509"/>
        <w:spacing w:after="0" w:line="26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ind w:left="520" w:right="12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our discretion, indemnify employees and agents in those circumstances where indemnification is permitted by applicable law;</w:t>
      </w:r>
    </w:p>
    <w:p>
      <w:pPr>
        <w:spacing w:after="0" w:line="8" w:lineRule="exact"/>
        <w:rPr>
          <w:rFonts w:ascii="Times New Roman" w:cs="Times New Roman" w:eastAsia="Times New Roman" w:hAnsi="Times New Roman"/>
          <w:sz w:val="14"/>
          <w:szCs w:val="14"/>
          <w:color w:val="auto"/>
        </w:rPr>
      </w:pPr>
    </w:p>
    <w:p>
      <w:pPr>
        <w:ind w:left="520" w:right="8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ind w:left="520" w:right="6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be obligated pursuant to our Amended and Restated Bylaws to indemnify a person with respect to proceedings initiated by that person against us or our other indemnities, except with respect to proceedings authorized by our Board or brought to enforce a right to indemnification;</w:t>
      </w:r>
    </w:p>
    <w:p>
      <w:pPr>
        <w:ind w:left="520" w:right="38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retroactively amend our bylaw provisions to reduce our indemnification obligations to directors, officers, employees and agents.</w:t>
      </w:r>
    </w:p>
    <w:p>
      <w:pPr>
        <w:spacing w:after="0" w:line="79"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As a result, claims for indemnification by our directors and officers may reduce our available funds to satisfy successful third-party claims against us and may reduce the amount of money available to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96"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We have implemented and we maintain a cybersecurity program that includes a well-defined set of security controls and measures designed to identify, assess, and manage material cybersecurity risks.</w:t>
      </w:r>
    </w:p>
    <w:p>
      <w:pPr>
        <w:spacing w:after="0" w:line="3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cybersecurity program is a part of our broader enterprise risk management program which includes risk assessment, third party risk management, risk mitigation strategy and a clearly defined incident response methodology. The program is led by our executive officers, with support from a working group of senior management with functional and operational expertise.</w:t>
      </w:r>
    </w:p>
    <w:p>
      <w:pPr>
        <w:spacing w:after="0" w:line="3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Primary responsibility for assessing, monitoring and managing our cybersecurity risks rests with our Director of Information Technology (“IT”), who reports directly to our Chief Financial Officer. Our Director of IT has more than 20 years of experience working with enterprises to protect their systems from cybersecurity risks and to address other areas of risk management. We also engage other consultants and third parties in connection with our risk assessment and mitigation processes. These service providers assist with the design and implementation of our cybersecurity policies and procedures, as well as monitor and test our safeguards. We require each third-party service provider to certify that it has the ability to implement and maintain appropriate security measures, consistent with all applicable laws, to implement and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1820"/>
        <w:spacing w:after="0" w:line="379" w:lineRule="auto"/>
        <w:rPr>
          <w:sz w:val="20"/>
          <w:szCs w:val="20"/>
          <w:color w:val="auto"/>
        </w:rPr>
      </w:pPr>
      <w:r>
        <w:rPr>
          <w:rFonts w:ascii="Times New Roman" w:cs="Times New Roman" w:eastAsia="Times New Roman" w:hAnsi="Times New Roman"/>
          <w:sz w:val="14"/>
          <w:szCs w:val="14"/>
          <w:color w:val="auto"/>
        </w:rPr>
        <w:t xml:space="preserve">reasonable security measures in connection with their work with us, and to promptly report any suspected breach of its security measures that may affect our company. </w:t>
      </w:r>
      <w:r>
        <w:rPr>
          <w:rFonts w:ascii="Times New Roman" w:cs="Times New Roman" w:eastAsia="Times New Roman" w:hAnsi="Times New Roman"/>
          <w:sz w:val="14"/>
          <w:szCs w:val="14"/>
          <w:b w:val="1"/>
          <w:bCs w:val="1"/>
          <w:color w:val="auto"/>
        </w:rPr>
        <w:t>Governance</w:t>
      </w:r>
    </w:p>
    <w:p>
      <w:pPr>
        <w:spacing w:after="0" w:line="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Oversight for this program is provided by the Audit Committee of the Board. Each quarter our executive officers review matters, including any cybersecurity matters, that may present material risks to our strategy, mission or objectives, and where appropriate, engage third parties to conduct assessments of the risks and gaps that require attention. Risk events are classified based on the evaluated likelihood of the risk materializing and its potential impact on the enterprise, and for each material risk a definitive risk mitigation strategy is developed, executed, and shared with the Audit Committee and the Board by our Chief Legal Officer and Corporate Secretary, working closely with our Chief Financial Officer and Director of IT, at least quarterly to ensure appropriate monitoring and management of the relevant risks.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Threat Disclosure</w:t>
      </w:r>
    </w:p>
    <w:p>
      <w:pPr>
        <w:spacing w:after="0" w:line="9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To date, based upon all evaluations and assessments, including third party evaluations, we have no cybersecurity threats that have materially affected, or are reasonably likely to materially affect, our business strategy, operations or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We maintain offices in Woodland Park, New Jersey, McLean, Virginia and Abilene, Texas. The lease for our office at 3 Garret Mountain Plaza, Suite 401, Woodland Park, New Jersey, was renewed in February 2017 for an additional 10 years, for 19,276 square feet of office space with a termination date of June 2027. We have the right of first offer for adjacent space if it becomes available. In February 2019, we entered into a lease agreement for our second office space located at 8260 Greensboro Drive, Suite 501, McLean, Virginia, which was renewed in November 2024 for an additional 3.5 years, for 8,212 square feet of office space with a termination date of April 2028. In November 2018, we entered into a lease agreement to store equipment located at 5520 North First Street, Abilene, Texas, which was renewed in October 2023 for an additional 5 years with a termination date of January 2029. The leased warehouse includes approximately 26,404 square feet. We believe that our existing facilities are adequate for our current needs.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do not own any real property.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right="540" w:firstLine="509"/>
        <w:spacing w:after="0" w:line="270" w:lineRule="auto"/>
        <w:rPr>
          <w:sz w:val="20"/>
          <w:szCs w:val="20"/>
          <w:color w:val="auto"/>
        </w:rPr>
      </w:pPr>
      <w:r>
        <w:rPr>
          <w:rFonts w:ascii="Times New Roman" w:cs="Times New Roman" w:eastAsia="Times New Roman" w:hAnsi="Times New Roman"/>
          <w:sz w:val="14"/>
          <w:szCs w:val="14"/>
          <w:color w:val="auto"/>
        </w:rPr>
        <w:t xml:space="preserve">We are not involved in any material legal proceedings or other legal matters at this time. However, from time to time, we may be involved in litigation that arises from the ordinary operations of business, such as contractual or employment disputes or other general actions. See Note 15 </w:t>
      </w:r>
      <w:r>
        <w:rPr>
          <w:rFonts w:ascii="Times New Roman" w:cs="Times New Roman" w:eastAsia="Times New Roman" w:hAnsi="Times New Roman"/>
          <w:sz w:val="14"/>
          <w:szCs w:val="14"/>
          <w:b w:val="1"/>
          <w:bCs w:val="1"/>
          <w:i w:val="1"/>
          <w:iCs w:val="1"/>
          <w:color w:val="auto"/>
        </w:rPr>
        <w:t>Contingencies and Guaranty</w:t>
      </w:r>
      <w:r>
        <w:rPr>
          <w:rFonts w:ascii="Times New Roman" w:cs="Times New Roman" w:eastAsia="Times New Roman" w:hAnsi="Times New Roman"/>
          <w:sz w:val="14"/>
          <w:szCs w:val="14"/>
          <w:color w:val="auto"/>
        </w:rPr>
        <w:t xml:space="preserve"> of the Notes to the Consolidated Financial Statements contained within this Annual Report for a further discussion of potential commitments and contingencies related to legal proceedings.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230505</wp:posOffset>
            </wp:positionV>
            <wp:extent cx="71481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ind w:right="1240"/>
        <w:spacing w:after="0" w:line="381"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4"/>
          <w:szCs w:val="14"/>
          <w:color w:val="auto"/>
        </w:rPr>
        <w:t>Shares of our common stock are listed for trading on the Nasdaq Capital Market under the symbol “ATEX”.</w:t>
      </w:r>
    </w:p>
    <w:p>
      <w:pPr>
        <w:spacing w:after="0" w:line="94"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As of June 19, 2026, we had 19,498,473 shares of common stock outstanding and approximately 95 record holders of our common stock, including common stock held through brokerage firms in “street 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Any future determination to pay dividends will be at the discretion of our Board and will depend on our financial condition, results of operations, capital requirements, restrictions contained in any financing instruments and such other factors as our Board deems relevant in its sole discretion.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currently award stock options, restricted stock units (“RSUs”), performance stock units (“PSUs”) and options (“PSOs”) to our employees meeting certain eligibility requirements under a plan approved by our stockholders in 2023, referred to as the “2023 Stock Plan” and have previously awarded stock options, RSUs and PSUs to our employees meeting certain eligibility requirements under a plan approved by our stockholders in 2014 and 2010. The following table summarizes information about our equity compensation plans as of March 31, 2026:</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60" w:type="dxa"/>
            <w:vAlign w:val="bottom"/>
          </w:tcPr>
          <w:p>
            <w:pPr>
              <w:spacing w:after="0"/>
              <w:rPr>
                <w:sz w:val="11"/>
                <w:szCs w:val="11"/>
                <w:color w:val="auto"/>
              </w:rPr>
            </w:pPr>
          </w:p>
        </w:tc>
        <w:tc>
          <w:tcPr>
            <w:tcW w:w="4020" w:type="dxa"/>
            <w:vAlign w:val="bottom"/>
          </w:tcPr>
          <w:p>
            <w:pPr>
              <w:jc w:val="center"/>
              <w:ind w:left="1043"/>
              <w:spacing w:after="0"/>
              <w:rPr>
                <w:sz w:val="20"/>
                <w:szCs w:val="20"/>
                <w:color w:val="auto"/>
              </w:rPr>
            </w:pPr>
            <w:r>
              <w:rPr>
                <w:rFonts w:ascii="Times New Roman" w:cs="Times New Roman" w:eastAsia="Times New Roman" w:hAnsi="Times New Roman"/>
                <w:sz w:val="11"/>
                <w:szCs w:val="11"/>
                <w:b w:val="1"/>
                <w:bCs w:val="1"/>
                <w:color w:val="auto"/>
              </w:rPr>
              <w:t>Number of Securities to be Issued Upon Exercise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 Exercise Price of</w:t>
            </w:r>
          </w:p>
        </w:tc>
        <w:tc>
          <w:tcPr>
            <w:tcW w:w="276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Number of Securities Remaining Available for Future</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4020" w:type="dxa"/>
            <w:vAlign w:val="bottom"/>
          </w:tcPr>
          <w:p>
            <w:pPr>
              <w:jc w:val="center"/>
              <w:ind w:left="1043"/>
              <w:spacing w:after="0" w:line="108" w:lineRule="exact"/>
              <w:rPr>
                <w:sz w:val="20"/>
                <w:szCs w:val="20"/>
                <w:color w:val="auto"/>
              </w:rPr>
            </w:pPr>
            <w:r>
              <w:rPr>
                <w:rFonts w:ascii="Times New Roman" w:cs="Times New Roman" w:eastAsia="Times New Roman" w:hAnsi="Times New Roman"/>
                <w:sz w:val="11"/>
                <w:szCs w:val="11"/>
                <w:b w:val="1"/>
                <w:bCs w:val="1"/>
                <w:color w:val="auto"/>
              </w:rPr>
              <w:t xml:space="preserve">Outstanding Stock Options, RSUs, PSUs and PSOs </w:t>
            </w:r>
            <w:r>
              <w:rPr>
                <w:rFonts w:ascii="Times New Roman" w:cs="Times New Roman" w:eastAsia="Times New Roman" w:hAnsi="Times New Roman"/>
                <w:sz w:val="7"/>
                <w:szCs w:val="7"/>
                <w:b w:val="1"/>
                <w:bCs w:val="1"/>
                <w:color w:val="auto"/>
              </w:rPr>
              <w:t>(1)</w:t>
            </w:r>
          </w:p>
        </w:tc>
        <w:tc>
          <w:tcPr>
            <w:tcW w:w="21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Outstanding Stock Options or Rights</w:t>
            </w:r>
          </w:p>
        </w:tc>
        <w:tc>
          <w:tcPr>
            <w:tcW w:w="2760" w:type="dxa"/>
            <w:vAlign w:val="bottom"/>
          </w:tcPr>
          <w:p>
            <w:pPr>
              <w:jc w:val="center"/>
              <w:ind w:left="103"/>
              <w:spacing w:after="0" w:line="108" w:lineRule="exact"/>
              <w:rPr>
                <w:sz w:val="20"/>
                <w:szCs w:val="20"/>
                <w:color w:val="auto"/>
              </w:rPr>
            </w:pPr>
            <w:r>
              <w:rPr>
                <w:rFonts w:ascii="Times New Roman" w:cs="Times New Roman" w:eastAsia="Times New Roman" w:hAnsi="Times New Roman"/>
                <w:sz w:val="11"/>
                <w:szCs w:val="11"/>
                <w:b w:val="1"/>
                <w:bCs w:val="1"/>
                <w:color w:val="auto"/>
              </w:rPr>
              <w:t>Issuance Under Equity Compensation Plans</w:t>
            </w:r>
          </w:p>
        </w:tc>
        <w:tc>
          <w:tcPr>
            <w:tcW w:w="0" w:type="dxa"/>
            <w:vAlign w:val="bottom"/>
          </w:tcPr>
          <w:p>
            <w:pPr>
              <w:spacing w:after="0"/>
              <w:rPr>
                <w:sz w:val="1"/>
                <w:szCs w:val="1"/>
                <w:color w:val="auto"/>
              </w:rPr>
            </w:pPr>
          </w:p>
        </w:tc>
      </w:tr>
      <w:tr>
        <w:trPr>
          <w:trHeight w:val="149"/>
        </w:trPr>
        <w:tc>
          <w:tcPr>
            <w:tcW w:w="1960" w:type="dxa"/>
            <w:vAlign w:val="bottom"/>
            <w:vMerge w:val="continue"/>
          </w:tcPr>
          <w:p>
            <w:pPr>
              <w:spacing w:after="0"/>
              <w:rPr>
                <w:sz w:val="12"/>
                <w:szCs w:val="12"/>
                <w:color w:val="auto"/>
              </w:rPr>
            </w:pPr>
          </w:p>
        </w:tc>
        <w:tc>
          <w:tcPr>
            <w:tcW w:w="4020" w:type="dxa"/>
            <w:vAlign w:val="bottom"/>
          </w:tcPr>
          <w:p>
            <w:pPr>
              <w:jc w:val="center"/>
              <w:ind w:left="1023"/>
              <w:spacing w:after="0"/>
              <w:rPr>
                <w:sz w:val="20"/>
                <w:szCs w:val="20"/>
                <w:color w:val="auto"/>
              </w:rPr>
            </w:pPr>
            <w:r>
              <w:rPr>
                <w:rFonts w:ascii="Times New Roman" w:cs="Times New Roman" w:eastAsia="Times New Roman" w:hAnsi="Times New Roman"/>
                <w:sz w:val="11"/>
                <w:szCs w:val="11"/>
                <w:b w:val="1"/>
                <w:bCs w:val="1"/>
                <w:color w:val="auto"/>
              </w:rPr>
              <w:t>(a)</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w:t>
            </w:r>
          </w:p>
        </w:tc>
        <w:tc>
          <w:tcPr>
            <w:tcW w:w="276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(excluding securities reflected in column (a))</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80"/>
          </w:cols>
          <w:pgMar w:left="300" w:top="123" w:right="319" w:bottom="1440" w:gutter="0" w:footer="0" w:header="0"/>
        </w:sectPr>
      </w:pPr>
    </w:p>
    <w:p>
      <w:pPr>
        <w:ind w:left="140" w:right="1680"/>
        <w:spacing w:after="0" w:line="239" w:lineRule="auto"/>
        <w:rPr>
          <w:sz w:val="20"/>
          <w:szCs w:val="20"/>
          <w:color w:val="auto"/>
        </w:rPr>
      </w:pPr>
      <w:r>
        <w:rPr>
          <w:rFonts w:ascii="Times New Roman" w:cs="Times New Roman" w:eastAsia="Times New Roman" w:hAnsi="Times New Roman"/>
          <w:sz w:val="14"/>
          <w:szCs w:val="14"/>
          <w:color w:val="auto"/>
        </w:rPr>
        <w:t>Equity compensation plans approved by security holders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 compensation plans not approved by</w:t>
      </w:r>
    </w:p>
    <w:p>
      <w:pPr>
        <w:ind w:left="140"/>
        <w:spacing w:after="0"/>
        <w:rPr>
          <w:sz w:val="20"/>
          <w:szCs w:val="20"/>
          <w:color w:val="auto"/>
        </w:rPr>
      </w:pPr>
      <w:r>
        <w:rPr>
          <w:rFonts w:ascii="Times New Roman" w:cs="Times New Roman" w:eastAsia="Times New Roman" w:hAnsi="Times New Roman"/>
          <w:sz w:val="14"/>
          <w:szCs w:val="14"/>
          <w:color w:val="auto"/>
        </w:rPr>
        <w:t>security holders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6"/>
              </w:rPr>
              <w:t>1,831,754</w:t>
            </w:r>
          </w:p>
        </w:tc>
        <w:tc>
          <w:tcPr>
            <w:tcW w:w="102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rPr>
              <w:t>38.73</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762,367</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r>
      <w:tr>
        <w:trPr>
          <w:trHeight w:val="329"/>
        </w:trPr>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24"/>
                <w:szCs w:val="24"/>
                <w:color w:val="auto"/>
              </w:rPr>
            </w:pPr>
          </w:p>
        </w:tc>
        <w:tc>
          <w:tcPr>
            <w:tcW w:w="232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-416560</wp:posOffset>
            </wp:positionV>
            <wp:extent cx="7161530" cy="208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4580" w:space="720"/>
            <w:col w:w="5980"/>
          </w:cols>
          <w:pgMar w:left="300" w:top="123" w:right="319" w:bottom="1440" w:gutter="0" w:footer="0" w:header="0"/>
          <w:type w:val="continuous"/>
        </w:sect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4"/>
          <w:szCs w:val="14"/>
          <w:color w:val="auto"/>
        </w:rPr>
        <w:t>ncludes shares underlying RSUs and PSOs, at maximum, as of March 31, 2026. There were no PSUs outstanding as of March 31, 2026.</w:t>
      </w:r>
    </w:p>
    <w:p>
      <w:pPr>
        <w:spacing w:after="0" w:line="14" w:lineRule="exact"/>
        <w:rPr>
          <w:rFonts w:ascii="Times New Roman" w:cs="Times New Roman" w:eastAsia="Times New Roman" w:hAnsi="Times New Roman"/>
          <w:sz w:val="14"/>
          <w:szCs w:val="14"/>
          <w:color w:val="auto"/>
        </w:rPr>
      </w:pPr>
    </w:p>
    <w:p>
      <w:pPr>
        <w:ind w:left="260" w:right="560" w:hanging="255"/>
        <w:spacing w:after="0" w:line="247" w:lineRule="auto"/>
        <w:tabs>
          <w:tab w:leader="none" w:pos="2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 Stock Plan permits the Company to grant equity compensation awards to employees, consultants and non-employee directors of the Company. The 2023 Stock Plan authorizes 1,350,000 shares of common stock of the Company (“Shares”) for grant, plus remaining available for issuance under previous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sell any equity securities not registered under the Securities Act, during the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2514600</wp:posOffset>
            </wp:positionV>
            <wp:extent cx="71481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of Equity Securities by the Issuer and Affiliated Purchasers.</w:t>
      </w:r>
    </w:p>
    <w:p>
      <w:pPr>
        <w:spacing w:after="0" w:line="9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with respect to purchases of our common stock by us or any “affiliated purchaser” as defined in Rule 10b-18(a)(3) under the Exchange Act, during the three months ended March 31, 2026.</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Issuer Purchases of Equity Securities </w:t>
      </w:r>
      <w:r>
        <w:rPr>
          <w:rFonts w:ascii="Times New Roman" w:cs="Times New Roman" w:eastAsia="Times New Roman" w:hAnsi="Times New Roman"/>
          <w:sz w:val="18"/>
          <w:szCs w:val="18"/>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4"/>
          <w:szCs w:val="14"/>
          <w:color w:val="auto"/>
        </w:rPr>
        <w:t>(in thousands except for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5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Shares that May Yet</w:t>
            </w:r>
          </w:p>
        </w:tc>
        <w:tc>
          <w:tcPr>
            <w:tcW w:w="0" w:type="dxa"/>
            <w:vAlign w:val="bottom"/>
          </w:tcPr>
          <w:p>
            <w:pPr>
              <w:spacing w:after="0"/>
              <w:rPr>
                <w:sz w:val="1"/>
                <w:szCs w:val="1"/>
                <w:color w:val="auto"/>
              </w:rPr>
            </w:pPr>
          </w:p>
        </w:tc>
      </w:tr>
      <w:tr>
        <w:trPr>
          <w:trHeight w:val="138"/>
        </w:trPr>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1"/>
                <w:szCs w:val="11"/>
                <w:color w:val="auto"/>
              </w:rPr>
            </w:pPr>
          </w:p>
        </w:tc>
        <w:tc>
          <w:tcPr>
            <w:tcW w:w="140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4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0" w:type="dxa"/>
            <w:vAlign w:val="bottom"/>
          </w:tcPr>
          <w:p>
            <w:pPr>
              <w:spacing w:after="0"/>
              <w:rPr>
                <w:sz w:val="1"/>
                <w:szCs w:val="1"/>
                <w:color w:val="auto"/>
              </w:rPr>
            </w:pPr>
          </w:p>
        </w:tc>
      </w:tr>
      <w:tr>
        <w:trPr>
          <w:trHeight w:val="180"/>
        </w:trPr>
        <w:tc>
          <w:tcPr>
            <w:tcW w:w="4880" w:type="dxa"/>
            <w:vAlign w:val="bottom"/>
            <w:gridSpan w:val="2"/>
            <w:vMerge w:val="continue"/>
          </w:tcPr>
          <w:p>
            <w:pPr>
              <w:spacing w:after="0"/>
              <w:rPr>
                <w:sz w:val="15"/>
                <w:szCs w:val="15"/>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134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18"/>
                <w:szCs w:val="18"/>
                <w:b w:val="1"/>
                <w:bCs w:val="1"/>
                <w:color w:val="auto"/>
                <w:vertAlign w:val="superscript"/>
              </w:rPr>
              <w:t>(2)</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20" w:type="dxa"/>
            <w:vAlign w:val="bottom"/>
          </w:tcPr>
          <w:p>
            <w:pPr>
              <w:spacing w:after="0"/>
              <w:rPr>
                <w:sz w:val="15"/>
                <w:szCs w:val="15"/>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0" w:type="dxa"/>
            <w:vAlign w:val="bottom"/>
          </w:tcPr>
          <w:p>
            <w:pPr>
              <w:spacing w:after="0"/>
              <w:rPr>
                <w:sz w:val="1"/>
                <w:szCs w:val="1"/>
                <w:color w:val="auto"/>
              </w:rPr>
            </w:pPr>
          </w:p>
        </w:tc>
      </w:tr>
      <w:tr>
        <w:trPr>
          <w:trHeight w:val="171"/>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2026 through January 31, 2026</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Open market and privately negotiated purchases</w:t>
            </w:r>
          </w:p>
        </w:tc>
        <w:tc>
          <w:tcPr>
            <w:tcW w:w="162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226,672</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1, 2026 through February 28, 2026</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Open market and privately negotiated purchases</w:t>
            </w:r>
          </w:p>
        </w:tc>
        <w:tc>
          <w:tcPr>
            <w:tcW w:w="162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226,672</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2026 through March 31, 2026</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Open market and privately negotiated purchases</w:t>
            </w:r>
          </w:p>
        </w:tc>
        <w:tc>
          <w:tcPr>
            <w:tcW w:w="162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226,672</w:t>
            </w:r>
          </w:p>
        </w:tc>
        <w:tc>
          <w:tcPr>
            <w:tcW w:w="0" w:type="dxa"/>
            <w:vAlign w:val="bottom"/>
          </w:tcPr>
          <w:p>
            <w:pPr>
              <w:spacing w:after="0"/>
              <w:rPr>
                <w:sz w:val="1"/>
                <w:szCs w:val="1"/>
                <w:color w:val="auto"/>
              </w:rPr>
            </w:pPr>
          </w:p>
        </w:tc>
      </w:tr>
      <w:tr>
        <w:trPr>
          <w:trHeight w:val="171"/>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226,672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0" w:hanging="255"/>
        <w:spacing w:after="0" w:line="241" w:lineRule="auto"/>
        <w:tabs>
          <w:tab w:leader="none" w:pos="25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our Board authorized the 2023 Share Repurchase Program pursuant to which we may repurchase up to $250.0 million of our common stock on or before September 21, 2026. We 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spacing w:after="0" w:line="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 associated with the repurchases, excluding excise taxes associated with the share repurchases.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413385</wp:posOffset>
            </wp:positionV>
            <wp:extent cx="71481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of financial condition and results of operations should be read in conjunction with our historical consolidated financial statements and the related notes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This management’s discussion and analysis contains forward-looking statements that involve risks and uncertainties, such as statements of our plans, objectives, expectations and intentions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Any statements that are not statements of historical fact are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These forward-looking statements are subject to risks and uncertainties that could cause our actual results or events to differ materially from those expressed or implied by the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Factors that could cause or contribute to such differences include, but are not limited to, those identified below and those discussed in the section entitled “Risk Factors” included elsewhere in this Annual Report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Except as required by applicable law we do not undertake any obligation to update forward-looking statements to reflect events or circumstances occurring after the date of this Annual Report.</w:t>
      </w:r>
    </w:p>
    <w:p>
      <w:pPr>
        <w:spacing w:after="0" w:line="16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4"/>
          <w:szCs w:val="14"/>
          <w:i w:val="1"/>
          <w:iCs w:val="1"/>
          <w:color w:val="auto"/>
        </w:rPr>
        <w:t>This management’s discussion and analysis of financial condition and results of operations is based on our consolidated financial statements, which we have prepared in accordance with accounting principles generally accepted in the United States of America (“U.S. GAAP”)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during the reporting periods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On an ongoing basis, we evaluate such estimates and judgments, including those described in greater detail below</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Our actual results may differ from these estimates under different assumptions or conditions.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4"/>
          <w:szCs w:val="14"/>
          <w:color w:val="auto"/>
        </w:rPr>
        <w:t>Anterix Inc. is the nation’s largest holder of licensed 900 MHz spectrum (896-901/935-940 MHz) with coverage spanning the contiguous United States, Hawaii, Alaska, and Puerto Rico. Our mission is to transform critical infrastructure connectivity, commercialize our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 to our Business Section of this Annual Report for a more complete description of the nature of our business, including details regarding the process and costs to secure our broadband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licenses.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Developments</w:t>
      </w:r>
    </w:p>
    <w:p>
      <w:pPr>
        <w:spacing w:after="0" w:line="96" w:lineRule="exact"/>
        <w:rPr>
          <w:sz w:val="20"/>
          <w:szCs w:val="20"/>
          <w:color w:val="auto"/>
        </w:rPr>
      </w:pPr>
    </w:p>
    <w:p>
      <w:pPr>
        <w:jc w:val="both"/>
        <w:ind w:right="40" w:firstLine="509"/>
        <w:spacing w:after="0" w:line="264" w:lineRule="auto"/>
        <w:rPr>
          <w:sz w:val="20"/>
          <w:szCs w:val="20"/>
          <w:color w:val="auto"/>
        </w:rPr>
      </w:pPr>
      <w:r>
        <w:rPr>
          <w:rFonts w:ascii="Times New Roman" w:cs="Times New Roman" w:eastAsia="Times New Roman" w:hAnsi="Times New Roman"/>
          <w:sz w:val="14"/>
          <w:szCs w:val="14"/>
          <w:color w:val="auto"/>
        </w:rPr>
        <w:t>During fiscal 2026, we evolved our business strategy. Building on our foundational 900 MHz spectrum position, we transitioned from a model focused predominantly on long-term spectrum leasing to a broader operating model. In the ordinary course of business, we now secure and expand our spectrum position, clear and retune spectrum, monetize spectrum through both sales and long-term leases, and develop a growing portfolio of products and services offerings around our spectrum that are designed to generate recurring revenue. Together, these activities form the foundation of how we generate revenue today and how we expect to generate revenue over time. Our new brand and visual identity, introduced during the fourth quarter, reflects this evolution.</w:t>
      </w:r>
    </w:p>
    <w:p>
      <w:pPr>
        <w:spacing w:after="0" w:line="5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April 16, 2026, we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spacing w:after="0" w:line="5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On March 30, 2026, we entered into a spectrum license sale agreement with NWE to provide 900 MHz Broadband Spectrum in the 10 MHz broadband configuration, (the “NWE Agreement”) for a total consideration of $7.7 million. This agreement marks our first deployment of 10 MHz broadband configuration in the 900 MHz band providing the foundation NWE needs to build a secure platform for a modern grid, enabling the delivery of safe, reliable energy for the communities they serve.</w:t>
      </w:r>
    </w:p>
    <w:p>
      <w:pPr>
        <w:spacing w:after="0" w:line="5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On March 25, 2026, we entered into a spectrum license sale agreement with TNMP to provide 900 MHz Broadband Spectrum covering Brazoria County and Galveston County, Texas, (the “TNMP Agreement”) for a total consideration of $3.2 million, facilitating TNMP to deploy a mission- critical private wireless network designed to strengthen grid reliability and support essential service improvements across its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18, 2026, the FCC adopted the 2026 Report and Order to expand 900 MHz band to 10 MHz.</w:t>
      </w:r>
    </w:p>
    <w:p>
      <w:pPr>
        <w:spacing w:after="0" w:line="94"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On January 30, 2026, we entered into a spectrum license sale agreement with CPS to provide 900 MHz broadband license covering Bexar County, Texas, (the “CPS Agreement”) for a total payment of $13.0 million, facilitating CPS to deploy a utility private wireless broadband network that will strengthen its grid operations, enhance reliability, and accelerate innovation at scale.</w:t>
      </w:r>
    </w:p>
    <w:p>
      <w:pPr>
        <w:spacing w:after="0" w:line="36" w:lineRule="exact"/>
        <w:rPr>
          <w:sz w:val="20"/>
          <w:szCs w:val="20"/>
          <w:color w:val="auto"/>
        </w:rPr>
      </w:pPr>
    </w:p>
    <w:p>
      <w:pPr>
        <w:jc w:val="both"/>
        <w:ind w:right="160" w:firstLine="509"/>
        <w:spacing w:after="0" w:line="238" w:lineRule="auto"/>
        <w:rPr>
          <w:sz w:val="20"/>
          <w:szCs w:val="20"/>
          <w:color w:val="auto"/>
        </w:rPr>
      </w:pPr>
      <w:r>
        <w:rPr>
          <w:rFonts w:ascii="Times New Roman" w:cs="Times New Roman" w:eastAsia="Times New Roman" w:hAnsi="Times New Roman"/>
          <w:sz w:val="14"/>
          <w:szCs w:val="14"/>
          <w:color w:val="auto"/>
        </w:rPr>
        <w:t>In November 2025, Anterix, Inc. and Crown Castle, one of the nation’s largest tower companies, announced a new turnkey tower service, TowerX</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that helps utilities accelerate buildout timelines by providing access to pre-negotiated tower sites, centralized data and expert support. We also relaunched CatalyX®, a turnkey SIM provisioning, connectivity management and roaming solution that helps utilities efficiently and securely activate and manage devices across public and private networks.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A discussion and analysis of the primary factors contributing to our results of operations are presented below. The following tables summarize our results of operations and financial data for the years ended March 31, 2026 (“Fiscal 2026”) and March 31, 2025 (“Fiscal 2025”). The following data should be read in conjunction with our Consolidated Financial Statements and the notes thereto included in “Item 8. Financial Statements and Supplementary Data” of this Form 10-K.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Spectrum revenue</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r>
      <w:tr>
        <w:trPr>
          <w:trHeight w:val="202"/>
        </w:trPr>
        <w:tc>
          <w:tcPr>
            <w:tcW w:w="8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42,671</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support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development</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 and other related charges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r>
      <w:tr>
        <w:trPr>
          <w:trHeight w:val="18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7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exchange of intangible assets, net</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(22,799)</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intangible assets, net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18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Loss from disposal of long-lived assets,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w:t>
            </w:r>
          </w:p>
        </w:tc>
      </w:tr>
      <w:tr>
        <w:trPr>
          <w:trHeight w:val="20"/>
        </w:trPr>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w:t>
      </w:r>
    </w:p>
    <w:p>
      <w:pPr>
        <w:spacing w:after="0" w:line="96"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Our net income for Fiscal 2026 increased by approximately $102.0 million, or 897%, to $90.6 million from a net loss of $11.4 million in Fiscal 2025. The increase in net income was primarily due to the following:</w:t>
      </w:r>
    </w:p>
    <w:p>
      <w:pPr>
        <w:spacing w:after="0" w:line="39" w:lineRule="exact"/>
        <w:rPr>
          <w:sz w:val="20"/>
          <w:szCs w:val="20"/>
          <w:color w:val="auto"/>
        </w:rPr>
      </w:pPr>
    </w:p>
    <w:p>
      <w:pPr>
        <w:ind w:left="520" w:right="200" w:hanging="260"/>
        <w:spacing w:after="0" w:line="264" w:lineRule="auto"/>
        <w:tabs>
          <w:tab w:leader="none" w:pos="516"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Spectrum revenues increased by $0.5 million, or 8%, to $6.5 million in Fiscal 2026 from $6.0 million in Fiscal 2025. The increase in our spectrum revenue was primarily attributable to revenue recognized in connection with our agreements with TECO of approximately $0.6 million, Xcel Energy of approximately $0.3 million, and Ameren of approximately $0.1 million, partially offset by $0.5 million lower revenue from our agreement with Motorola Solutions. For a discussion of our revenue recognition policy, refer to Note 2 </w:t>
      </w:r>
      <w:r>
        <w:rPr>
          <w:rFonts w:ascii="Times New Roman" w:cs="Times New Roman" w:eastAsia="Times New Roman" w:hAnsi="Times New Roman"/>
          <w:sz w:val="14"/>
          <w:szCs w:val="14"/>
          <w:b w:val="1"/>
          <w:bCs w:val="1"/>
          <w:i w:val="1"/>
          <w:iCs w:val="1"/>
          <w:color w:val="auto"/>
        </w:rPr>
        <w:t>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Accounting Policies </w:t>
      </w:r>
      <w:r>
        <w:rPr>
          <w:rFonts w:ascii="Times New Roman" w:cs="Times New Roman" w:eastAsia="Times New Roman" w:hAnsi="Times New Roman"/>
          <w:sz w:val="14"/>
          <w:szCs w:val="14"/>
          <w:color w:val="auto"/>
        </w:rPr>
        <w:t>in the Notes to the Consolidated Financial Statements contained within this Annual Report.</w:t>
      </w:r>
    </w:p>
    <w:p>
      <w:pPr>
        <w:spacing w:after="0" w:line="55" w:lineRule="exact"/>
        <w:rPr>
          <w:rFonts w:ascii="Times New Roman" w:cs="Times New Roman" w:eastAsia="Times New Roman" w:hAnsi="Times New Roman"/>
          <w:sz w:val="14"/>
          <w:szCs w:val="14"/>
          <w:b w:val="1"/>
          <w:bCs w:val="1"/>
          <w:i w:val="1"/>
          <w:iCs w:val="1"/>
          <w:color w:val="auto"/>
        </w:rPr>
      </w:pPr>
    </w:p>
    <w:p>
      <w:pPr>
        <w:ind w:left="520" w:right="160" w:hanging="260"/>
        <w:spacing w:after="0" w:line="27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decreased by $6.6 million, or 15%, to $36.1 million in Fiscal 2026 from $42.7 million in Fiscal 2025. The decrease resulted from $1.7 million lower stock compensation expense, $3.0 million headcount related costs, $1.5 million professional services and $0.6 million contract consulting fees, partially offset by $0.2 million higher travel and entertainment expense.</w:t>
      </w:r>
    </w:p>
    <w:p>
      <w:pPr>
        <w:spacing w:after="0" w:line="50"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support expense increased by $0.8 million, or 13%, to $6.9 million in Fiscal 2026 from $6.1 million in Fiscal 2025. The increase primarily resulted from $0.4 million higher headcount related costs, $0.2 million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consulting fees, $0.2 million stock compensation expense and $0.1 million marketing expense, partially offset by $0.1 million lower professional services fees.</w:t>
      </w:r>
    </w:p>
    <w:p>
      <w:pPr>
        <w:spacing w:after="0" w:line="94" w:lineRule="exact"/>
        <w:rPr>
          <w:sz w:val="20"/>
          <w:szCs w:val="20"/>
          <w:color w:val="auto"/>
        </w:rPr>
      </w:pPr>
    </w:p>
    <w:p>
      <w:pPr>
        <w:ind w:left="520" w:right="16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development expenses decreased by $1.0 million, or 18%, to $4.7 million in Fiscal 2026 from $5.7 million in Fiscal 2025. The decrease primarily resulted from $1.2 million lower contract consulting fees, $0.4 million IT related costs, partially offset by $0.5 million higher stock compensation expense and $0.1 million headcount related costs.</w:t>
      </w:r>
    </w:p>
    <w:p>
      <w:pPr>
        <w:spacing w:after="0" w:line="39" w:lineRule="exact"/>
        <w:rPr>
          <w:rFonts w:ascii="Times New Roman" w:cs="Times New Roman" w:eastAsia="Times New Roman" w:hAnsi="Times New Roman"/>
          <w:sz w:val="14"/>
          <w:szCs w:val="14"/>
          <w:color w:val="auto"/>
        </w:rPr>
      </w:pPr>
    </w:p>
    <w:p>
      <w:pPr>
        <w:ind w:left="520" w:right="300" w:hanging="260"/>
        <w:spacing w:after="0" w:line="270"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and other related expenses increased by $0.8 million, or 22%, to $4.6 million in Fiscal 2026 from $3.8 million for Fiscal 2025. The increase is primarily attributable to $2.7 million higher severance related to the Fiscal 2026 workforce reduction, partially offset by $1.9 million due to severance payments and lower stock compensation expenses related to the most recent CEO transition and Fiscal 2025 workforce reduction.</w:t>
      </w:r>
    </w:p>
    <w:p>
      <w:pPr>
        <w:spacing w:after="0" w:line="50" w:lineRule="exact"/>
        <w:rPr>
          <w:rFonts w:ascii="Times New Roman" w:cs="Times New Roman" w:eastAsia="Times New Roman" w:hAnsi="Times New Roman"/>
          <w:sz w:val="14"/>
          <w:szCs w:val="14"/>
          <w:color w:val="auto"/>
        </w:rPr>
      </w:pPr>
    </w:p>
    <w:p>
      <w:pPr>
        <w:ind w:left="520" w:hanging="260"/>
        <w:spacing w:after="0" w:line="25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Gain on exchange of intangible assets, net increased by $82.6 million, or 362%, to $105.4 million in Fiscal 2026 from $22.8 million for Fiscal 2025. During Fiscal 2026, we exchanged our narrowband licenses for broadband licenses in 219 counties. In connection with the exchange, we recorded $139.6 million for the new broadband licenses and disposed of $34.2 million related to the value ascribed to the narrowband licenses we relinquished to the FCC for those same 219 counties (including additional clearing cost for previously exchanged narrowband licenses). As a result, we recorded a $105.4 million non-monetary gain on exchange of the intangible assets on our Consolidated Statements of Operations. During Fiscal 2025, we exchanged our narrowband licenses for broadband licenses in 67 counties. In connection with the exchange, we recorded $27.0 million for the new broadband licenses and disposed of $4.2 million related to the value ascribed to the narrowband licenses we relinquished to the FCC for those same 67 counties (including additional clearing cost for previously exchanged narrowband licenses). As a result, we recorded a $22.8 million non-monetary gain on exchange of the intangible assets on our Consolidated Statements of Operations. Refer to Note 7 </w:t>
      </w:r>
      <w:r>
        <w:rPr>
          <w:rFonts w:ascii="Times New Roman" w:cs="Times New Roman" w:eastAsia="Times New Roman" w:hAnsi="Times New Roman"/>
          <w:sz w:val="14"/>
          <w:szCs w:val="14"/>
          <w:b w:val="1"/>
          <w:bCs w:val="1"/>
          <w:i w:val="1"/>
          <w:iCs w:val="1"/>
          <w:color w:val="auto"/>
        </w:rPr>
        <w:t>Intangible Assets</w:t>
      </w:r>
      <w:r>
        <w:rPr>
          <w:rFonts w:ascii="Times New Roman" w:cs="Times New Roman" w:eastAsia="Times New Roman" w:hAnsi="Times New Roman"/>
          <w:sz w:val="14"/>
          <w:szCs w:val="14"/>
          <w:color w:val="auto"/>
        </w:rPr>
        <w:t xml:space="preserve"> in the Notes to the Consolidated Financial Statements contained within this Annual Report for further discussion on the exchanges.</w:t>
      </w:r>
    </w:p>
    <w:p>
      <w:pPr>
        <w:spacing w:after="0" w:line="63" w:lineRule="exact"/>
        <w:rPr>
          <w:rFonts w:ascii="Times New Roman" w:cs="Times New Roman" w:eastAsia="Times New Roman" w:hAnsi="Times New Roman"/>
          <w:sz w:val="14"/>
          <w:szCs w:val="14"/>
          <w:color w:val="auto"/>
        </w:rPr>
      </w:pPr>
    </w:p>
    <w:p>
      <w:pPr>
        <w:ind w:left="520" w:right="20" w:hanging="260"/>
        <w:spacing w:after="0" w:line="26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Gain on sale of intangible assets, net increased by $16.5 million, or 90%, to $34.8 million in Fiscal 2026 from $18.3 million for Fiscal 2025. During Fiscal 2026, we transferred to LCRA and Oncor 64 and 91 broadband licenses, respectively, and recorded a $34.8 million gain on sale of intangible assets on our Consolidated Statements of Operations. During Fiscal 2025, we transferred to Oncor four broadband licenses and recorded a $18.3 million gain on sale of intangible assets on our Consolidated Statements of Operations. Refer to Note 7 </w:t>
      </w:r>
      <w:r>
        <w:rPr>
          <w:rFonts w:ascii="Times New Roman" w:cs="Times New Roman" w:eastAsia="Times New Roman" w:hAnsi="Times New Roman"/>
          <w:sz w:val="14"/>
          <w:szCs w:val="14"/>
          <w:b w:val="1"/>
          <w:bCs w:val="1"/>
          <w:i w:val="1"/>
          <w:iCs w:val="1"/>
          <w:color w:val="auto"/>
        </w:rPr>
        <w:t>Intangible Assets</w:t>
      </w:r>
      <w:r>
        <w:rPr>
          <w:rFonts w:ascii="Times New Roman" w:cs="Times New Roman" w:eastAsia="Times New Roman" w:hAnsi="Times New Roman"/>
          <w:sz w:val="14"/>
          <w:szCs w:val="14"/>
          <w:color w:val="auto"/>
        </w:rPr>
        <w:t xml:space="preserve"> in the Notes to the Consolidated Financial Statements contained within this Annual Report for further discussion on the sale of intangible assets.</w:t>
      </w:r>
    </w:p>
    <w:p>
      <w:pPr>
        <w:spacing w:after="0" w:line="55"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decreased by $0.5 million, or 24%, to $1.6 million in Fiscal 2026 as compared to $2.2 million from Fiscal 2025. The decrease was primarily attributable to a lower average cash balance during the period.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increased by $3.2 million, or 168%, to $5.1 million in Fiscal 2026 from $1.9 million in Fiscal 2025. The increase primarily resulted from higher provisions of $1.9 million for federal and $1.3 million for state driven by the gain on sales and exchanges of intangible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principal source of liquidity is our cash and cash equivalents generated from customer contract proceeds. At March 31, 2026, we had cash and cash equivalents of $98.5 million.</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We believe our cash and cash equivalents on hand, along with contracted proceeds from customers, will be sufficient to meet our financial obligations through at least 12 months from the date of this Annual Report. As noted above, our future capital requirements will depend on a number of factors, including among others, future customer contracts, the costs and timing of our spectrum retuning activities, spectrum acquisitions and the Anti-Windfall Payments to the U.S. Treasury, our operating activities, any cash proceeds we generate through our commercialization activities, our ability to timely deliver broadband licenses to our customers in accordance with our contractual obligations and our obligation to refund payments or pay penalties if we do not meet our commercial obligations. The repurchase of shares of our common stock under our share repurchase program would also reduce our available cash and cash equivalents. We deploy this capital at our determined pace based on several key ongoing factors, including customer demand, market opportunity, and offsetting income from spectrum leases. We cannot reasonably estimate any potential impact to our results of operations, commercialization efforts and financial condition arising from changes to our macroeconomic, legal or regulatory environment, including potential legislation affecting the energy or utility industry, the telecommunications environment, or supply chains. We are actively managing our business to maintain our cash flow and believe that we currently have adequate liquidity. To implement our business plans and initiatives, however, we may need to raise additional capital. We cannot predict with certainty the exact amount or timing for any future capital raises. See “Risk Factors” in Item 1A of Part I of this Annual Report for a reference to the risks and uncertainties that could cause our costs to be more than we currently anticipate and/or our revenue and operating results to be lower than we currently anticipate. If required, we intend to raise additional capital through debt or equity financing or through some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211455</wp:posOffset>
            </wp:positionV>
            <wp:extent cx="71481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9"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financing arrangement. However, we cannot be sure that additional financing will be available if and when needed, or that, if available, we can obtain financing on terms favorable to our stockholders and to us. Any failure to obtain financing when required will have a material adverse effect on our business, operating results, financial condition and liquidity.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Investing and Financing Activities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For the years ended March 31,</w:t>
            </w:r>
          </w:p>
        </w:tc>
        <w:tc>
          <w:tcPr>
            <w:tcW w:w="580" w:type="dxa"/>
            <w:vAlign w:val="bottom"/>
            <w:tcBorders>
              <w:bottom w:val="single" w:sz="8" w:color="auto"/>
            </w:tcBorders>
          </w:tcPr>
          <w:p>
            <w:pPr>
              <w:spacing w:after="0"/>
              <w:rPr>
                <w:sz w:val="13"/>
                <w:szCs w:val="13"/>
                <w:color w:val="auto"/>
              </w:rPr>
            </w:pPr>
          </w:p>
        </w:tc>
      </w:tr>
      <w:tr>
        <w:trPr>
          <w:trHeight w:val="15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r>
      <w:tr>
        <w:trPr>
          <w:trHeight w:val="17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(29,263)</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40,534</w:t>
            </w:r>
          </w:p>
        </w:tc>
        <w:tc>
          <w:tcPr>
            <w:tcW w:w="100" w:type="dxa"/>
            <w:vAlign w:val="bottom"/>
          </w:tcPr>
          <w:p>
            <w:pPr>
              <w:spacing w:after="0"/>
              <w:rPr>
                <w:sz w:val="15"/>
                <w:szCs w:val="15"/>
                <w:color w:val="auto"/>
              </w:rPr>
            </w:pP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(used in) operating activities</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principal source of cash provided by operating activities is our customer contract proceeds in the form of advanced payments. For spectrum lease agreements, we record these advanced payments as deferred revenue on our Consolidated Balance Sheets and recognize revenue over the term of the lease, which is typically 20 to 30 years. For spectrum sale agreements, we record advanced payments as a contingent liability on our Consolidated Balance Sheets and derecognize this liability upon closing of the sale along with recording a gain or loss on sale. In addition, our cash flows reflect a non-cash gain or loss on disposal of intangible assets for our exchange of narrowband licenses for broadband licenses. We expect net cash provided by (used in) operating activities to be affected by the progress on our customer agreements as well as changes in other operating assets and liabilities. The following represents our changes in net cash provided by (used in) operating activities for Fiscal 2026 and Fiscal 2025.</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 was approximately $5.5 million in Fiscal 2026. The net cash provided by operating activities in Fiscal 2026 was primarily due to the following:</w:t>
      </w:r>
    </w:p>
    <w:p>
      <w:pPr>
        <w:spacing w:after="0" w:line="94" w:lineRule="exact"/>
        <w:rPr>
          <w:sz w:val="20"/>
          <w:szCs w:val="20"/>
          <w:color w:val="auto"/>
        </w:rPr>
      </w:pPr>
    </w:p>
    <w:p>
      <w:pPr>
        <w:ind w:left="520" w:right="38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$90.6 million increase related to our operating income, which includes a reduction of $127.7 million of non-cash items primarily driven by the gain on exchange of intangible assets of $105.4 million and the gain on sale of $34.8 million. Refer to the </w:t>
      </w:r>
      <w:r>
        <w:rPr>
          <w:rFonts w:ascii="Times New Roman" w:cs="Times New Roman" w:eastAsia="Times New Roman" w:hAnsi="Times New Roman"/>
          <w:sz w:val="14"/>
          <w:szCs w:val="14"/>
          <w:b w:val="1"/>
          <w:bCs w:val="1"/>
          <w:i w:val="1"/>
          <w:iCs w:val="1"/>
          <w:color w:val="auto"/>
        </w:rPr>
        <w:t>Results of Operations</w:t>
      </w:r>
      <w:r>
        <w:rPr>
          <w:rFonts w:ascii="Times New Roman" w:cs="Times New Roman" w:eastAsia="Times New Roman" w:hAnsi="Times New Roman"/>
          <w:sz w:val="14"/>
          <w:szCs w:val="14"/>
          <w:i w:val="1"/>
          <w:iCs w:val="1"/>
          <w:color w:val="auto"/>
        </w:rPr>
        <w:t>;</w:t>
      </w:r>
    </w:p>
    <w:p>
      <w:pPr>
        <w:spacing w:after="0" w:line="3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million increase in deferred revenue due to $27.6 million cash proceeds from TECO, $8.9 million cash proceeds from Xcel Energy and $6.5 million from CPS related to our 900 MHz Broadband Spectrum contracts offset by $6.5 million in revenue recognition in connection with the delivery of cleared 900 MHz Broadband Spectrum;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 million increase in contingent liability primarily related to the LCRA Agreements net of transferred broadband licenses.</w:t>
      </w:r>
    </w:p>
    <w:p>
      <w:pPr>
        <w:spacing w:after="0" w:line="9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used in operating activities was approximately $29.3 million in Fiscal 2025. The net cash used in operating activities in Fiscal 2025 was primarily due to the following:</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$11.4 million decrease related to our operating loss, which includes a reduction of $25.0 million of non-cash items. Refer to the </w:t>
      </w:r>
      <w:r>
        <w:rPr>
          <w:rFonts w:ascii="Times New Roman" w:cs="Times New Roman" w:eastAsia="Times New Roman" w:hAnsi="Times New Roman"/>
          <w:sz w:val="14"/>
          <w:szCs w:val="14"/>
          <w:b w:val="1"/>
          <w:bCs w:val="1"/>
          <w:i w:val="1"/>
          <w:iCs w:val="1"/>
          <w:color w:val="auto"/>
        </w:rPr>
        <w:t>Results of Operations</w:t>
      </w:r>
      <w:r>
        <w:rPr>
          <w:rFonts w:ascii="Times New Roman" w:cs="Times New Roman" w:eastAsia="Times New Roman" w:hAnsi="Times New Roman"/>
          <w:sz w:val="14"/>
          <w:szCs w:val="14"/>
          <w:i w:val="1"/>
          <w:iCs w:val="1"/>
          <w:color w:val="auto"/>
        </w:rPr>
        <w:t>;</w:t>
      </w:r>
    </w:p>
    <w:p>
      <w:pPr>
        <w:spacing w:after="0" w:line="9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$2.7 million increase in accrued severance and other related charges primarily due to the CEO Transition and workforce reduction offset by $0.4 million in cash payments;</w:t>
      </w:r>
    </w:p>
    <w:p>
      <w:pPr>
        <w:spacing w:after="0" w:line="93" w:lineRule="exact"/>
        <w:rPr>
          <w:rFonts w:ascii="Times New Roman" w:cs="Times New Roman" w:eastAsia="Times New Roman" w:hAnsi="Times New Roman"/>
          <w:sz w:val="14"/>
          <w:szCs w:val="14"/>
          <w:i w:val="1"/>
          <w:iCs w:val="1"/>
          <w:color w:val="auto"/>
        </w:rPr>
      </w:pPr>
    </w:p>
    <w:p>
      <w:pPr>
        <w:ind w:left="520" w:right="120" w:hanging="260"/>
        <w:spacing w:after="0" w:line="287" w:lineRule="auto"/>
        <w:tabs>
          <w:tab w:leader="none" w:pos="51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$2.5 million increase in deferred revenue due to $8.5 million cash proceeds from Ameren related to cash proceeds from our 900 MHz Broadband Spectrum customer prepayments offset by $6.0 million in revenue recognition in connection with the delivery of cleared 900 MHz Broadband Spectrum; and</w:t>
      </w:r>
    </w:p>
    <w:p>
      <w:pPr>
        <w:spacing w:after="0" w:line="39"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million increase in contingent liability related to the Oncor Agreement net of transferred broadband licenses for four counties.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investing activities</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principal outflow of cash used in investing activities is our purchases of intangible assets, including refundable deposits, retuning costs and swaps, which represent our spectrum clearing efforts as we work toward the conversion from narrowband to broadband spectrum. The purchases of intangible assets may be offset by current period cash proceeds from the sale of intangible assets, with a potential non-cash derecognition of the contingent liability for any proceeds received and recognized in operating activities in a prior period. Payments received in the current period are reflected as investing activities on the Consolidated Statements of Cash Flows upon the sale of intangible assets. We expect net cash provided by investing activities to be affected by the timing of our spectrum clearing efforts and the closing of our sale transactions and the related transfer of broadband licenses. The following represents our changes in net cash provided by investing activities for Fiscal 2026 and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216535</wp:posOffset>
            </wp:positionV>
            <wp:extent cx="71481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8"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Net cash provided by investing activities was approximately $40.5 million and $22.8 million in Fiscal 2026 and Fiscal 2025, respectively. For Fiscal 2026, the net cash provided by investing activities resulted from $67.7 million sale of spectrum related to our transfer of 64 and 91 broadband licenses to LCRA and Oncor, respectively, offset by $27.2 million in payments made to acquire, swap or retune wireless licenses in markets across the United States and $31 thousand for purchases of equipment. For Fiscal 2025, the net cash provided by investing activities resulted from $40.9 million sale of spectrum related to our transfer of four broadband licenses to Oncor, offset by $18.1 million in payments made to acquire, swap or retune wireless licenses in markets across the United States and $0.1 million for purchases of equipment.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(used in) financing activities</w:t>
      </w:r>
    </w:p>
    <w:p>
      <w:pPr>
        <w:spacing w:after="0" w:line="96"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Our principal outflow of cash used in financing activities is a result of our equity transactions, including repurchases of common stock and taxes and fees associated with the issuance of restricted stock awards, offset by proceeds from stock options exercised in the period. We expect net cash used in financing activities to be affected by the timing of future equity transactions including the timing of our repurchases of common stock. The following represents our changes in net cash provided by (used in) financing activities for Fiscal 2026 and Fiscal 2025.</w:t>
      </w:r>
    </w:p>
    <w:p>
      <w:pPr>
        <w:spacing w:after="0" w:line="5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Net cash provided by (used in) financing activities was approximately $3.6 million and $6.6 million in Fiscal 2026 and Fiscal 2025, respectively. For Fiscal 2026, net cash provided by financing activities was primarily from the proceeds of stock option exercises of $5.4 million, partially offset by the repurchase of common stock of $1.0 million, and payments of withholding tax on net issuance of restricted stock of $0.8 million. For Fiscal 2025, net cash used in financing activities was primarily for the repurchase of common stock of $8.4 million, payments of withholding tax on net issuance of restricted stock of $1.8 million, partially offset by the proceeds from stock option exercises of $3.7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future cash proceeds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illustrates the estimated contracted customer proceeds for Fiscal 2027 and thereafter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Customers</w:t>
            </w: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Fiscal 2027</w:t>
            </w:r>
            <w:r>
              <w:rPr>
                <w:rFonts w:ascii="Times New Roman" w:cs="Times New Roman" w:eastAsia="Times New Roman" w:hAnsi="Times New Roman"/>
                <w:sz w:val="14"/>
                <w:szCs w:val="14"/>
                <w:b w:val="1"/>
                <w:bCs w:val="1"/>
                <w:color w:val="auto"/>
                <w:vertAlign w:val="superscript"/>
              </w:rPr>
              <w:t>(1)</w:t>
            </w:r>
          </w:p>
        </w:tc>
        <w:tc>
          <w:tcPr>
            <w:tcW w:w="240" w:type="dxa"/>
            <w:vAlign w:val="bottom"/>
          </w:tcPr>
          <w:p>
            <w:pPr>
              <w:spacing w:after="0"/>
              <w:rPr>
                <w:sz w:val="14"/>
                <w:szCs w:val="14"/>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Thereafter</w:t>
            </w:r>
            <w:r>
              <w:rPr>
                <w:rFonts w:ascii="Times New Roman" w:cs="Times New Roman" w:eastAsia="Times New Roman" w:hAnsi="Times New Roman"/>
                <w:sz w:val="14"/>
                <w:szCs w:val="14"/>
                <w:b w:val="1"/>
                <w:bCs w:val="1"/>
                <w:color w:val="auto"/>
                <w:vertAlign w:val="superscript"/>
              </w:rPr>
              <w:t>(1)(2)</w:t>
            </w:r>
          </w:p>
        </w:tc>
      </w:tr>
      <w:tr>
        <w:trPr>
          <w:trHeight w:val="171"/>
        </w:trPr>
        <w:tc>
          <w:tcPr>
            <w:tcW w:w="8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Ameren</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2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r>
      <w:tr>
        <w:trPr>
          <w:trHeight w:val="18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Xcel Energy</w:t>
            </w:r>
          </w:p>
        </w:tc>
        <w:tc>
          <w:tcPr>
            <w:tcW w:w="2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LCRA</w:t>
            </w:r>
          </w:p>
        </w:tc>
        <w:tc>
          <w:tcPr>
            <w:tcW w:w="2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w:t>
            </w:r>
          </w:p>
        </w:tc>
      </w:tr>
      <w:tr>
        <w:trPr>
          <w:trHeight w:val="18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CPS</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TNMP</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r>
      <w:tr>
        <w:trPr>
          <w:trHeight w:val="18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NWE</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8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Benton PUD</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40" w:hanging="135"/>
        <w:spacing w:after="0"/>
        <w:tabs>
          <w:tab w:leader="none" w:pos="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cash proceeds are subject to change based on final delivery date of the broadband licenses for the associated milestone, which may include penalties associated with delayed deliveries.</w:t>
      </w:r>
    </w:p>
    <w:p>
      <w:pPr>
        <w:spacing w:after="0" w:line="23"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Thereafter expected cash proceeds range from FY28 through FY34.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costs and time related to the commercialization of our spectrum assets; and our ability to sign customer contracts and generate revenues from the license or transfer of any broadband licenses we secure; our ability to timely deliver broadband licenses and clear spectrum to our customers in accordance with our contractual obligation; any requirement to refund payments or pay penalties if we do not satisfy our contractual obligations; the timeline and costs to acquire broadband licenses pursuant to the Report and Order, including the costs to acquire additional spectrum, the costs related to retuning, or swapping spectrum held by 900 MHz site-based licensees in the broadband segment that is required under section 90.621(b) to be protected by a broadband licensee with a base station at any location within the county, or any 900 MHz geographic-based SMR licensee in the broadband segment whose license area completely or partially overlaps the county, and the costs of paying Anti-Windfall Payments.</w:t>
      </w:r>
    </w:p>
    <w:p>
      <w:pPr>
        <w:spacing w:after="0" w:line="6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We are obligated under certain lease agreements for office space with lease terms expiring on various dates from June 30, 2027 through January 31, 2029, which includes a three to ten-year lease extension for our corporate offices. We have also entered into multiple lease agreements for tower space related to our spectrum holdings. These lease expiration dates range from April 8, 2026 to February 28, 2033. Total estimated payments for these lease agreements are approximately $5.1 million (exclusive of real estate taxes, utilities, maintenance and other costs borne by us). We also had an obligation to clear the tower site locations, for which we previously recorded an asset retirement obligation (the “ARO”). During the year ended March 31, 2026, we cleared its tower site locations that were associated with its ARO balances and as a result, we no longer have an 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4"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 xml:space="preserve">balance as of March 31, 2026. See Note 2 </w:t>
      </w:r>
      <w:r>
        <w:rPr>
          <w:rFonts w:ascii="Times New Roman" w:cs="Times New Roman" w:eastAsia="Times New Roman" w:hAnsi="Times New Roman"/>
          <w:sz w:val="14"/>
          <w:szCs w:val="14"/>
          <w:b w:val="1"/>
          <w:bCs w:val="1"/>
          <w:i w:val="1"/>
          <w:iCs w:val="1"/>
          <w:color w:val="auto"/>
        </w:rPr>
        <w:t>Summary of Significant Accounting Policies</w:t>
      </w:r>
      <w:r>
        <w:rPr>
          <w:rFonts w:ascii="Times New Roman" w:cs="Times New Roman" w:eastAsia="Times New Roman" w:hAnsi="Times New Roman"/>
          <w:sz w:val="14"/>
          <w:szCs w:val="14"/>
          <w:color w:val="auto"/>
        </w:rPr>
        <w:t xml:space="preserve"> in the Notes to the Consolidated Financial Statements contained within this Annual Report for further information on the ARO. In addition to the lease payments and ARO for our tower site locations, we entered into agreements with several third parties in multiple U.S. markets to acquire, retune or swap wireless licenses for cash consideration. As of March 31, 2026, our total estimated future payments for these agreements with incumbents are approximately $36.4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Guaranties</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October 2022, we entered into an agreement with Xcel Energy providing Xcel Energy dedicated long-term usage of our 900 MHz Broadband Spectrum for a term of 20 years throughout Xcel Energy’s service territory in eight states (the “Xcel Energy Agreement”). In connection with Xcel Energy Agreement, we entered into a guaranty agreement, under which we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we are required to refund payments we have received. In addition, to the extent we have performed any obligations, our liability and remaining obligations under the Xcel Energy Agreement will extend only to the remaining unperformed obligations. We recorded $76.0 million in deferred revenue in connection with the prepayments received as of March 31, 2026. We commenced delivery of the relevant cleared 900 MHz Broadband Spectrum and the associated broadband leases in the first quarter of fiscal year 2024 and will continue through 2029. As of March 31, 2026, the maximum potential liability of future undiscounted payments under this agreement is approximately $67.4 million, reflecting a reduction in liability due to the obligations performed to date and revenue recognized.</w:t>
      </w:r>
    </w:p>
    <w:p>
      <w:pPr>
        <w:spacing w:after="0" w:line="64"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June 2025, we entered into an agreement to retune and acquire wireless licenses for approximately $28.0 million. In connection with this agreement, we entered into a guaranty agreement with the incumbent, under which we guaranteed the payment and performance of all obligations under the agreement to the incumbent in the event of default. In addition, to the extent we have performed any obligations under the agreement, our liability and remaining obligations will extend only to the remaining obligations. As of March 31, 2026, the maximum potential liability of future undiscounted payments under this agreement is approximately $18.2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September 2023, our Board authorized the 2023 Share Repurchase Program pursuant to which we may repurchase up to $250.0 million of our common stock on or before September 21, 2026. We 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spacing w:after="0" w:line="58"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The Inflation Reduction Act of 2022, which was enacted into law on August 16, 2022, imposed a nondeductible 1% excise tax on the net value of certain stock repurchases made after December 31, 2022. For the year end March 31, 2026 and 2025, we had no excise tax expense.</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share repurchase activity for Fiscal 2026 and Fiscal 2025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For the years ended March 31,</w:t>
            </w:r>
          </w:p>
        </w:tc>
        <w:tc>
          <w:tcPr>
            <w:tcW w:w="520" w:type="dxa"/>
            <w:vAlign w:val="bottom"/>
            <w:tcBorders>
              <w:bottom w:val="single" w:sz="8" w:color="auto"/>
            </w:tcBorders>
          </w:tcPr>
          <w:p>
            <w:pPr>
              <w:spacing w:after="0"/>
              <w:rPr>
                <w:sz w:val="13"/>
                <w:szCs w:val="13"/>
                <w:color w:val="auto"/>
              </w:rPr>
            </w:pPr>
          </w:p>
        </w:tc>
      </w:tr>
      <w:tr>
        <w:trPr>
          <w:trHeight w:val="154"/>
        </w:trPr>
        <w:tc>
          <w:tcPr>
            <w:tcW w:w="80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7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repurchased and retired</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tcPr>
          <w:p>
            <w:pPr>
              <w:spacing w:after="0"/>
              <w:rPr>
                <w:sz w:val="15"/>
                <w:szCs w:val="15"/>
                <w:color w:val="auto"/>
              </w:rPr>
            </w:pP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33.71</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to repurchase</w:t>
            </w:r>
          </w:p>
        </w:tc>
        <w:tc>
          <w:tcPr>
            <w:tcW w:w="102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Average price paid per share includes costs associated with the repurchases, excluding excise taxes associated with the 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$226.7 million is remaining under the 2023 Share Repurchase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GAAP, which require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Accordingly, our actual results could differ from those based on such estimates and assumptions. Further, to the extent that there are differences between our estimates and our actual results, our future financial statement presentation, financial condition, results of operations and cash flows will be affected. We believe that the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206375</wp:posOffset>
            </wp:positionV>
            <wp:extent cx="71481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policies discussed below are critical to understanding our historical performance, as these policies relate to the more significant areas involving our judgments and estimates.</w:t>
      </w:r>
    </w:p>
    <w:p>
      <w:pPr>
        <w:spacing w:after="0" w:line="9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 xml:space="preserve">We believe that the areas described below are the most critical to aid in fully understanding and evaluating our reported financial results, as they require management’s significant judgments in the application of accounting policy or in making estimates and assumptions that are inherently uncertain and that may change in subsequent periods. Our significant accounting policies are set forth in Note 2 </w:t>
      </w:r>
      <w:r>
        <w:rPr>
          <w:rFonts w:ascii="Times New Roman" w:cs="Times New Roman" w:eastAsia="Times New Roman" w:hAnsi="Times New Roman"/>
          <w:sz w:val="14"/>
          <w:szCs w:val="14"/>
          <w:b w:val="1"/>
          <w:bCs w:val="1"/>
          <w:i w:val="1"/>
          <w:iCs w:val="1"/>
          <w:color w:val="auto"/>
        </w:rPr>
        <w:t>Summary of Significant Accounting Policies</w:t>
      </w:r>
      <w:r>
        <w:rPr>
          <w:rFonts w:ascii="Times New Roman" w:cs="Times New Roman" w:eastAsia="Times New Roman" w:hAnsi="Times New Roman"/>
          <w:sz w:val="14"/>
          <w:szCs w:val="14"/>
          <w:color w:val="auto"/>
        </w:rPr>
        <w:t xml:space="preserve"> in the Notes to the Consolidated Financial Statements contained within this Annual Report. Of those policies, we believe that the policy discussed below may involve a higher degree of judgment and may be more critical to an accurate reflection of our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Indefinite-Lived Intangible Assets for Impairment</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Unit of accounting of wireless licenses not associated with closed deals is based on geographic markets. Unit of accounting of wireless licenses associated with closed deals is based on the deal markets. Our wireless licenses not associated with closed deals are tested for impairment based on the geographic markets, as we will be utilizing the existing wireless narrowband licenses, or broadband licenses if applicable, as part of facilitating broadband spectrum networks at a geographic market level. Our wireless licenses associated with closed deals are tested for impairment based at the deal market level. We use a market-based approach to estimate fair value for impairment testing purposes. We may elect to first perform a qualitative assessment to determine whether it is more likely than not that the fair value of an intangible asset is less than its carrying value. If we do not perform the qualitative assessment, or if the qualitative assessment indicates it is more likely than not that the fair value of the intangible asset is less than its carrying amount, we will calculate the estimated fair value of the intangible asset. If the estimated fair value of the spectrum licenses is lower than their carrying amount, an impairment loss is recognized. We will use a market-based approach to estimate fair value for impairment testing purposes except for deals that were realized as of the valuation date, for which a transaction specific market approach will be used.</w:t>
      </w:r>
    </w:p>
    <w:p>
      <w:pPr>
        <w:spacing w:after="0" w:line="6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valuation approach used to estimate fair value for the purpose of impairment testing requires management to use complex assumptions and estimates such as population, discount rates, industry and market considerations, long-term market equity risk, as well as other factors. These assumptions and estimates depend on our ability to accurately predict forward looking assumptions including successfully applying for broadband licenses, commercializing our 900 MHz Broadband Spectrum and properly estimating favorable deal terms over the life of the contract. For impairment testing, estimated fair value of counties without an associated deal is determined using a market-based approach primarily using the 600 MHz auction price. The FCC will use the spectrum price based on the average price paid in the FCC’s 600 MHz auction to calculate the Anti-Windfall Payments. The estimated fair value of realized deals is determined using a transaction specific market approach based on the deal specific terms and adjusted for our rate of return and present value taking into consideration the timing of payments. In addition, we performed a sensitivity analysis to recent auctions and transactions noting that while in some cases the value was lower than the 600 MHz auction price, the values were well above our carrying value. Furthermore, if management determines that for impairment testing purposes, the 600 MHz auction price is not the appropriate market-based fair value, and the new estimated fair value is lower by over 50%, our intangible assets would still not be impaired as the current estimated fair value for impairment testing purposes exceeds book value by more than 50%.</w:t>
      </w:r>
    </w:p>
    <w:p>
      <w:pPr>
        <w:spacing w:after="0" w:line="6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During the year ended March 31, 2026, we performed a step zero qualitative approach impairment test as of January 1, 2026, for each geographical market or deal market, to test indefinite-lived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Per the results of the step zero test, we were not required to perform a step one analysis. During the year ended March 31, 2025, we performed a step one quantitative approach impairment test as of January 1, 2025, to determine if the fair value of the combined licenses by the associated geographical or deal market exceeds the carrying value for each geographical or deal market. Based on the results of the impairment tests, there were no impairment charges recorded during the year ended March 31, 2026 and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4" w:lineRule="exact"/>
        <w:rPr>
          <w:sz w:val="20"/>
          <w:szCs w:val="20"/>
          <w:color w:val="auto"/>
        </w:rPr>
      </w:pPr>
    </w:p>
    <w:p>
      <w:pPr>
        <w:ind w:right="620" w:firstLine="509"/>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recent accounting pronouncements, including those recently adopted, is provided in Note 2 </w:t>
      </w:r>
      <w:r>
        <w:rPr>
          <w:rFonts w:ascii="Times New Roman" w:cs="Times New Roman" w:eastAsia="Times New Roman" w:hAnsi="Times New Roman"/>
          <w:sz w:val="14"/>
          <w:szCs w:val="14"/>
          <w:b w:val="1"/>
          <w:bCs w:val="1"/>
          <w:i w:val="1"/>
          <w:iCs w:val="1"/>
          <w:color w:val="auto"/>
        </w:rPr>
        <w:t>Summary of Significant Accounting Policies</w:t>
      </w:r>
      <w:r>
        <w:rPr>
          <w:rFonts w:ascii="Times New Roman" w:cs="Times New Roman" w:eastAsia="Times New Roman" w:hAnsi="Times New Roman"/>
          <w:sz w:val="14"/>
          <w:szCs w:val="14"/>
          <w:color w:val="auto"/>
        </w:rPr>
        <w:t xml:space="preserve"> in the Notes to the Consolidated Financial Statements contained within this Annual Report.</w:t>
      </w:r>
    </w:p>
    <w:p>
      <w:pPr>
        <w:spacing w:after="0" w:line="35" w:lineRule="exact"/>
        <w:rPr>
          <w:sz w:val="20"/>
          <w:szCs w:val="20"/>
          <w:color w:val="auto"/>
        </w:rPr>
      </w:pPr>
    </w:p>
    <w:p>
      <w:pPr>
        <w:ind w:right="554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ITEM 7A. QUANTITATIVE AND QUALITATIVE DISCLOSURES ABOUT MARKET RISK </w:t>
      </w:r>
      <w:r>
        <w:rPr>
          <w:rFonts w:ascii="Times New Roman" w:cs="Times New Roman" w:eastAsia="Times New Roman" w:hAnsi="Times New Roman"/>
          <w:sz w:val="14"/>
          <w:szCs w:val="14"/>
          <w:b w:val="1"/>
          <w:bCs w:val="1"/>
          <w:i w:val="1"/>
          <w:iCs w:val="1"/>
          <w:color w:val="auto"/>
        </w:rPr>
        <w:t>Interest Rate Risk</w:t>
      </w: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Our financial instruments consist of cash, cash equivalents, non-trade accounts receivable and accounts payable. We consider investments in highly liquid instruments purchased with original maturities of 90 days or less to be cash equivalents. Our primary exposure to market risk is interest income sensitivity, which is affected by changes in the general level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interest rates. However, because of the short-term nature of the highly liquid instruments in our portfolio, a 10% change in market interest rates would not be expected to have a material impact on our financial condition and/or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Rate Fluctuations</w:t>
      </w:r>
    </w:p>
    <w:p>
      <w:pPr>
        <w:spacing w:after="0" w:line="9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Our operations are based in the United States and, accordingly, all of our transactions are denominated in U.S. dollars. We are currently not exposed to market risk from changes in foreign currency.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Inflationary factors may adversely affect our operating results. As a result of recent increases in inflation, certain of our operating expenses have increased. Additionally, although difficult to quantify, we believe that the current macroeconomic environment, including inflation, could have an adverse effect on our target customers’ businesses, which may harm our commercialization efforts and negatively impact our revenues. Continued periods of high inflation could have a material adverse effect on our business, operating results and financial condition if we are not able to control our operating costs or if our commercialization efforts are slowed or negatively impacted, continued periods of high inflation could have a material adverse effect on our business, operating results and financial condition.</w:t>
      </w:r>
    </w:p>
    <w:p>
      <w:pPr>
        <w:spacing w:after="0" w:line="58"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We continue to monitor our market risk exposure, including any adverse impacts related to public health emergencies or the current macroeconomic environment, which has resulted in significant market volatility.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financial statements required by this item are set forth in Item 15 beginning on page F-1 and are filed as part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spacing w:after="0" w:line="5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President and Chief Executive Officer and our Chief Financial Officer, we conducted an evaluation of the effectiveness of the design and operation of our disclosure controls and procedures, as such term is defined in Rule 13a-15(e) of the Exchange Act. Based upon that evaluation, our Principal Executive Officer and Principal Financial and Accounting Officer have concluded that the Company’s disclosure controls and procedures, as defined in Rule 13a-15(e) of the Exchange Act, were effective as of the end of the period covered by this Annual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of the Exchange Act.</w:t>
      </w:r>
    </w:p>
    <w:p>
      <w:pPr>
        <w:spacing w:after="0" w:line="94"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Internal control over financial reporting is a process designed under the supervision and with the participation of our management, including our Principal Executive Officer and Principal Financial and Accounting Officer, to provide reasonable assurance regarding the reliability of our financial reporting and the preparation of our financial statements for external purposes in accordance with U.S. GAAP.</w:t>
      </w:r>
    </w:p>
    <w:p>
      <w:pPr>
        <w:spacing w:after="0" w:line="51"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Our management, under the supervision of our President and Chief Executive Officer and our Chief Financial Officer, conducted an assessment of the effectiveness of our internal control over financial reporting based on the criteria set forth by the Committee of Sponsoring Organizations of the Treadway Commission in Internal Control—Integrated Framework. Based on this assessment, our management determined that, as of March 31, 2026, we maintained effective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553720</wp:posOffset>
            </wp:positionV>
            <wp:extent cx="71481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Attestation Report on Internal Control over Financial Reporting</w:t>
      </w:r>
    </w:p>
    <w:p>
      <w:pPr>
        <w:spacing w:after="0" w:line="9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Our management’s report was not subject to attestation by our registered public accounting firm pursuant to the rules of the SEC that exempt non-accelerated filers, as that term is defined in Rule 12-b2 of the Exchange Act, from such requirement.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or 15d-15(d) of the Exchange Act, during the quarterly period ended March 31, 2026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9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Our management, including our President and Chief Executive Officer and our Chief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that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w:t>
      </w:r>
    </w:p>
    <w:p>
      <w:pPr>
        <w:spacing w:after="0" w:line="5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and Executive Officer Trading</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three months ended March 31, 2026, no director or officer adopted or terminated any Rule 10b5-1 or non-Rule 10b5-1 trading arrangement (as defined in Item 408 of Regulation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DISCLOSURES REGARDING FOREIGN JURISDICTIONS THAT PREVENT INSPECTIONS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230505</wp:posOffset>
            </wp:positionV>
            <wp:extent cx="71481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5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Information relating to our directors, executive officers and corporate governance, including our Code of Business Conduct, will be included in the proxy statement for our 2026 annual meeting of our stockholders, expected to be filed within 120 days of the end of our fiscal year, which is incorporated herein by reference. The full text of our Code of Business Conduct, which is the code of ethics that applies to all of our officers, directors and employees, can be found in the “Investors” section of our website accessible to the public at www.anterix.com.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Information relating to our executive compensation will be included in the proxy statement for our 2026 annual meeting of our stockholders, expected to be filed within 120 days of the end of our fiscal year. This information (except for the disclosure under the heading “Pay-Verse-Performance”)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Information relating to the security ownership of certain beneficial owners and management will be included in the proxy statement for our 2026 annual meeting of our stockholders, expected to be filed within 120 days of the end of our fiscal year, which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Information relating to certain relationships and related transactions and director independence will be included in the proxy statement for our 2026 annual meeting of our stockholders, expected to be filed within 120 days of the end of our fiscal year, which is incorporated herein by reference.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Information relating to principal accountant fees and services will be included in the proxy statement for our 2026 annual meeting of our stockholders, expected to be filed within 120 days of the end of our fiscal year,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The following consolidated financial statements of the Company appear beginning on page F-1 of this Annual Report and are incorporated by reference in Part II, Item 8:</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Reports of Independent Registered Public Accounting Firms (PCAOB ID Number 34)</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Reports of Independent Registered Public Accounting Firms (PCAOB ID Number 248)</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Consolidated Balance Sheets as of March 31, 2026 and 2025</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Operations for the Years Ended March 31, 2026 and 2025</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Stockholders’ Equity for the Years Ended March 31, 2026 and 2025</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 for the Years Ended March 31, 2026 and 2025</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p>
    <w:p>
      <w:pPr>
        <w:spacing w:after="0" w:line="9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(a)(2) All schedules for which provision is made in the applicable accounting regulations of the SEC are not required under the related instructions or are inapplicable and therefore have been omitted.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(a)(3) The following exhibits are filed as part of, or incorporated by reference into, this Annual Report.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shd w:val="clear" w:color="auto" w:fill="CCEEFF"/>
          </w:tcPr>
          <w:p>
            <w:pPr>
              <w:spacing w:after="0"/>
              <w:rPr>
                <w:sz w:val="15"/>
                <w:szCs w:val="15"/>
                <w:color w:val="auto"/>
              </w:rPr>
            </w:pPr>
          </w:p>
        </w:tc>
        <w:tc>
          <w:tcPr>
            <w:tcW w:w="96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39"/>
        </w:trPr>
        <w:tc>
          <w:tcPr>
            <w:tcW w:w="1520" w:type="dxa"/>
            <w:vAlign w:val="bottom"/>
            <w:tcBorders>
              <w:top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60" w:type="dxa"/>
            <w:vAlign w:val="bottom"/>
            <w:tcBorders>
              <w:top w:val="single" w:sz="8" w:color="auto"/>
            </w:tcBorders>
            <w:gridSpan w:val="24"/>
          </w:tcPr>
          <w:p>
            <w:pPr>
              <w:spacing w:after="0" w:line="139"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Amended and Restated Certificate of Incorporation of the Company (filed as Exhibit 3.1 to the Registration Statement on Form S-1, filed with the SEC on December 19,</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5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2014 and incorporated herein by reference (File No. 333-201156)).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Certificate of Amendment No. 1 to Amended and Restated Certificate of Incorporation of the Company (filed as Exhibit 3.1 of the Current Report on Form 8-K, filed</w:t>
              </w:r>
            </w:hyperlink>
          </w:p>
        </w:tc>
      </w:tr>
      <w:tr>
        <w:trPr>
          <w:trHeight w:val="140"/>
        </w:trPr>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5460" w:type="dxa"/>
            <w:vAlign w:val="bottom"/>
            <w:tcBorders>
              <w:top w:val="single" w:sz="8" w:color="0000FF"/>
              <w:bottom w:val="single" w:sz="8" w:color="0000FF"/>
            </w:tcBorders>
            <w:gridSpan w:val="7"/>
            <w:shd w:val="clear" w:color="auto" w:fill="CCEEFF"/>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with the SEC on November 5, 2015 and incorporated herein by reference (File No. 001-36827)).</w:t>
              </w:r>
            </w:hyperlink>
          </w:p>
        </w:tc>
        <w:tc>
          <w:tcPr>
            <w:tcW w:w="394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Certificate of Amendment No. 2 to Amended and Restated Certificate of Incorporation of the Company (filed as Exhibit 3.1 of the Current Report on Form 8-K, filed</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with the SEC on August 6, 2019 and incorporated herein by reference (File No. 001-36827)).</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Amended and Restated Bylaws of the Company (filed as Exhibit 3.1 to the Current Report on Form 8-K, filed with the SEC on June 27, 2017 and incorporated herein by</w:t>
              </w:r>
            </w:hyperlink>
          </w:p>
        </w:tc>
      </w:tr>
      <w:tr>
        <w:trPr>
          <w:trHeight w:val="118"/>
        </w:trPr>
        <w:tc>
          <w:tcPr>
            <w:tcW w:w="15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580" w:type="dxa"/>
            <w:vAlign w:val="bottom"/>
            <w:tcBorders>
              <w:top w:val="single" w:sz="8" w:color="0000FF"/>
            </w:tcBorders>
            <w:gridSpan w:val="20"/>
            <w:shd w:val="clear" w:color="auto" w:fill="CCEEFF"/>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reference (File No. 001-36827)).</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2"/>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Amendment No. 1 to the Amended and Restated Bylaws of the Company (filed as Exhibit 3.1 to the Current Report on Form 8-K, filed with the SEC on May 8, 2020 and</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incorporated herein by reference (File No. 001-36827)).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Form of Common Stock Certificate of the Company (filed as Exhibit 4.1 to the Registration Statement on Form S-1, filed with the SEC on December 19, 2014 and</w:t>
              </w:r>
            </w:hyperlink>
          </w:p>
        </w:tc>
      </w:tr>
      <w:tr>
        <w:trPr>
          <w:trHeight w:val="118"/>
        </w:trPr>
        <w:tc>
          <w:tcPr>
            <w:tcW w:w="15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220" w:type="dxa"/>
            <w:vAlign w:val="bottom"/>
            <w:tcBorders>
              <w:top w:val="single" w:sz="8" w:color="0000FF"/>
            </w:tcBorders>
            <w:gridSpan w:val="11"/>
            <w:shd w:val="clear" w:color="auto" w:fill="CCEEFF"/>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incorporated herein by reference (File No. 333-201156)).</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3"/>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2"/>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Description of Common Stock (filed as Exhibit 4.5 to the Annual Report on Form 10-K for the year ended March 31, 2020, filed with the SEC on May 28, 2020 and</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incorporated herein by reference (File No. 001-36827)).</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2014 Stock Plan (filed as Exhibit 10.6 to the Registration Statement on Form S-1, filed with the SEC on December 19, 2014 and incorporated herein by reference (File</w:t>
              </w:r>
            </w:hyperlink>
          </w:p>
        </w:tc>
      </w:tr>
      <w:tr>
        <w:trPr>
          <w:trHeight w:val="118"/>
        </w:trPr>
        <w:tc>
          <w:tcPr>
            <w:tcW w:w="15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440" w:type="dxa"/>
            <w:vAlign w:val="bottom"/>
            <w:tcBorders>
              <w:top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No. 333-201156)).</w:t>
              </w:r>
            </w:hyperlink>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3"/>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2"/>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Executive Form of Notice of Grant of Stock Option and Stock Option Agreement under 2014 Stock Plan (filed as Exhibit 10.7 to the Annual Report on Form 10-K for the</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year ended March 31, 2015, filed with the SEC on June 10, 2015 and incorporated herein by reference (File No. 001-36827)).</w:t>
              </w:r>
            </w:hyperlink>
          </w:p>
        </w:tc>
        <w:tc>
          <w:tcPr>
            <w:tcW w:w="20" w:type="dxa"/>
            <w:vAlign w:val="bottom"/>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Non-Employee Director Form of Notice of Grant of Stock Option and Stock Option Agreement under 2014 Stock Plan (filed as Exhibit 10.8 to the Annual Report on</w:t>
              </w:r>
            </w:hyperlink>
          </w:p>
        </w:tc>
      </w:tr>
      <w:tr>
        <w:trPr>
          <w:trHeight w:val="140"/>
        </w:trPr>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180" w:type="dxa"/>
            <w:vAlign w:val="bottom"/>
            <w:tcBorders>
              <w:top w:val="single" w:sz="8" w:color="0000FF"/>
              <w:bottom w:val="single" w:sz="8" w:color="0000FF"/>
            </w:tcBorders>
            <w:gridSpan w:val="10"/>
            <w:shd w:val="clear" w:color="auto" w:fill="CCEEFF"/>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10-K for the year ended March 31, 2015, filed with the SEC on June 10, 2015 and incorporated herein by reference (File No. 001-36827)).</w:t>
              </w:r>
            </w:hyperlink>
          </w:p>
        </w:tc>
        <w:tc>
          <w:tcPr>
            <w:tcW w:w="1200" w:type="dxa"/>
            <w:vAlign w:val="bottom"/>
            <w:tcBorders>
              <w:top w:val="single" w:sz="8" w:color="0000FF"/>
              <w:bottom w:val="single" w:sz="8" w:color="CCEEFF"/>
            </w:tcBorders>
            <w:gridSpan w:val="5"/>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Non-Employee Director Form of Notice of Grant of Restricted Stock Units and Restricted Stock Units Agreement under 2014 Stock Plan (filed as Exhibit 10.9 to the</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36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Annual Report on Form 10-K for the year ended March 31, 2015, filed with the SEC on June 10, 2015 and incorporated herein by reference (File No. 001-36827)).</w:t>
              </w:r>
            </w:hyperlink>
          </w:p>
        </w:tc>
        <w:tc>
          <w:tcPr>
            <w:tcW w:w="100" w:type="dxa"/>
            <w:vAlign w:val="bottom"/>
            <w:gridSpan w:val="4"/>
          </w:tcPr>
          <w:p>
            <w:pPr>
              <w:spacing w:after="0"/>
              <w:rPr>
                <w:sz w:val="10"/>
                <w:szCs w:val="10"/>
                <w:color w:val="auto"/>
              </w:rPr>
            </w:pPr>
          </w:p>
        </w:tc>
        <w:tc>
          <w:tcPr>
            <w:tcW w:w="1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60" w:type="dxa"/>
            <w:vAlign w:val="bottom"/>
            <w:gridSpan w:val="24"/>
            <w:shd w:val="clear" w:color="auto" w:fill="CCEEFF"/>
          </w:tcPr>
          <w:p>
            <w:pPr>
              <w:spacing w:after="0" w:line="14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Form of Notice of Grant of Restricted Stock Units and Restricted Stock Units Agreement under 2014 Stock Plan (filed as Exhibit 10.8 to the Registration Statement on</w:t>
              </w:r>
            </w:hyperlink>
          </w:p>
        </w:tc>
      </w:tr>
      <w:tr>
        <w:trPr>
          <w:trHeight w:val="140"/>
        </w:trPr>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480" w:type="dxa"/>
            <w:vAlign w:val="bottom"/>
            <w:tcBorders>
              <w:top w:val="single" w:sz="8" w:color="0000FF"/>
              <w:bottom w:val="single" w:sz="8" w:color="0000FF"/>
            </w:tcBorders>
            <w:gridSpan w:val="8"/>
            <w:shd w:val="clear" w:color="auto" w:fill="CCEEFF"/>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Form S-1, filed with the SEC on December 19, 2014 and incorporated herein by reference (File No. 333-201156)).</w:t>
              </w:r>
            </w:hyperlink>
          </w:p>
        </w:tc>
        <w:tc>
          <w:tcPr>
            <w:tcW w:w="298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9"/>
        </w:trPr>
        <w:tc>
          <w:tcPr>
            <w:tcW w:w="1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60" w:type="dxa"/>
            <w:vAlign w:val="bottom"/>
            <w:gridSpan w:val="24"/>
          </w:tcPr>
          <w:p>
            <w:pPr>
              <w:spacing w:after="0" w:line="14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Form of Indemnification Agreement by and among the Company and its officers and directors (filed as Exhibit 10.9 to the Registration Statement on Form S-1, filed with</w:t>
              </w:r>
            </w:hyperlink>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the SEC on December 19, 2014 and incorporated herein by reference (File No. 333-201156)).</w:t>
              </w:r>
            </w:hyperlink>
          </w:p>
        </w:tc>
        <w:tc>
          <w:tcPr>
            <w:tcW w:w="60" w:type="dxa"/>
            <w:vAlign w:val="bottom"/>
            <w:gridSpan w:val="3"/>
          </w:tcPr>
          <w:p>
            <w:pPr>
              <w:spacing w:after="0"/>
              <w:rPr>
                <w:sz w:val="10"/>
                <w:szCs w:val="10"/>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283210</wp:posOffset>
            </wp:positionV>
            <wp:extent cx="71481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10.7+</w:t>
            </w:r>
          </w:p>
        </w:tc>
        <w:tc>
          <w:tcPr>
            <w:tcW w:w="9700" w:type="dxa"/>
            <w:vAlign w:val="bottom"/>
            <w:gridSpan w:val="38"/>
            <w:shd w:val="clear" w:color="auto" w:fill="CCEEFF"/>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The Company’s Executive Severance Plan as amended December 5, 2024 (filed as Exhibit 10.17 to the Annual Report on Form 10-K for the year ended March 31, 2025,</w:t>
              </w:r>
            </w:hyperlink>
          </w:p>
        </w:tc>
      </w:tr>
      <w:tr>
        <w:trPr>
          <w:trHeight w:val="118"/>
        </w:trPr>
        <w:tc>
          <w:tcPr>
            <w:tcW w:w="1640" w:type="dxa"/>
            <w:vAlign w:val="bottom"/>
            <w:tcBorders>
              <w:top w:val="single" w:sz="8" w:color="CCEEFF"/>
              <w:right w:val="single" w:sz="8" w:color="CCEEFF"/>
            </w:tcBorders>
            <w:shd w:val="clear" w:color="auto" w:fill="CCEEFF"/>
          </w:tcPr>
          <w:p>
            <w:pPr>
              <w:spacing w:after="0"/>
              <w:rPr>
                <w:sz w:val="10"/>
                <w:szCs w:val="10"/>
                <w:color w:val="auto"/>
              </w:rPr>
            </w:pPr>
          </w:p>
        </w:tc>
        <w:tc>
          <w:tcPr>
            <w:tcW w:w="9600" w:type="dxa"/>
            <w:vAlign w:val="bottom"/>
            <w:tcBorders>
              <w:top w:val="single" w:sz="8" w:color="0000FF"/>
            </w:tcBorders>
            <w:gridSpan w:val="33"/>
            <w:shd w:val="clear" w:color="auto" w:fill="CCEEFF"/>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filed with the SEC on June 24, 2025 and incorporated herein by reference (File No. 001-36827)).</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2"/>
        </w:trPr>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The Company’s Form of Executive Severance Plan Participation Agreement (filed as Exhibit 99.2 to the Current Report on Form 8-K, filed with the SEC on March 27,</w:t>
              </w:r>
            </w:hyperlink>
          </w:p>
        </w:tc>
      </w:tr>
      <w:tr>
        <w:trPr>
          <w:trHeight w:val="118"/>
        </w:trPr>
        <w:tc>
          <w:tcPr>
            <w:tcW w:w="1640" w:type="dxa"/>
            <w:vAlign w:val="bottom"/>
          </w:tcPr>
          <w:p>
            <w:pPr>
              <w:spacing w:after="0"/>
              <w:rPr>
                <w:sz w:val="10"/>
                <w:szCs w:val="10"/>
                <w:color w:val="auto"/>
              </w:rPr>
            </w:pPr>
          </w:p>
        </w:tc>
        <w:tc>
          <w:tcPr>
            <w:tcW w:w="948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2015 and incorporated herein by reference (File No. 001-36827)).</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Executive Form of Performance-Based Stock Option Agreement and Grant Notice under the 2014 Stock Plan (filed as Exhibit 10.1 to the Quarterly Report on Form 10-Q</w:t>
              </w:r>
            </w:hyperlink>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140" w:type="dxa"/>
            <w:vAlign w:val="bottom"/>
            <w:tcBorders>
              <w:top w:val="single" w:sz="8" w:color="0000FF"/>
              <w:bottom w:val="single" w:sz="8" w:color="0000FF"/>
            </w:tcBorders>
            <w:gridSpan w:val="16"/>
            <w:shd w:val="clear" w:color="auto" w:fill="CCEEFF"/>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 the quarter ended December 31, 2015, filed with the SEC on February 16, 2016 and incorporated herein by reference (File No. 001-36827)).</w:t>
              </w:r>
            </w:hyperlink>
          </w:p>
        </w:tc>
        <w:tc>
          <w:tcPr>
            <w:tcW w:w="1520" w:type="dxa"/>
            <w:vAlign w:val="bottom"/>
            <w:tcBorders>
              <w:top w:val="single" w:sz="8" w:color="0000FF"/>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Executive Form of Performance-Based Restricted Stock Units Agreement and Grant Notice under the 2014 Stock Plan (filed as Exhibit 10.2 to the Quarterly Report on</w:t>
              </w:r>
            </w:hyperlink>
          </w:p>
        </w:tc>
      </w:tr>
      <w:tr>
        <w:trPr>
          <w:trHeight w:val="118"/>
        </w:trPr>
        <w:tc>
          <w:tcPr>
            <w:tcW w:w="1640" w:type="dxa"/>
            <w:vAlign w:val="bottom"/>
          </w:tcPr>
          <w:p>
            <w:pPr>
              <w:spacing w:after="0"/>
              <w:rPr>
                <w:sz w:val="10"/>
                <w:szCs w:val="10"/>
                <w:color w:val="auto"/>
              </w:rPr>
            </w:pPr>
          </w:p>
        </w:tc>
        <w:tc>
          <w:tcPr>
            <w:tcW w:w="946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Form 10-Q for the quarter ended December 31, 2015, filed with the SEC on February 16, 2016 and incorporated herein by reference (File No. 001-36827)).</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Non-Employee Director Form of Restricted Stock Award Agreement and Grant Notice under the 2014 Stock Plan (filed as Exhibit 10.3 to the Quarterly Report on Form</w:t>
              </w:r>
            </w:hyperlink>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460" w:type="dxa"/>
            <w:vAlign w:val="bottom"/>
            <w:tcBorders>
              <w:top w:val="single" w:sz="8" w:color="0000FF"/>
              <w:bottom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10-Q for the quarter ended December 31, 2015, filed with the SEC on February 16, 2016 and incorporated herein by reference (File No. 001-36827)).</w:t>
              </w:r>
            </w:hyperlink>
          </w:p>
        </w:tc>
        <w:tc>
          <w:tcPr>
            <w:tcW w:w="1080" w:type="dxa"/>
            <w:vAlign w:val="bottom"/>
            <w:tcBorders>
              <w:top w:val="single" w:sz="8" w:color="0000FF"/>
              <w:bottom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Executive Form of Time-Based Stock Option Agreement and Grant Notice under the 2014 Stock Plan (filed as Exhibit 10.4 to the Quarterly Report on Form 10-Q for the</w:t>
              </w:r>
            </w:hyperlink>
          </w:p>
        </w:tc>
      </w:tr>
      <w:tr>
        <w:trPr>
          <w:trHeight w:val="118"/>
        </w:trPr>
        <w:tc>
          <w:tcPr>
            <w:tcW w:w="1640" w:type="dxa"/>
            <w:vAlign w:val="bottom"/>
          </w:tcPr>
          <w:p>
            <w:pPr>
              <w:spacing w:after="0"/>
              <w:rPr>
                <w:sz w:val="10"/>
                <w:szCs w:val="10"/>
                <w:color w:val="auto"/>
              </w:rPr>
            </w:pPr>
          </w:p>
        </w:tc>
        <w:tc>
          <w:tcPr>
            <w:tcW w:w="962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quarter ended December 31, 2015, filed with the SEC on February 16, 2016 and incorporated herein by reference (File No. 001-36827)).</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Executive Form of Time-Based Restricted Stock Award Agreement and Grant Notice under the 2014 Stock Plan (filed as Exhibit 10.5 to the Quarterly Report on Form</w:t>
              </w:r>
            </w:hyperlink>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7220" w:type="dxa"/>
            <w:vAlign w:val="bottom"/>
            <w:tcBorders>
              <w:top w:val="single" w:sz="8" w:color="0000FF"/>
              <w:bottom w:val="single" w:sz="8" w:color="0000FF"/>
            </w:tcBorders>
            <w:gridSpan w:val="11"/>
            <w:shd w:val="clear" w:color="auto" w:fill="CCEEFF"/>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10-Q for the quarter ended December 31, 2015, filed with the SEC on February 16, 2016 and incorporated herein by reference).</w:t>
              </w:r>
            </w:hyperlink>
          </w:p>
        </w:tc>
        <w:tc>
          <w:tcPr>
            <w:tcW w:w="2220" w:type="dxa"/>
            <w:vAlign w:val="bottom"/>
            <w:tcBorders>
              <w:top w:val="single" w:sz="8" w:color="0000FF"/>
              <w:bottom w:val="single" w:sz="8" w:color="CCEEFF"/>
            </w:tcBorders>
            <w:gridSpan w:val="15"/>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Senior Executive Form of Performance-Based Restricted Stock Units Agreement and Grant Notice (2021 Short-Term Incentive Plan) under the 2014 Stock Plan (filed as</w:t>
              </w:r>
            </w:hyperlink>
          </w:p>
        </w:tc>
      </w:tr>
      <w:tr>
        <w:trPr>
          <w:trHeight w:val="118"/>
        </w:trPr>
        <w:tc>
          <w:tcPr>
            <w:tcW w:w="1640" w:type="dxa"/>
            <w:vAlign w:val="bottom"/>
          </w:tcPr>
          <w:p>
            <w:pPr>
              <w:spacing w:after="0"/>
              <w:rPr>
                <w:sz w:val="10"/>
                <w:szCs w:val="10"/>
                <w:color w:val="auto"/>
              </w:rPr>
            </w:pPr>
          </w:p>
        </w:tc>
        <w:tc>
          <w:tcPr>
            <w:tcW w:w="958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Exhibit 10.1 to the Quarterly Report on Form 10-Q for the quarter ended September 30, 2020, filed with the SEC on November 16, 2020 and incorporated herein by</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40" w:type="dxa"/>
            <w:vAlign w:val="bottom"/>
          </w:tcPr>
          <w:p>
            <w:pPr>
              <w:spacing w:after="0"/>
              <w:rPr>
                <w:sz w:val="10"/>
                <w:szCs w:val="10"/>
                <w:color w:val="auto"/>
              </w:rPr>
            </w:pPr>
          </w:p>
        </w:tc>
        <w:tc>
          <w:tcPr>
            <w:tcW w:w="92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reference (File No. 001-36827)).</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Executive Form of Performance-Based Restricted Stock Units Agreement and Grant Notice (2021 Short-Term Incentive Plan) under the 2014 Stock Plan (filed as Exhibit</w:t>
              </w:r>
            </w:hyperlink>
          </w:p>
        </w:tc>
      </w:tr>
      <w:tr>
        <w:trPr>
          <w:trHeight w:val="118"/>
        </w:trPr>
        <w:tc>
          <w:tcPr>
            <w:tcW w:w="1640" w:type="dxa"/>
            <w:vAlign w:val="bottom"/>
            <w:tcBorders>
              <w:top w:val="single" w:sz="8" w:color="CCEEFF"/>
              <w:right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35"/>
            <w:shd w:val="clear" w:color="auto" w:fill="CCEEFF"/>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Quarterly Report on Form 10-Q for the quarter ended September 30, 2020, filed with the SEC on November 16, 2020 and incorporated herein by reference</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280" w:type="dxa"/>
            <w:vAlign w:val="bottom"/>
            <w:tcBorders>
              <w:top w:val="single" w:sz="8" w:color="0000FF"/>
              <w:bottom w:val="single" w:sz="8" w:color="0000FF"/>
            </w:tcBorders>
            <w:gridSpan w:val="2"/>
            <w:shd w:val="clear" w:color="auto" w:fill="CCEEFF"/>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(File No. 001-36827)).</w:t>
              </w:r>
            </w:hyperlink>
          </w:p>
        </w:tc>
        <w:tc>
          <w:tcPr>
            <w:tcW w:w="8120" w:type="dxa"/>
            <w:vAlign w:val="bottom"/>
            <w:tcBorders>
              <w:top w:val="single" w:sz="8" w:color="0000FF"/>
              <w:bottom w:val="single" w:sz="8" w:color="CCEEFF"/>
            </w:tcBorders>
            <w:gridSpan w:val="2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Amendment No. 1 to 2014 Stock Plan, dated June 14, 2021 (filed as Exhibit 10.40 to the Annual Report on Form 10-K for the year ended March 31, 2021, filed with the</w:t>
              </w:r>
            </w:hyperlink>
          </w:p>
        </w:tc>
      </w:tr>
      <w:tr>
        <w:trPr>
          <w:trHeight w:val="139"/>
        </w:trPr>
        <w:tc>
          <w:tcPr>
            <w:tcW w:w="1640" w:type="dxa"/>
            <w:vAlign w:val="bottom"/>
          </w:tcPr>
          <w:p>
            <w:pPr>
              <w:spacing w:after="0"/>
              <w:rPr>
                <w:sz w:val="12"/>
                <w:szCs w:val="12"/>
                <w:color w:val="auto"/>
              </w:rPr>
            </w:pPr>
          </w:p>
        </w:tc>
        <w:tc>
          <w:tcPr>
            <w:tcW w:w="9520" w:type="dxa"/>
            <w:vAlign w:val="bottom"/>
            <w:tcBorders>
              <w:top w:val="single" w:sz="8" w:color="0000FF"/>
            </w:tcBorders>
            <w:gridSpan w:val="29"/>
          </w:tcPr>
          <w:p>
            <w:pPr>
              <w:spacing w:after="0" w:line="13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SEC on June 15, 2021 and incorporated herein by reference (File No. 001-36827)).</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33"/>
        </w:trPr>
        <w:tc>
          <w:tcPr>
            <w:tcW w:w="16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Anterix Inc. 2023 Stock Plan (filed as Exhibit B of the Definitive Proxy Statement, filed with the SEC on July 14, 2023 and incorporated herein by reference (File No.</w:t>
              </w:r>
            </w:hyperlink>
          </w:p>
        </w:tc>
      </w:tr>
      <w:tr>
        <w:trPr>
          <w:trHeight w:val="139"/>
        </w:trPr>
        <w:tc>
          <w:tcPr>
            <w:tcW w:w="1640" w:type="dxa"/>
            <w:vAlign w:val="bottom"/>
            <w:tcBorders>
              <w:top w:val="single" w:sz="8" w:color="CCEEFF"/>
              <w:right w:val="single" w:sz="8" w:color="CCEEFF"/>
            </w:tcBorders>
            <w:shd w:val="clear" w:color="auto" w:fill="CCEEFF"/>
          </w:tcPr>
          <w:p>
            <w:pPr>
              <w:spacing w:after="0"/>
              <w:rPr>
                <w:sz w:val="12"/>
                <w:szCs w:val="12"/>
                <w:color w:val="auto"/>
              </w:rPr>
            </w:pPr>
          </w:p>
        </w:tc>
        <w:tc>
          <w:tcPr>
            <w:tcW w:w="1280" w:type="dxa"/>
            <w:vAlign w:val="bottom"/>
            <w:tcBorders>
              <w:top w:val="single" w:sz="8" w:color="0000FF"/>
            </w:tcBorders>
            <w:gridSpan w:val="2"/>
            <w:shd w:val="clear" w:color="auto" w:fill="CCEEFF"/>
          </w:tcPr>
          <w:p>
            <w:pPr>
              <w:spacing w:after="0" w:line="13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001-36827)).</w:t>
              </w:r>
            </w:hyperlink>
          </w:p>
        </w:tc>
        <w:tc>
          <w:tcPr>
            <w:tcW w:w="560" w:type="dxa"/>
            <w:vAlign w:val="bottom"/>
            <w:tcBorders>
              <w:top w:val="single" w:sz="8" w:color="0000FF"/>
            </w:tcBorders>
            <w:shd w:val="clear" w:color="auto" w:fill="CCEEFF"/>
          </w:tcPr>
          <w:p>
            <w:pPr>
              <w:spacing w:after="0"/>
              <w:rPr>
                <w:sz w:val="12"/>
                <w:szCs w:val="12"/>
                <w:color w:val="auto"/>
              </w:rPr>
            </w:pPr>
          </w:p>
        </w:tc>
        <w:tc>
          <w:tcPr>
            <w:tcW w:w="1880" w:type="dxa"/>
            <w:vAlign w:val="bottom"/>
            <w:tcBorders>
              <w:top w:val="single" w:sz="8" w:color="0000FF"/>
            </w:tcBorders>
            <w:shd w:val="clear" w:color="auto" w:fill="CCEEFF"/>
          </w:tcPr>
          <w:p>
            <w:pPr>
              <w:spacing w:after="0"/>
              <w:rPr>
                <w:sz w:val="12"/>
                <w:szCs w:val="12"/>
                <w:color w:val="auto"/>
              </w:rPr>
            </w:pPr>
          </w:p>
        </w:tc>
        <w:tc>
          <w:tcPr>
            <w:tcW w:w="96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3"/>
        </w:trPr>
        <w:tc>
          <w:tcPr>
            <w:tcW w:w="1640" w:type="dxa"/>
            <w:vAlign w:val="bottom"/>
            <w:tcBorders>
              <w:top w:val="single" w:sz="8" w:color="CCEEFF"/>
              <w:right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9700" w:type="dxa"/>
            <w:vAlign w:val="bottom"/>
            <w:gridSpan w:val="38"/>
          </w:tcPr>
          <w:p>
            <w:pPr>
              <w:spacing w:after="0" w:line="149" w:lineRule="exact"/>
              <w:rPr>
                <w:sz w:val="20"/>
                <w:szCs w:val="20"/>
                <w:color w:val="auto"/>
              </w:rPr>
            </w:pPr>
            <w:r>
              <w:rPr>
                <w:rFonts w:ascii="Times New Roman" w:cs="Times New Roman" w:eastAsia="Times New Roman" w:hAnsi="Times New Roman"/>
                <w:sz w:val="14"/>
                <w:szCs w:val="14"/>
                <w:color w:val="0000FF"/>
              </w:rPr>
              <w:t>Executive Form of Notice of Grant of Stock Option and Stock Option Agreement under 2023 Stock Plan</w:t>
            </w: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9700" w:type="dxa"/>
            <w:vAlign w:val="bottom"/>
            <w:gridSpan w:val="3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Executive Form of Performance-Based Stock Option Agreement and Grant Notice under the 2023 Stock Plan</w:t>
            </w:r>
          </w:p>
        </w:tc>
      </w:tr>
      <w:tr>
        <w:trPr>
          <w:trHeight w:val="149"/>
        </w:trPr>
        <w:tc>
          <w:tcPr>
            <w:tcW w:w="1640" w:type="dxa"/>
            <w:vAlign w:val="bottom"/>
            <w:tcBorders>
              <w:top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6180" w:type="dxa"/>
            <w:vAlign w:val="bottom"/>
            <w:tcBorders>
              <w:top w:val="single" w:sz="8" w:color="0000FF"/>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Executive Form of Restricted Stock Units Agreement and Grant Notice under the 2023 Stock Plan</w:t>
            </w:r>
          </w:p>
        </w:tc>
        <w:tc>
          <w:tcPr>
            <w:tcW w:w="3520" w:type="dxa"/>
            <w:vAlign w:val="bottom"/>
            <w:tcBorders>
              <w:top w:val="single" w:sz="8" w:color="CCEEFF"/>
            </w:tcBorders>
            <w:gridSpan w:val="29"/>
          </w:tcPr>
          <w:p>
            <w:pPr>
              <w:spacing w:after="0"/>
              <w:rPr>
                <w:sz w:val="12"/>
                <w:szCs w:val="12"/>
                <w:color w:val="auto"/>
              </w:rPr>
            </w:pPr>
          </w:p>
        </w:tc>
      </w:tr>
      <w:tr>
        <w:trPr>
          <w:trHeight w:val="26"/>
        </w:trPr>
        <w:tc>
          <w:tcPr>
            <w:tcW w:w="1640" w:type="dxa"/>
            <w:vAlign w:val="bottom"/>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640" w:type="dxa"/>
            <w:vAlign w:val="bottom"/>
            <w:tcBorders>
              <w:bottom w:val="single" w:sz="8" w:color="CCEEFF"/>
              <w:right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10.21#</w:t>
            </w:r>
          </w:p>
        </w:tc>
        <w:tc>
          <w:tcPr>
            <w:tcW w:w="6720" w:type="dxa"/>
            <w:vAlign w:val="bottom"/>
            <w:tcBorders>
              <w:bottom w:val="single" w:sz="8" w:color="0000FF"/>
            </w:tcBorders>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Executive Form of Performance-Based Restricted Stock Units Agreement and Grant Notice under the 2023 Stock Plan</w:t>
            </w:r>
          </w:p>
        </w:tc>
        <w:tc>
          <w:tcPr>
            <w:tcW w:w="2980" w:type="dxa"/>
            <w:vAlign w:val="bottom"/>
            <w:tcBorders>
              <w:bottom w:val="single" w:sz="8" w:color="CCEEFF"/>
            </w:tcBorders>
            <w:gridSpan w:val="28"/>
            <w:shd w:val="clear" w:color="auto" w:fill="CCEEFF"/>
          </w:tcPr>
          <w:p>
            <w:pPr>
              <w:spacing w:after="0"/>
              <w:rPr>
                <w:sz w:val="14"/>
                <w:szCs w:val="14"/>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10.22#</w:t>
            </w:r>
          </w:p>
        </w:tc>
        <w:tc>
          <w:tcPr>
            <w:tcW w:w="9700" w:type="dxa"/>
            <w:vAlign w:val="bottom"/>
            <w:gridSpan w:val="38"/>
          </w:tcPr>
          <w:p>
            <w:pPr>
              <w:spacing w:after="0" w:line="149" w:lineRule="exact"/>
              <w:rPr>
                <w:sz w:val="20"/>
                <w:szCs w:val="20"/>
                <w:color w:val="auto"/>
              </w:rPr>
            </w:pPr>
            <w:r>
              <w:rPr>
                <w:rFonts w:ascii="Times New Roman" w:cs="Times New Roman" w:eastAsia="Times New Roman" w:hAnsi="Times New Roman"/>
                <w:sz w:val="14"/>
                <w:szCs w:val="14"/>
                <w:color w:val="0000FF"/>
              </w:rPr>
              <w:t>Non-Employee Director Form of Notice of Grant of Restricted Stock Awards and Restricted Stock Awards Agreement under 2023 Stock Plan</w:t>
            </w:r>
          </w:p>
        </w:tc>
      </w:tr>
      <w:tr>
        <w:trPr>
          <w:trHeight w:val="22"/>
        </w:trPr>
        <w:tc>
          <w:tcPr>
            <w:tcW w:w="16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640" w:type="dxa"/>
            <w:vAlign w:val="bottom"/>
            <w:tcBorders>
              <w:bottom w:val="single" w:sz="8" w:color="CCEEFF"/>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5920" w:type="dxa"/>
            <w:vAlign w:val="bottom"/>
            <w:tcBorders>
              <w:bottom w:val="single" w:sz="8" w:color="0000FF"/>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Employee Form of Notice of Grant of Stock Option and Stock Option Agreement under 2023 Stock Plan</w:t>
            </w:r>
          </w:p>
        </w:tc>
        <w:tc>
          <w:tcPr>
            <w:tcW w:w="3780" w:type="dxa"/>
            <w:vAlign w:val="bottom"/>
            <w:tcBorders>
              <w:bottom w:val="single" w:sz="8" w:color="CCEEFF"/>
            </w:tcBorders>
            <w:gridSpan w:val="30"/>
            <w:shd w:val="clear" w:color="auto" w:fill="CCEEFF"/>
          </w:tcPr>
          <w:p>
            <w:pPr>
              <w:spacing w:after="0"/>
              <w:rPr>
                <w:sz w:val="13"/>
                <w:szCs w:val="13"/>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9700" w:type="dxa"/>
            <w:vAlign w:val="bottom"/>
            <w:gridSpan w:val="38"/>
          </w:tcPr>
          <w:p>
            <w:pPr>
              <w:spacing w:after="0" w:line="149" w:lineRule="exact"/>
              <w:rPr>
                <w:sz w:val="20"/>
                <w:szCs w:val="20"/>
                <w:color w:val="auto"/>
              </w:rPr>
            </w:pPr>
            <w:r>
              <w:rPr>
                <w:rFonts w:ascii="Times New Roman" w:cs="Times New Roman" w:eastAsia="Times New Roman" w:hAnsi="Times New Roman"/>
                <w:sz w:val="14"/>
                <w:szCs w:val="14"/>
                <w:color w:val="0000FF"/>
              </w:rPr>
              <w:t>Employee Form of Restricted Stock Units Agreement and Grant Notice under the 2023 Stock Plan</w:t>
            </w:r>
          </w:p>
        </w:tc>
      </w:tr>
      <w:tr>
        <w:trPr>
          <w:trHeight w:val="26"/>
        </w:trPr>
        <w:tc>
          <w:tcPr>
            <w:tcW w:w="1640" w:type="dxa"/>
            <w:vAlign w:val="bottom"/>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640" w:type="dxa"/>
            <w:vAlign w:val="bottom"/>
            <w:tcBorders>
              <w:right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10.25+</w:t>
            </w:r>
          </w:p>
        </w:tc>
        <w:tc>
          <w:tcPr>
            <w:tcW w:w="9700" w:type="dxa"/>
            <w:vAlign w:val="bottom"/>
            <w:gridSpan w:val="38"/>
            <w:shd w:val="clear" w:color="auto" w:fill="CCEEFF"/>
          </w:tcPr>
          <w:p>
            <w:pPr>
              <w:spacing w:after="0" w:line="155"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Transition and Separation Agreement, dated October 8, 2024, by and between the Company and Robert H. Schwartz (filed as Exhibit 10.1 to the Quarterly Report on</w:t>
              </w:r>
            </w:hyperlink>
          </w:p>
        </w:tc>
      </w:tr>
      <w:tr>
        <w:trPr>
          <w:trHeight w:val="162"/>
        </w:trPr>
        <w:tc>
          <w:tcPr>
            <w:tcW w:w="16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900" w:type="dxa"/>
            <w:vAlign w:val="bottom"/>
            <w:tcBorders>
              <w:top w:val="single" w:sz="8" w:color="0000FF"/>
              <w:bottom w:val="single" w:sz="8" w:color="0000FF"/>
            </w:tcBorders>
            <w:gridSpan w:val="20"/>
            <w:shd w:val="clear" w:color="auto" w:fill="CCEEFF"/>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10-Q for the quarter ended September 30, 2024, filed with the SEC on November 13, 2024 and incorporated herein by reference (File No. 001-36827)).</w:t>
              </w:r>
            </w:hyperlink>
          </w:p>
        </w:tc>
        <w:tc>
          <w:tcPr>
            <w:tcW w:w="4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2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Offer Letter and Employment Agreement, dated October 6, 2024, by and between the Company and Scott Lang (filed as Exhibit 10.2 to the Quarterly Report on Form 10-</w:t>
              </w:r>
            </w:hyperlink>
          </w:p>
        </w:tc>
      </w:tr>
      <w:tr>
        <w:trPr>
          <w:trHeight w:val="129"/>
        </w:trPr>
        <w:tc>
          <w:tcPr>
            <w:tcW w:w="1640" w:type="dxa"/>
            <w:vAlign w:val="bottom"/>
          </w:tcPr>
          <w:p>
            <w:pPr>
              <w:spacing w:after="0"/>
              <w:rPr>
                <w:sz w:val="11"/>
                <w:szCs w:val="11"/>
                <w:color w:val="auto"/>
              </w:rPr>
            </w:pPr>
          </w:p>
        </w:tc>
        <w:tc>
          <w:tcPr>
            <w:tcW w:w="968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Q for the quarter ended September 30, 2024, filed with the SEC on November 13, 2024 and incorporated herein by reference (File No. 001-36827)).</w:t>
              </w:r>
            </w:hyperlink>
          </w:p>
        </w:tc>
        <w:tc>
          <w:tcPr>
            <w:tcW w:w="20" w:type="dxa"/>
            <w:vAlign w:val="bottom"/>
          </w:tcPr>
          <w:p>
            <w:pPr>
              <w:spacing w:after="0"/>
              <w:rPr>
                <w:sz w:val="11"/>
                <w:szCs w:val="11"/>
                <w:color w:val="auto"/>
              </w:rPr>
            </w:pPr>
          </w:p>
        </w:tc>
      </w:tr>
      <w:tr>
        <w:trPr>
          <w:trHeight w:val="33"/>
        </w:trPr>
        <w:tc>
          <w:tcPr>
            <w:tcW w:w="16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9700" w:type="dxa"/>
            <w:vAlign w:val="bottom"/>
            <w:gridSpan w:val="38"/>
            <w:shd w:val="clear" w:color="auto" w:fill="CCEEFF"/>
          </w:tcPr>
          <w:p>
            <w:pPr>
              <w:spacing w:after="0" w:line="14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Subsequent Release, dated November 2, 2024, by and between the Company and Robert H. Schwartz (filed as Exhibit 10.3 to the Quarterly Report on Form 10-Q for the</w:t>
              </w:r>
            </w:hyperlink>
          </w:p>
        </w:tc>
      </w:tr>
      <w:tr>
        <w:trPr>
          <w:trHeight w:val="129"/>
        </w:trPr>
        <w:tc>
          <w:tcPr>
            <w:tcW w:w="1640" w:type="dxa"/>
            <w:vAlign w:val="bottom"/>
            <w:tcBorders>
              <w:top w:val="single" w:sz="8" w:color="CCEEFF"/>
              <w:right w:val="single" w:sz="8" w:color="CCEEFF"/>
            </w:tcBorders>
            <w:shd w:val="clear" w:color="auto" w:fill="CCEEFF"/>
          </w:tcPr>
          <w:p>
            <w:pPr>
              <w:spacing w:after="0"/>
              <w:rPr>
                <w:sz w:val="11"/>
                <w:szCs w:val="11"/>
                <w:color w:val="auto"/>
              </w:rPr>
            </w:pPr>
          </w:p>
        </w:tc>
        <w:tc>
          <w:tcPr>
            <w:tcW w:w="9560" w:type="dxa"/>
            <w:vAlign w:val="bottom"/>
            <w:tcBorders>
              <w:top w:val="single" w:sz="8" w:color="0000FF"/>
            </w:tcBorders>
            <w:gridSpan w:val="31"/>
            <w:shd w:val="clear" w:color="auto" w:fill="CCEEFF"/>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quarter ended September 30, 2024, filed with the SEC on November 13, 2024 and incorporated herein by reference (File No. 001-36827)).</w:t>
              </w:r>
            </w:hyperlink>
          </w:p>
        </w:tc>
        <w:tc>
          <w:tcPr>
            <w:tcW w:w="140" w:type="dxa"/>
            <w:vAlign w:val="bottom"/>
            <w:tcBorders>
              <w:top w:val="single" w:sz="8" w:color="CCEEFF"/>
            </w:tcBorders>
            <w:gridSpan w:val="7"/>
            <w:shd w:val="clear" w:color="auto" w:fill="CCEEFF"/>
          </w:tcPr>
          <w:p>
            <w:pPr>
              <w:spacing w:after="0"/>
              <w:rPr>
                <w:sz w:val="11"/>
                <w:szCs w:val="11"/>
                <w:color w:val="auto"/>
              </w:rPr>
            </w:pPr>
          </w:p>
        </w:tc>
      </w:tr>
      <w:tr>
        <w:trPr>
          <w:trHeight w:val="33"/>
        </w:trPr>
        <w:tc>
          <w:tcPr>
            <w:tcW w:w="1640" w:type="dxa"/>
            <w:vAlign w:val="bottom"/>
            <w:tcBorders>
              <w:top w:val="single" w:sz="8" w:color="CCEEFF"/>
              <w:right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9700" w:type="dxa"/>
            <w:vAlign w:val="bottom"/>
            <w:gridSpan w:val="38"/>
          </w:tcPr>
          <w:p>
            <w:pPr>
              <w:spacing w:after="0" w:line="14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Independent Contractor Services Agreement, by and between the Company and Morgan O’Brian (filed as Exhibit 10.3 to the Quarterly Report on Form 10-Q for the</w:t>
              </w:r>
            </w:hyperlink>
          </w:p>
        </w:tc>
      </w:tr>
      <w:tr>
        <w:trPr>
          <w:trHeight w:val="129"/>
        </w:trPr>
        <w:tc>
          <w:tcPr>
            <w:tcW w:w="1640" w:type="dxa"/>
            <w:vAlign w:val="bottom"/>
          </w:tcPr>
          <w:p>
            <w:pPr>
              <w:spacing w:after="0"/>
              <w:rPr>
                <w:sz w:val="11"/>
                <w:szCs w:val="11"/>
                <w:color w:val="auto"/>
              </w:rPr>
            </w:pPr>
          </w:p>
        </w:tc>
        <w:tc>
          <w:tcPr>
            <w:tcW w:w="93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quarter ended December 31, 2024, filed with the SEC on February 11, 2025 and incorporated herein by reference (File No. 001-36827)).</w:t>
              </w:r>
            </w:hyperlink>
          </w:p>
        </w:tc>
        <w:tc>
          <w:tcPr>
            <w:tcW w:w="400" w:type="dxa"/>
            <w:vAlign w:val="bottom"/>
            <w:gridSpan w:val="16"/>
          </w:tcPr>
          <w:p>
            <w:pPr>
              <w:spacing w:after="0"/>
              <w:rPr>
                <w:sz w:val="11"/>
                <w:szCs w:val="11"/>
                <w:color w:val="auto"/>
              </w:rPr>
            </w:pPr>
          </w:p>
        </w:tc>
      </w:tr>
      <w:tr>
        <w:trPr>
          <w:trHeight w:val="20"/>
        </w:trPr>
        <w:tc>
          <w:tcPr>
            <w:tcW w:w="164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71481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10.29+</w:t>
            </w:r>
          </w:p>
        </w:tc>
        <w:tc>
          <w:tcPr>
            <w:tcW w:w="9640" w:type="dxa"/>
            <w:vAlign w:val="bottom"/>
            <w:gridSpan w:val="19"/>
            <w:shd w:val="clear" w:color="auto" w:fill="CCEEFF"/>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Offer Letter and Employment Agreement, dated January 22, 2025, by and between the Company and Thomas Kuhn (filed as Exhibit 10.4 to the Quarterly Report on</w:t>
              </w:r>
            </w:hyperlink>
          </w:p>
        </w:tc>
      </w:tr>
      <w:tr>
        <w:trPr>
          <w:trHeight w:val="129"/>
        </w:trPr>
        <w:tc>
          <w:tcPr>
            <w:tcW w:w="1640" w:type="dxa"/>
            <w:vAlign w:val="bottom"/>
            <w:tcBorders>
              <w:top w:val="single" w:sz="8" w:color="CCEEFF"/>
              <w:right w:val="single" w:sz="8" w:color="CCEEFF"/>
            </w:tcBorders>
            <w:shd w:val="clear" w:color="auto" w:fill="CCEEFF"/>
          </w:tcPr>
          <w:p>
            <w:pPr>
              <w:spacing w:after="0"/>
              <w:rPr>
                <w:sz w:val="11"/>
                <w:szCs w:val="11"/>
                <w:color w:val="auto"/>
              </w:rPr>
            </w:pPr>
          </w:p>
        </w:tc>
        <w:tc>
          <w:tcPr>
            <w:tcW w:w="9300" w:type="dxa"/>
            <w:vAlign w:val="bottom"/>
            <w:tcBorders>
              <w:top w:val="single" w:sz="8" w:color="0000FF"/>
            </w:tcBorders>
            <w:gridSpan w:val="14"/>
            <w:shd w:val="clear" w:color="auto" w:fill="CCEEFF"/>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10-Q for the quarter ended December 31, 2024, filed with the SEC on February 11, 2025 and incorporated herein by reference (File No. 001-36827)).</w:t>
              </w:r>
            </w:hyperlink>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3"/>
        </w:trPr>
        <w:tc>
          <w:tcPr>
            <w:tcW w:w="164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9640" w:type="dxa"/>
            <w:vAlign w:val="bottom"/>
            <w:gridSpan w:val="19"/>
          </w:tcPr>
          <w:p>
            <w:pPr>
              <w:spacing w:after="0" w:line="14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Bonus Agreement, dated as of October 03, 2025, by and between the Company and Christopher Guttman-McCabe. (filed as Exhibit 10.1 to the Quarterly Report on Form</w:t>
              </w:r>
            </w:hyperlink>
          </w:p>
        </w:tc>
      </w:tr>
      <w:tr>
        <w:trPr>
          <w:trHeight w:val="20"/>
        </w:trPr>
        <w:tc>
          <w:tcPr>
            <w:tcW w:w="16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640" w:type="dxa"/>
            <w:vAlign w:val="bottom"/>
          </w:tcPr>
          <w:p>
            <w:pPr>
              <w:spacing w:after="0"/>
              <w:rPr>
                <w:sz w:val="10"/>
                <w:szCs w:val="10"/>
                <w:color w:val="auto"/>
              </w:rPr>
            </w:pPr>
          </w:p>
        </w:tc>
        <w:tc>
          <w:tcPr>
            <w:tcW w:w="9640" w:type="dxa"/>
            <w:vAlign w:val="bottom"/>
            <w:gridSpan w:val="19"/>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10-Q for the quarter ended December 31, 2025, filed with the SEC on February 11, 2026 and incorporated herein by reference (File No. 001-36827)).</w:t>
              </w:r>
            </w:hyperlink>
          </w:p>
        </w:tc>
      </w:tr>
      <w:tr>
        <w:trPr>
          <w:trHeight w:val="22"/>
        </w:trPr>
        <w:tc>
          <w:tcPr>
            <w:tcW w:w="16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640" w:type="dxa"/>
            <w:vAlign w:val="bottom"/>
            <w:tcBorders>
              <w:bottom w:val="single" w:sz="8" w:color="CCEEFF"/>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280" w:type="dxa"/>
            <w:vAlign w:val="bottom"/>
            <w:tcBorders>
              <w:bottom w:val="single" w:sz="8" w:color="0000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7"/>
              </w:rPr>
              <w:t>Insider Trading Policy.</w:t>
            </w:r>
          </w:p>
        </w:tc>
        <w:tc>
          <w:tcPr>
            <w:tcW w:w="8360" w:type="dxa"/>
            <w:vAlign w:val="bottom"/>
            <w:tcBorders>
              <w:bottom w:val="single" w:sz="8" w:color="CCEEFF"/>
            </w:tcBorders>
            <w:gridSpan w:val="17"/>
            <w:shd w:val="clear" w:color="auto" w:fill="CCEEFF"/>
          </w:tcPr>
          <w:p>
            <w:pPr>
              <w:spacing w:after="0"/>
              <w:rPr>
                <w:sz w:val="14"/>
                <w:szCs w:val="14"/>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96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Subsidiaries of Registrant.</w:t>
            </w:r>
          </w:p>
        </w:tc>
      </w:tr>
      <w:tr>
        <w:trPr>
          <w:trHeight w:val="33"/>
        </w:trPr>
        <w:tc>
          <w:tcPr>
            <w:tcW w:w="16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9640" w:type="dxa"/>
            <w:vAlign w:val="bottom"/>
            <w:gridSpan w:val="1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Consent of Deloitte &amp; Touche LLP (US) Independent Registered Public Accounting Firm relating to the Consolidated Financial Statements of the Company, dated June</w:t>
            </w:r>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0000FF"/>
              <w:bottom w:val="single" w:sz="8" w:color="0000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25, 2026.</w:t>
            </w:r>
          </w:p>
        </w:tc>
        <w:tc>
          <w:tcPr>
            <w:tcW w:w="76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148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860" w:type="dxa"/>
            <w:vAlign w:val="bottom"/>
            <w:tcBorders>
              <w:top w:val="single" w:sz="8" w:color="0000FF"/>
              <w:bottom w:val="single" w:sz="8" w:color="CCEEFF"/>
            </w:tcBorders>
            <w:shd w:val="clear" w:color="auto" w:fill="CCEEFF"/>
          </w:tcPr>
          <w:p>
            <w:pPr>
              <w:spacing w:after="0"/>
              <w:rPr>
                <w:sz w:val="12"/>
                <w:szCs w:val="12"/>
                <w:color w:val="auto"/>
              </w:rPr>
            </w:pPr>
          </w:p>
        </w:tc>
        <w:tc>
          <w:tcPr>
            <w:tcW w:w="380" w:type="dxa"/>
            <w:vAlign w:val="bottom"/>
            <w:tcBorders>
              <w:top w:val="single" w:sz="8" w:color="0000FF"/>
              <w:bottom w:val="single" w:sz="8" w:color="CCEEFF"/>
            </w:tcBorders>
            <w:shd w:val="clear" w:color="auto" w:fill="CCEEFF"/>
          </w:tcPr>
          <w:p>
            <w:pPr>
              <w:spacing w:after="0"/>
              <w:rPr>
                <w:sz w:val="12"/>
                <w:szCs w:val="12"/>
                <w:color w:val="auto"/>
              </w:rPr>
            </w:pPr>
          </w:p>
        </w:tc>
        <w:tc>
          <w:tcPr>
            <w:tcW w:w="19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9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44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96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Consent of Grant Thornton LLP Independent Registered Public Accounting Firm relating to the Consolidated Financial Statements of the Company, dated June 25, 2026.</w:t>
            </w:r>
          </w:p>
        </w:tc>
      </w:tr>
      <w:tr>
        <w:trPr>
          <w:trHeight w:val="33"/>
        </w:trPr>
        <w:tc>
          <w:tcPr>
            <w:tcW w:w="16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640" w:type="dxa"/>
            <w:vAlign w:val="bottom"/>
            <w:tcBorders>
              <w:bottom w:val="single" w:sz="8" w:color="CCEEFF"/>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3120" w:type="dxa"/>
            <w:vAlign w:val="bottom"/>
            <w:tcBorders>
              <w:bottom w:val="single" w:sz="8" w:color="0000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Power of Attorney (included on signature page hereto).</w:t>
            </w:r>
          </w:p>
        </w:tc>
        <w:tc>
          <w:tcPr>
            <w:tcW w:w="6520" w:type="dxa"/>
            <w:vAlign w:val="bottom"/>
            <w:tcBorders>
              <w:bottom w:val="single" w:sz="8" w:color="CCEEFF"/>
            </w:tcBorders>
            <w:gridSpan w:val="14"/>
            <w:shd w:val="clear" w:color="auto" w:fill="CCEEFF"/>
          </w:tcPr>
          <w:p>
            <w:pPr>
              <w:spacing w:after="0"/>
              <w:rPr>
                <w:sz w:val="13"/>
                <w:szCs w:val="13"/>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96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 13a-14 and 15-d-14 promulgated pursuant to the Securities Exchange Act of 1934, as amended, as adopted</w:t>
            </w:r>
          </w:p>
        </w:tc>
      </w:tr>
      <w:tr>
        <w:trPr>
          <w:trHeight w:val="118"/>
        </w:trPr>
        <w:tc>
          <w:tcPr>
            <w:tcW w:w="1640" w:type="dxa"/>
            <w:vAlign w:val="bottom"/>
          </w:tcPr>
          <w:p>
            <w:pPr>
              <w:spacing w:after="0"/>
              <w:rPr>
                <w:sz w:val="10"/>
                <w:szCs w:val="10"/>
                <w:color w:val="auto"/>
              </w:rPr>
            </w:pPr>
          </w:p>
        </w:tc>
        <w:tc>
          <w:tcPr>
            <w:tcW w:w="954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9640" w:type="dxa"/>
            <w:vAlign w:val="bottom"/>
            <w:gridSpan w:val="1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Rules 13a-14 and 15-d-14 promulgated pursuant to the Securities Exchange Act of 1934, as</w:t>
            </w:r>
          </w:p>
        </w:tc>
      </w:tr>
      <w:tr>
        <w:trPr>
          <w:trHeight w:val="140"/>
        </w:trPr>
        <w:tc>
          <w:tcPr>
            <w:tcW w:w="16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600" w:type="dxa"/>
            <w:vAlign w:val="bottom"/>
            <w:tcBorders>
              <w:top w:val="single" w:sz="8" w:color="0000FF"/>
              <w:bottom w:val="single" w:sz="8" w:color="0000FF"/>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amended, as adopted pursuant to Section 302 of the Sarbanes-Oxley Act of 2002.</w:t>
            </w:r>
          </w:p>
        </w:tc>
        <w:tc>
          <w:tcPr>
            <w:tcW w:w="4620" w:type="dxa"/>
            <w:vAlign w:val="bottom"/>
            <w:tcBorders>
              <w:top w:val="single" w:sz="8" w:color="0000FF"/>
              <w:bottom w:val="single" w:sz="8" w:color="CCEEFF"/>
            </w:tcBorders>
            <w:gridSpan w:val="5"/>
            <w:shd w:val="clear" w:color="auto" w:fill="CCEEFF"/>
          </w:tcPr>
          <w:p>
            <w:pPr>
              <w:spacing w:after="0"/>
              <w:rPr>
                <w:sz w:val="12"/>
                <w:szCs w:val="12"/>
                <w:color w:val="auto"/>
              </w:rPr>
            </w:pPr>
          </w:p>
        </w:tc>
        <w:tc>
          <w:tcPr>
            <w:tcW w:w="380" w:type="dxa"/>
            <w:vAlign w:val="bottom"/>
            <w:tcBorders>
              <w:top w:val="single" w:sz="8" w:color="CCEEFF"/>
              <w:bottom w:val="single" w:sz="8" w:color="CCEEFF"/>
              <w:right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964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 Financial and Accounting Officer pursuant to 18 U.S.C. Section 1350, as adopted pursuant to Section 906 of the</w:t>
            </w:r>
          </w:p>
        </w:tc>
      </w:tr>
      <w:tr>
        <w:trPr>
          <w:trHeight w:val="118"/>
        </w:trPr>
        <w:tc>
          <w:tcPr>
            <w:tcW w:w="1640" w:type="dxa"/>
            <w:vAlign w:val="bottom"/>
          </w:tcPr>
          <w:p>
            <w:pPr>
              <w:spacing w:after="0"/>
              <w:rPr>
                <w:sz w:val="10"/>
                <w:szCs w:val="10"/>
                <w:color w:val="auto"/>
              </w:rPr>
            </w:pPr>
          </w:p>
        </w:tc>
        <w:tc>
          <w:tcPr>
            <w:tcW w:w="9620" w:type="dxa"/>
            <w:vAlign w:val="bottom"/>
            <w:tcBorders>
              <w:top w:val="single" w:sz="8" w:color="0000FF"/>
            </w:tcBorders>
            <w:gridSpan w:val="18"/>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20" w:type="dxa"/>
            <w:vAlign w:val="bottom"/>
          </w:tcPr>
          <w:p>
            <w:pPr>
              <w:spacing w:after="0"/>
              <w:rPr>
                <w:sz w:val="10"/>
                <w:szCs w:val="10"/>
                <w:color w:val="auto"/>
              </w:rPr>
            </w:pPr>
          </w:p>
        </w:tc>
      </w:tr>
      <w:tr>
        <w:trPr>
          <w:trHeight w:val="22"/>
        </w:trPr>
        <w:tc>
          <w:tcPr>
            <w:tcW w:w="16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640" w:type="dxa"/>
            <w:vAlign w:val="bottom"/>
            <w:tcBorders>
              <w:right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9640" w:type="dxa"/>
            <w:vAlign w:val="bottom"/>
            <w:gridSpan w:val="19"/>
            <w:shd w:val="clear" w:color="auto" w:fill="CCEEFF"/>
          </w:tcPr>
          <w:p>
            <w:pPr>
              <w:spacing w:after="0" w:line="14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Executive Officer Compensation Recoupment Policy (filed as Exhibit 97.1 to the Annual Report on Form 10-K for the year ended March 31, 2024, filed with the SEC on</w:t>
              </w:r>
            </w:hyperlink>
          </w:p>
        </w:tc>
      </w:tr>
      <w:tr>
        <w:trPr>
          <w:trHeight w:val="118"/>
        </w:trPr>
        <w:tc>
          <w:tcPr>
            <w:tcW w:w="1640" w:type="dxa"/>
            <w:vAlign w:val="bottom"/>
            <w:tcBorders>
              <w:top w:val="single" w:sz="8" w:color="CCEEFF"/>
              <w:right w:val="single" w:sz="8" w:color="CCEEFF"/>
            </w:tcBorders>
            <w:shd w:val="clear" w:color="auto" w:fill="CCEEFF"/>
          </w:tcPr>
          <w:p>
            <w:pPr>
              <w:spacing w:after="0"/>
              <w:rPr>
                <w:sz w:val="10"/>
                <w:szCs w:val="10"/>
                <w:color w:val="auto"/>
              </w:rPr>
            </w:pPr>
          </w:p>
        </w:tc>
        <w:tc>
          <w:tcPr>
            <w:tcW w:w="9600" w:type="dxa"/>
            <w:vAlign w:val="bottom"/>
            <w:tcBorders>
              <w:top w:val="single" w:sz="8" w:color="0000FF"/>
              <w:right w:val="single" w:sz="8" w:color="CCEE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June 26, 2024 and incorporated herein by reference (File No. 001-36827)).</w:t>
              </w:r>
            </w:hyperlink>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2"/>
        </w:trPr>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38"/>
        </w:trPr>
        <w:tc>
          <w:tcPr>
            <w:tcW w:w="164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101</w:t>
            </w:r>
          </w:p>
        </w:tc>
        <w:tc>
          <w:tcPr>
            <w:tcW w:w="9640" w:type="dxa"/>
            <w:vAlign w:val="bottom"/>
            <w:gridSpan w:val="19"/>
          </w:tcPr>
          <w:p>
            <w:pPr>
              <w:spacing w:after="0" w:line="138" w:lineRule="exact"/>
              <w:rPr>
                <w:sz w:val="20"/>
                <w:szCs w:val="20"/>
                <w:color w:val="auto"/>
              </w:rPr>
            </w:pPr>
            <w:r>
              <w:rPr>
                <w:rFonts w:ascii="Times New Roman" w:cs="Times New Roman" w:eastAsia="Times New Roman" w:hAnsi="Times New Roman"/>
                <w:sz w:val="14"/>
                <w:szCs w:val="14"/>
                <w:color w:val="auto"/>
              </w:rPr>
              <w:t>The following financial information from Anterix Inc.’s Annual Report on Form 10-K for the year ended March 31, 2026 formatted in Inline XBRL (Extensible Business</w:t>
            </w:r>
          </w:p>
        </w:tc>
      </w:tr>
      <w:tr>
        <w:trPr>
          <w:trHeight w:val="138"/>
        </w:trPr>
        <w:tc>
          <w:tcPr>
            <w:tcW w:w="1640" w:type="dxa"/>
            <w:vAlign w:val="bottom"/>
          </w:tcPr>
          <w:p>
            <w:pPr>
              <w:spacing w:after="0"/>
              <w:rPr>
                <w:sz w:val="11"/>
                <w:szCs w:val="11"/>
                <w:color w:val="auto"/>
              </w:rPr>
            </w:pPr>
          </w:p>
        </w:tc>
        <w:tc>
          <w:tcPr>
            <w:tcW w:w="9640" w:type="dxa"/>
            <w:vAlign w:val="bottom"/>
            <w:gridSpan w:val="19"/>
          </w:tcPr>
          <w:p>
            <w:pPr>
              <w:spacing w:after="0" w:line="138" w:lineRule="exact"/>
              <w:rPr>
                <w:sz w:val="20"/>
                <w:szCs w:val="20"/>
                <w:color w:val="auto"/>
              </w:rPr>
            </w:pPr>
            <w:r>
              <w:rPr>
                <w:rFonts w:ascii="Times New Roman" w:cs="Times New Roman" w:eastAsia="Times New Roman" w:hAnsi="Times New Roman"/>
                <w:sz w:val="14"/>
                <w:szCs w:val="14"/>
                <w:color w:val="auto"/>
              </w:rPr>
              <w:t>Reporting Language) includes: (i) the Consolidated Balance Sheets, (ii) the Consolidated Statements of Operations, (iii) the Consolidated Statements of Changes in</w:t>
            </w:r>
          </w:p>
        </w:tc>
      </w:tr>
      <w:tr>
        <w:trPr>
          <w:trHeight w:val="187"/>
        </w:trPr>
        <w:tc>
          <w:tcPr>
            <w:tcW w:w="1640" w:type="dxa"/>
            <w:vAlign w:val="bottom"/>
          </w:tcPr>
          <w:p>
            <w:pPr>
              <w:spacing w:after="0"/>
              <w:rPr>
                <w:sz w:val="16"/>
                <w:szCs w:val="16"/>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Stockholders Equity, (iv) the Consolidated Statements of Cash Flows, and (v) Notes to the Consolidated Financial Statements.</w:t>
            </w:r>
          </w:p>
        </w:tc>
      </w:tr>
      <w:tr>
        <w:trPr>
          <w:trHeight w:val="184"/>
        </w:trPr>
        <w:tc>
          <w:tcPr>
            <w:tcW w:w="16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96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20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w:t>
      </w:r>
    </w:p>
    <w:p>
      <w:pPr>
        <w:spacing w:after="0" w:line="51" w:lineRule="exact"/>
        <w:rPr>
          <w:sz w:val="20"/>
          <w:szCs w:val="20"/>
          <w:color w:val="auto"/>
        </w:rPr>
      </w:pPr>
    </w:p>
    <w:p>
      <w:pPr>
        <w:ind w:left="520" w:right="200" w:hanging="515"/>
        <w:spacing w:after="0" w:line="284" w:lineRule="auto"/>
        <w:tabs>
          <w:tab w:leader="none" w:pos="22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pursuant to a request for confidential treatment pursuant to either Rule 406 under the Securities Act or Rule 24b-2 of the Exchange Act which request has been granted by the SEC.</w:t>
      </w:r>
    </w:p>
    <w:p>
      <w:pPr>
        <w:spacing w:after="0" w:line="1" w:lineRule="exact"/>
        <w:rPr>
          <w:sz w:val="20"/>
          <w:szCs w:val="20"/>
          <w:color w:val="auto"/>
        </w:rPr>
      </w:pPr>
    </w:p>
    <w:p>
      <w:pPr>
        <w:ind w:left="520" w:right="320" w:hanging="515"/>
        <w:spacing w:after="0" w:line="284" w:lineRule="auto"/>
        <w:tabs>
          <w:tab w:leader="none" w:pos="21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an asterisk because the identified confidential portions (i) are not material and (ii) would be competitively harmful if publicly disclosed.</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51" w:lineRule="exact"/>
        <w:rPr>
          <w:sz w:val="20"/>
          <w:szCs w:val="20"/>
          <w:color w:val="auto"/>
        </w:rPr>
      </w:pPr>
    </w:p>
    <w:p>
      <w:pPr>
        <w:ind w:left="520" w:right="120" w:hanging="515"/>
        <w:spacing w:after="0" w:line="287" w:lineRule="auto"/>
        <w:tabs>
          <w:tab w:leader="none" w:pos="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 furnished in Exhibit 32.1 hereto is deemed to accompany this Annual Report and will not be deemed “filed” for purposes of Section 18 of the Exchange Act except to the extent that the Registrant specifically incorporates it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237490</wp:posOffset>
            </wp:positionV>
            <wp:extent cx="714819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4"/>
          <w:szCs w:val="14"/>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Annual Report to be signed on its behalf by the undersigned, thereunto duly authorized in Woodland Park, State of New Jersey, on June 25, 2026.</w:t>
      </w:r>
    </w:p>
    <w:p>
      <w:pPr>
        <w:spacing w:after="0" w:line="5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02"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Scott A. Lang</w:t>
            </w:r>
          </w:p>
        </w:tc>
      </w:tr>
      <w:tr>
        <w:trPr>
          <w:trHeight w:val="167"/>
        </w:trPr>
        <w:tc>
          <w:tcPr>
            <w:tcW w:w="620" w:type="dxa"/>
            <w:vAlign w:val="bottom"/>
          </w:tcPr>
          <w:p>
            <w:pPr>
              <w:spacing w:after="0"/>
              <w:rPr>
                <w:sz w:val="14"/>
                <w:szCs w:val="1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Scott A. Lang</w:t>
            </w:r>
          </w:p>
        </w:tc>
      </w:tr>
      <w:tr>
        <w:trPr>
          <w:trHeight w:val="142"/>
        </w:trPr>
        <w:tc>
          <w:tcPr>
            <w:tcW w:w="620" w:type="dxa"/>
            <w:vAlign w:val="bottom"/>
          </w:tcPr>
          <w:p>
            <w:pPr>
              <w:spacing w:after="0"/>
              <w:rPr>
                <w:sz w:val="12"/>
                <w:szCs w:val="12"/>
                <w:color w:val="auto"/>
              </w:rPr>
            </w:pPr>
          </w:p>
        </w:tc>
        <w:tc>
          <w:tcPr>
            <w:tcW w:w="4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620" w:type="dxa"/>
            <w:vAlign w:val="bottom"/>
          </w:tcPr>
          <w:p>
            <w:pPr>
              <w:spacing w:after="0"/>
              <w:rPr>
                <w:sz w:val="16"/>
                <w:szCs w:val="16"/>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14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Scott A. Lang and Elena Marquez, and each of them individually, as the undersigned’s true and lawful attorneys-in-fact and agents, with full power of substitution and resubstitution, for the undersigned and in the undersigned’s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 undersigned might or could do in person, hereby ratifying and confirming that all said attorneys-in-fact and agents, or any of them or their respective substitute or substitutes, may lawfully do or cause to be done by virtue hereof.</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Annual Report has been signed by the following persons in the capacities and on the dates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40" w:type="dxa"/>
            <w:vAlign w:val="bottom"/>
          </w:tcPr>
          <w:p>
            <w:pPr>
              <w:spacing w:after="0"/>
              <w:rPr>
                <w:sz w:val="13"/>
                <w:szCs w:val="13"/>
                <w:color w:val="auto"/>
              </w:rPr>
            </w:pPr>
          </w:p>
        </w:tc>
        <w:tc>
          <w:tcPr>
            <w:tcW w:w="61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34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0" w:type="dxa"/>
            <w:vAlign w:val="bottom"/>
            <w:gridSpan w:val="2"/>
          </w:tcPr>
          <w:p>
            <w:pPr>
              <w:spacing w:after="0"/>
              <w:rPr>
                <w:sz w:val="13"/>
                <w:szCs w:val="13"/>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A. Lang</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Scott A. Lang</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Elena Marquez</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Elena Marquez</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Kuhn</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Chairman of the Board</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Thomas Kuhn</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Jeffrey Altman</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Jeffrey Altman</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Leslie B. Daniels</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Leslie B. Daniels</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Fleischhauer</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Mark Fleischhauer</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William Heard</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William Heard</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Mahvash Yazdi</w:t>
            </w:r>
          </w:p>
        </w:tc>
        <w:tc>
          <w:tcPr>
            <w:tcW w:w="34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June 25, 2026</w:t>
            </w: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Mahvash Yazdi</w:t>
            </w:r>
          </w:p>
        </w:tc>
        <w:tc>
          <w:tcPr>
            <w:tcW w:w="3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7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color w:val="auto"/>
              </w:rPr>
              <w:t>Page 47</w:t>
            </w:r>
          </w:p>
        </w:tc>
        <w:tc>
          <w:tcPr>
            <w:tcW w:w="20" w:type="dxa"/>
            <w:vAlign w:val="bottom"/>
          </w:tcPr>
          <w:p>
            <w:pPr>
              <w:spacing w:after="0"/>
              <w:rPr>
                <w:sz w:val="15"/>
                <w:szCs w:val="15"/>
                <w:color w:val="auto"/>
              </w:rPr>
            </w:pPr>
          </w:p>
        </w:tc>
      </w:tr>
      <w:tr>
        <w:trPr>
          <w:trHeight w:val="157"/>
        </w:trPr>
        <w:tc>
          <w:tcPr>
            <w:tcW w:w="20" w:type="dxa"/>
            <w:vAlign w:val="bottom"/>
            <w:tcBorders>
              <w:bottom w:val="single" w:sz="8" w:color="9A9A9A"/>
            </w:tcBorders>
          </w:tcPr>
          <w:p>
            <w:pPr>
              <w:spacing w:after="0"/>
              <w:rPr>
                <w:sz w:val="13"/>
                <w:szCs w:val="13"/>
                <w:color w:val="auto"/>
              </w:rPr>
            </w:pPr>
          </w:p>
        </w:tc>
        <w:tc>
          <w:tcPr>
            <w:tcW w:w="27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1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92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000" w:type="dxa"/>
            <w:vAlign w:val="bottom"/>
          </w:tcPr>
          <w:p>
            <w:pPr>
              <w:spacing w:after="0"/>
              <w:rPr>
                <w:sz w:val="13"/>
                <w:szCs w:val="13"/>
                <w:color w:val="auto"/>
              </w:rPr>
            </w:pPr>
          </w:p>
        </w:tc>
      </w:tr>
      <w:tr>
        <w:trPr>
          <w:trHeight w:val="616"/>
        </w:trPr>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00" w:type="dxa"/>
            <w:vAlign w:val="bottom"/>
          </w:tcPr>
          <w:p>
            <w:pPr>
              <w:spacing w:after="0"/>
              <w:rPr>
                <w:sz w:val="24"/>
                <w:szCs w:val="24"/>
                <w:color w:val="auto"/>
              </w:rPr>
            </w:pPr>
          </w:p>
        </w:tc>
      </w:tr>
      <w:tr>
        <w:trPr>
          <w:trHeight w:val="478"/>
        </w:trPr>
        <w:tc>
          <w:tcPr>
            <w:tcW w:w="120" w:type="dxa"/>
            <w:vAlign w:val="bottom"/>
          </w:tcPr>
          <w:p>
            <w:pPr>
              <w:spacing w:after="0"/>
              <w:rPr>
                <w:sz w:val="24"/>
                <w:szCs w:val="24"/>
                <w:color w:val="auto"/>
              </w:rPr>
            </w:pPr>
          </w:p>
        </w:tc>
        <w:tc>
          <w:tcPr>
            <w:tcW w:w="25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2"/>
        </w:trPr>
        <w:tc>
          <w:tcPr>
            <w:tcW w:w="120" w:type="dxa"/>
            <w:vAlign w:val="bottom"/>
            <w:shd w:val="clear" w:color="auto" w:fill="CCEEFF"/>
          </w:tcPr>
          <w:p>
            <w:pPr>
              <w:spacing w:after="0"/>
              <w:rPr>
                <w:sz w:val="18"/>
                <w:szCs w:val="18"/>
                <w:color w:val="auto"/>
              </w:rPr>
            </w:pPr>
          </w:p>
        </w:tc>
        <w:tc>
          <w:tcPr>
            <w:tcW w:w="9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Years ended March 31, 2026 and 2025</w:t>
            </w:r>
          </w:p>
        </w:tc>
        <w:tc>
          <w:tcPr>
            <w:tcW w:w="2000" w:type="dxa"/>
            <w:vAlign w:val="bottom"/>
            <w:shd w:val="clear" w:color="auto" w:fill="CCEEFF"/>
          </w:tcPr>
          <w:p>
            <w:pPr>
              <w:spacing w:after="0"/>
              <w:rPr>
                <w:sz w:val="18"/>
                <w:szCs w:val="18"/>
                <w:color w:val="auto"/>
              </w:rPr>
            </w:pPr>
          </w:p>
        </w:tc>
      </w:tr>
      <w:tr>
        <w:trPr>
          <w:trHeight w:val="149"/>
        </w:trPr>
        <w:tc>
          <w:tcPr>
            <w:tcW w:w="120" w:type="dxa"/>
            <w:vAlign w:val="bottom"/>
          </w:tcPr>
          <w:p>
            <w:pPr>
              <w:spacing w:after="0"/>
              <w:rPr>
                <w:sz w:val="12"/>
                <w:szCs w:val="12"/>
                <w:color w:val="auto"/>
              </w:rPr>
            </w:pPr>
          </w:p>
        </w:tc>
        <w:tc>
          <w:tcPr>
            <w:tcW w:w="914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E32E1"/>
              </w:rPr>
              <w:t>(PCAOB ID Number 34)</w:t>
            </w:r>
          </w:p>
        </w:tc>
        <w:tc>
          <w:tcPr>
            <w:tcW w:w="2000" w:type="dxa"/>
            <w:vAlign w:val="bottom"/>
          </w:tcPr>
          <w:p>
            <w:pPr>
              <w:ind w:left="1760"/>
              <w:spacing w:after="0" w:line="149" w:lineRule="exact"/>
              <w:rPr>
                <w:sz w:val="20"/>
                <w:szCs w:val="20"/>
                <w:color w:val="auto"/>
              </w:rPr>
            </w:pPr>
            <w:r>
              <w:rPr>
                <w:rFonts w:ascii="Times New Roman" w:cs="Times New Roman" w:eastAsia="Times New Roman" w:hAnsi="Times New Roman"/>
                <w:sz w:val="14"/>
                <w:szCs w:val="14"/>
                <w:color w:val="auto"/>
                <w:w w:val="95"/>
              </w:rPr>
              <w:t>F- 2</w:t>
            </w:r>
          </w:p>
        </w:tc>
      </w:tr>
      <w:tr>
        <w:trPr>
          <w:trHeight w:val="26"/>
        </w:trPr>
        <w:tc>
          <w:tcPr>
            <w:tcW w:w="120" w:type="dxa"/>
            <w:vAlign w:val="bottom"/>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tcBorders>
              <w:right w:val="single" w:sz="8" w:color="0E32E1"/>
            </w:tcBorders>
          </w:tcPr>
          <w:p>
            <w:pPr>
              <w:spacing w:after="0"/>
              <w:rPr>
                <w:sz w:val="2"/>
                <w:szCs w:val="2"/>
                <w:color w:val="auto"/>
              </w:rPr>
            </w:pPr>
          </w:p>
        </w:tc>
        <w:tc>
          <w:tcPr>
            <w:tcW w:w="80" w:type="dxa"/>
            <w:vAlign w:val="bottom"/>
            <w:shd w:val="clear" w:color="auto" w:fill="0E32E1"/>
          </w:tcPr>
          <w:p>
            <w:pPr>
              <w:spacing w:after="0"/>
              <w:rPr>
                <w:sz w:val="2"/>
                <w:szCs w:val="2"/>
                <w:color w:val="auto"/>
              </w:rPr>
            </w:pPr>
          </w:p>
        </w:tc>
        <w:tc>
          <w:tcPr>
            <w:tcW w:w="1320" w:type="dxa"/>
            <w:vAlign w:val="bottom"/>
            <w:shd w:val="clear" w:color="auto" w:fill="0E32E1"/>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54"/>
        </w:trPr>
        <w:tc>
          <w:tcPr>
            <w:tcW w:w="120" w:type="dxa"/>
            <w:vAlign w:val="bottom"/>
            <w:shd w:val="clear" w:color="auto" w:fill="CCEEFF"/>
          </w:tcPr>
          <w:p>
            <w:pPr>
              <w:spacing w:after="0"/>
              <w:rPr>
                <w:sz w:val="13"/>
                <w:szCs w:val="13"/>
                <w:color w:val="auto"/>
              </w:rPr>
            </w:pPr>
          </w:p>
        </w:tc>
        <w:tc>
          <w:tcPr>
            <w:tcW w:w="914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E32E1"/>
              </w:rPr>
              <w:t>(PCAOB ID Number 248)</w:t>
            </w:r>
          </w:p>
        </w:tc>
        <w:tc>
          <w:tcPr>
            <w:tcW w:w="2000" w:type="dxa"/>
            <w:vAlign w:val="bottom"/>
            <w:shd w:val="clear" w:color="auto" w:fill="CCEEFF"/>
          </w:tcPr>
          <w:p>
            <w:pPr>
              <w:ind w:left="1760"/>
              <w:spacing w:after="0" w:line="155" w:lineRule="exact"/>
              <w:rPr>
                <w:sz w:val="20"/>
                <w:szCs w:val="20"/>
                <w:color w:val="auto"/>
              </w:rPr>
            </w:pPr>
            <w:r>
              <w:rPr>
                <w:rFonts w:ascii="Times New Roman" w:cs="Times New Roman" w:eastAsia="Times New Roman" w:hAnsi="Times New Roman"/>
                <w:sz w:val="14"/>
                <w:szCs w:val="14"/>
                <w:color w:val="auto"/>
                <w:w w:val="95"/>
              </w:rPr>
              <w:t>F- 4</w:t>
            </w:r>
          </w:p>
        </w:tc>
      </w:tr>
      <w:tr>
        <w:trPr>
          <w:trHeight w:val="32"/>
        </w:trPr>
        <w:tc>
          <w:tcPr>
            <w:tcW w:w="120" w:type="dxa"/>
            <w:vAlign w:val="bottom"/>
            <w:shd w:val="clear" w:color="auto" w:fill="CCEE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E32E1"/>
          </w:tcPr>
          <w:p>
            <w:pPr>
              <w:spacing w:after="0"/>
              <w:rPr>
                <w:sz w:val="2"/>
                <w:szCs w:val="2"/>
                <w:color w:val="auto"/>
              </w:rPr>
            </w:pPr>
          </w:p>
        </w:tc>
        <w:tc>
          <w:tcPr>
            <w:tcW w:w="1320" w:type="dxa"/>
            <w:vAlign w:val="bottom"/>
            <w:shd w:val="clear" w:color="auto" w:fill="0E32E1"/>
          </w:tcPr>
          <w:p>
            <w:pPr>
              <w:spacing w:after="0"/>
              <w:rPr>
                <w:sz w:val="2"/>
                <w:szCs w:val="2"/>
                <w:color w:val="auto"/>
              </w:rPr>
            </w:pPr>
          </w:p>
        </w:tc>
        <w:tc>
          <w:tcPr>
            <w:tcW w:w="140" w:type="dxa"/>
            <w:vAlign w:val="bottom"/>
            <w:tcBorders>
              <w:right w:val="single" w:sz="8" w:color="CCEEFF"/>
            </w:tcBorders>
            <w:shd w:val="clear" w:color="auto" w:fill="0E32E1"/>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r>
        <w:trPr>
          <w:trHeight w:val="154"/>
        </w:trPr>
        <w:tc>
          <w:tcPr>
            <w:tcW w:w="120" w:type="dxa"/>
            <w:vAlign w:val="bottom"/>
          </w:tcPr>
          <w:p>
            <w:pPr>
              <w:spacing w:after="0"/>
              <w:rPr>
                <w:sz w:val="13"/>
                <w:szCs w:val="13"/>
                <w:color w:val="auto"/>
              </w:rPr>
            </w:pPr>
          </w:p>
        </w:tc>
        <w:tc>
          <w:tcPr>
            <w:tcW w:w="3440" w:type="dxa"/>
            <w:vAlign w:val="bottom"/>
            <w:tcBorders>
              <w:bottom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March 31, 2026 and 2025</w:t>
            </w:r>
          </w:p>
        </w:tc>
        <w:tc>
          <w:tcPr>
            <w:tcW w:w="5700" w:type="dxa"/>
            <w:vAlign w:val="bottom"/>
            <w:gridSpan w:val="4"/>
          </w:tcPr>
          <w:p>
            <w:pPr>
              <w:spacing w:after="0"/>
              <w:rPr>
                <w:sz w:val="13"/>
                <w:szCs w:val="13"/>
                <w:color w:val="auto"/>
              </w:rPr>
            </w:pPr>
          </w:p>
        </w:tc>
        <w:tc>
          <w:tcPr>
            <w:tcW w:w="2000" w:type="dxa"/>
            <w:vAlign w:val="bottom"/>
          </w:tcPr>
          <w:p>
            <w:pPr>
              <w:ind w:left="1760"/>
              <w:spacing w:after="0" w:line="149" w:lineRule="exact"/>
              <w:rPr>
                <w:sz w:val="20"/>
                <w:szCs w:val="20"/>
                <w:color w:val="auto"/>
              </w:rPr>
            </w:pPr>
            <w:r>
              <w:rPr>
                <w:rFonts w:ascii="Times New Roman" w:cs="Times New Roman" w:eastAsia="Times New Roman" w:hAnsi="Times New Roman"/>
                <w:sz w:val="14"/>
                <w:szCs w:val="14"/>
                <w:color w:val="auto"/>
                <w:w w:val="95"/>
              </w:rPr>
              <w:t>F- 5</w:t>
            </w:r>
          </w:p>
        </w:tc>
      </w:tr>
      <w:tr>
        <w:trPr>
          <w:trHeight w:val="166"/>
        </w:trPr>
        <w:tc>
          <w:tcPr>
            <w:tcW w:w="1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0000FF"/>
              <w:right w:val="single" w:sz="8" w:color="CCEE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Operations for the Years Ended March 31, 2026 and 2025</w:t>
            </w:r>
          </w:p>
        </w:tc>
        <w:tc>
          <w:tcPr>
            <w:tcW w:w="4240" w:type="dxa"/>
            <w:vAlign w:val="bottom"/>
            <w:tcBorders>
              <w:bottom w:val="single" w:sz="8" w:color="CCEEFF"/>
            </w:tcBorders>
            <w:gridSpan w:val="2"/>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1760"/>
              <w:spacing w:after="0" w:line="155" w:lineRule="exact"/>
              <w:rPr>
                <w:sz w:val="20"/>
                <w:szCs w:val="20"/>
                <w:color w:val="auto"/>
              </w:rPr>
            </w:pPr>
            <w:r>
              <w:rPr>
                <w:rFonts w:ascii="Times New Roman" w:cs="Times New Roman" w:eastAsia="Times New Roman" w:hAnsi="Times New Roman"/>
                <w:sz w:val="14"/>
                <w:szCs w:val="14"/>
                <w:color w:val="auto"/>
                <w:w w:val="95"/>
              </w:rPr>
              <w:t>F- 6</w:t>
            </w:r>
          </w:p>
        </w:tc>
      </w:tr>
      <w:tr>
        <w:trPr>
          <w:trHeight w:val="154"/>
        </w:trPr>
        <w:tc>
          <w:tcPr>
            <w:tcW w:w="120" w:type="dxa"/>
            <w:vAlign w:val="bottom"/>
          </w:tcPr>
          <w:p>
            <w:pPr>
              <w:spacing w:after="0"/>
              <w:rPr>
                <w:sz w:val="13"/>
                <w:szCs w:val="13"/>
                <w:color w:val="auto"/>
              </w:rPr>
            </w:pPr>
          </w:p>
        </w:tc>
        <w:tc>
          <w:tcPr>
            <w:tcW w:w="5440" w:type="dxa"/>
            <w:vAlign w:val="bottom"/>
            <w:tcBorders>
              <w:bottom w:val="single" w:sz="8" w:color="0000FF"/>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Stockholders’ Equity for the Years Ended March 31, 2026 and 2025</w:t>
            </w:r>
          </w:p>
        </w:tc>
        <w:tc>
          <w:tcPr>
            <w:tcW w:w="3700" w:type="dxa"/>
            <w:vAlign w:val="bottom"/>
          </w:tcPr>
          <w:p>
            <w:pPr>
              <w:spacing w:after="0"/>
              <w:rPr>
                <w:sz w:val="13"/>
                <w:szCs w:val="13"/>
                <w:color w:val="auto"/>
              </w:rPr>
            </w:pPr>
          </w:p>
        </w:tc>
        <w:tc>
          <w:tcPr>
            <w:tcW w:w="2000" w:type="dxa"/>
            <w:vAlign w:val="bottom"/>
          </w:tcPr>
          <w:p>
            <w:pPr>
              <w:ind w:left="1760"/>
              <w:spacing w:after="0" w:line="149" w:lineRule="exact"/>
              <w:rPr>
                <w:sz w:val="20"/>
                <w:szCs w:val="20"/>
                <w:color w:val="auto"/>
              </w:rPr>
            </w:pPr>
            <w:r>
              <w:rPr>
                <w:rFonts w:ascii="Times New Roman" w:cs="Times New Roman" w:eastAsia="Times New Roman" w:hAnsi="Times New Roman"/>
                <w:sz w:val="14"/>
                <w:szCs w:val="14"/>
                <w:color w:val="auto"/>
                <w:w w:val="95"/>
              </w:rPr>
              <w:t>F- 7</w:t>
            </w:r>
          </w:p>
        </w:tc>
      </w:tr>
      <w:tr>
        <w:trPr>
          <w:trHeight w:val="166"/>
        </w:trPr>
        <w:tc>
          <w:tcPr>
            <w:tcW w:w="1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0000FF"/>
              <w:right w:val="single" w:sz="8" w:color="CCEE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Consolidated Statements of Cash Flows for the Years Ended March 31, 2026 and 2025</w:t>
            </w:r>
          </w:p>
        </w:tc>
        <w:tc>
          <w:tcPr>
            <w:tcW w:w="4240" w:type="dxa"/>
            <w:vAlign w:val="bottom"/>
            <w:tcBorders>
              <w:bottom w:val="single" w:sz="8" w:color="CCEEFF"/>
            </w:tcBorders>
            <w:gridSpan w:val="2"/>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1760"/>
              <w:spacing w:after="0" w:line="155" w:lineRule="exact"/>
              <w:rPr>
                <w:sz w:val="20"/>
                <w:szCs w:val="20"/>
                <w:color w:val="auto"/>
              </w:rPr>
            </w:pPr>
            <w:r>
              <w:rPr>
                <w:rFonts w:ascii="Times New Roman" w:cs="Times New Roman" w:eastAsia="Times New Roman" w:hAnsi="Times New Roman"/>
                <w:sz w:val="14"/>
                <w:szCs w:val="14"/>
                <w:color w:val="auto"/>
                <w:w w:val="95"/>
              </w:rPr>
              <w:t>F- 8</w:t>
            </w:r>
          </w:p>
        </w:tc>
      </w:tr>
      <w:tr>
        <w:trPr>
          <w:trHeight w:val="149"/>
        </w:trPr>
        <w:tc>
          <w:tcPr>
            <w:tcW w:w="120" w:type="dxa"/>
            <w:vAlign w:val="bottom"/>
          </w:tcPr>
          <w:p>
            <w:pPr>
              <w:spacing w:after="0"/>
              <w:rPr>
                <w:sz w:val="12"/>
                <w:szCs w:val="12"/>
                <w:color w:val="auto"/>
              </w:rPr>
            </w:pPr>
          </w:p>
        </w:tc>
        <w:tc>
          <w:tcPr>
            <w:tcW w:w="250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640" w:type="dxa"/>
            <w:vAlign w:val="bottom"/>
            <w:gridSpan w:val="7"/>
          </w:tcPr>
          <w:p>
            <w:pPr>
              <w:spacing w:after="0"/>
              <w:rPr>
                <w:sz w:val="12"/>
                <w:szCs w:val="12"/>
                <w:color w:val="auto"/>
              </w:rPr>
            </w:pPr>
          </w:p>
        </w:tc>
        <w:tc>
          <w:tcPr>
            <w:tcW w:w="2000" w:type="dxa"/>
            <w:vAlign w:val="bottom"/>
          </w:tcPr>
          <w:p>
            <w:pPr>
              <w:ind w:left="1760"/>
              <w:spacing w:after="0" w:line="149" w:lineRule="exact"/>
              <w:rPr>
                <w:sz w:val="20"/>
                <w:szCs w:val="20"/>
                <w:color w:val="auto"/>
              </w:rPr>
            </w:pPr>
            <w:r>
              <w:rPr>
                <w:rFonts w:ascii="Times New Roman" w:cs="Times New Roman" w:eastAsia="Times New Roman" w:hAnsi="Times New Roman"/>
                <w:sz w:val="14"/>
                <w:szCs w:val="14"/>
                <w:color w:val="auto"/>
                <w:w w:val="95"/>
              </w:rPr>
              <w:t>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5733415</wp:posOffset>
            </wp:positionV>
            <wp:extent cx="71481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color w:val="auto"/>
        </w:rPr>
        <w:t>Page 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Anterix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Anterix Inc. and subsidiaries (the “Company”) as of March 31, 2026, the related consolidated statements of operations, stockholders’ equity, and cash flows for the year then ended, and the related notes (collectively referred to as the “consolidated financial statements”). In our opinion, the financial statements present fairly, in all material respects, the financial position of the Company as of March 31, 2026 and the results of its operations and its cash flows for the year then ended, in conformity with accounting principles generally accepted in the United States of America (GAAP).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54" w:lineRule="exact"/>
        <w:rPr>
          <w:sz w:val="20"/>
          <w:szCs w:val="20"/>
          <w:color w:val="auto"/>
        </w:rPr>
      </w:pPr>
    </w:p>
    <w:p>
      <w:pPr>
        <w:ind w:right="2800"/>
        <w:spacing w:after="0" w:line="3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Change in Business Model, Which Impacted the Accounting for Spectrum Sales Transactions – Refer to Notes 2 and 3 to the financial statements </w:t>
      </w:r>
      <w:r>
        <w:rPr>
          <w:rFonts w:ascii="Times New Roman" w:cs="Times New Roman" w:eastAsia="Times New Roman" w:hAnsi="Times New Roman"/>
          <w:sz w:val="14"/>
          <w:szCs w:val="14"/>
          <w:i w:val="1"/>
          <w:iCs w:val="1"/>
          <w:color w:val="auto"/>
        </w:rPr>
        <w:t>Critical Audit Matter Description</w:t>
      </w:r>
    </w:p>
    <w:p>
      <w:pPr>
        <w:ind w:right="140"/>
        <w:spacing w:after="0" w:line="264" w:lineRule="auto"/>
        <w:rPr>
          <w:sz w:val="20"/>
          <w:szCs w:val="20"/>
          <w:color w:val="auto"/>
        </w:rPr>
      </w:pPr>
      <w:r>
        <w:rPr>
          <w:rFonts w:ascii="Times New Roman" w:cs="Times New Roman" w:eastAsia="Times New Roman" w:hAnsi="Times New Roman"/>
          <w:sz w:val="14"/>
          <w:szCs w:val="14"/>
          <w:color w:val="auto"/>
        </w:rPr>
        <w:t>During the fourth quarter of fiscal 2026, the Company evolved its business strategy. Building on its foundational 900 MHz spectrum position, the Company transitioned from a model focused primarily on long-term spectrum leasing to a broader operating model which involves both leases and sales of spectrum. In the ordinary course of business, the Company seeks to secure and expand its spectrum position, clear and retune spectrum, monetize spectrum through both sales and long-term leases, and develop a growing portfolio of products and services offerings around its spectrum designed to generate recurring revenue.</w:t>
      </w:r>
    </w:p>
    <w:p>
      <w:pPr>
        <w:spacing w:after="0" w:line="5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identified the Company’s change in business model, which impacted the accounting of its spectrum sales transactions to be recognized as revenue, as a critical audit matter due to the judgment in evaluating the change in the Company’s business strategy as well as the timing of the change and related accounting implications. This required a high degree of auditor judgment and increased audit effort.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evaluating the change in business strategy and the accounting of spectrum sales transactions to be recognized as revenue included the following, among others:</w:t>
      </w:r>
    </w:p>
    <w:p>
      <w:pPr>
        <w:spacing w:after="0" w:line="29" w:lineRule="exact"/>
        <w:rPr>
          <w:sz w:val="20"/>
          <w:szCs w:val="20"/>
          <w:color w:val="auto"/>
        </w:rPr>
      </w:pPr>
    </w:p>
    <w:p>
      <w:pPr>
        <w:ind w:left="1020" w:hanging="251"/>
        <w:spacing w:after="0"/>
        <w:tabs>
          <w:tab w:leader="none" w:pos="1020" w:val="left"/>
        </w:tabs>
        <w:numPr>
          <w:ilvl w:val="0"/>
          <w:numId w:val="33"/>
        </w:numPr>
        <w:rPr>
          <w:rFonts w:ascii="Arial" w:cs="Arial" w:eastAsia="Arial" w:hAnsi="Arial"/>
          <w:sz w:val="17"/>
          <w:szCs w:val="17"/>
          <w:color w:val="auto"/>
        </w:rPr>
      </w:pPr>
      <w:r>
        <w:rPr>
          <w:rFonts w:ascii="Times New Roman" w:cs="Times New Roman" w:eastAsia="Times New Roman" w:hAnsi="Times New Roman"/>
          <w:sz w:val="14"/>
          <w:szCs w:val="14"/>
          <w:color w:val="auto"/>
        </w:rPr>
        <w:t>We evaluated the change in the Company’s business model as well as the timing of the change, by performing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222885</wp:posOffset>
            </wp:positionV>
            <wp:extent cx="71481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3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color w:val="auto"/>
        </w:rPr>
        <w:t>Page 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1520" w:hanging="242"/>
        <w:spacing w:after="0"/>
        <w:tabs>
          <w:tab w:leader="none" w:pos="1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inquired of selected members of the Company’s executive management team and Board of Directors,</w:t>
      </w:r>
    </w:p>
    <w:p>
      <w:pPr>
        <w:spacing w:after="0" w:line="23" w:lineRule="exact"/>
        <w:rPr>
          <w:rFonts w:ascii="Times New Roman" w:cs="Times New Roman" w:eastAsia="Times New Roman" w:hAnsi="Times New Roman"/>
          <w:sz w:val="14"/>
          <w:szCs w:val="14"/>
          <w:color w:val="auto"/>
        </w:rPr>
      </w:pPr>
    </w:p>
    <w:p>
      <w:pPr>
        <w:ind w:left="1520" w:hanging="242"/>
        <w:spacing w:after="0"/>
        <w:tabs>
          <w:tab w:leader="none" w:pos="1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inspected the Company’s Board of Directors meeting materials, including agendas, presentations and meeting minutes,</w:t>
      </w:r>
    </w:p>
    <w:p>
      <w:pPr>
        <w:spacing w:after="0" w:line="8" w:lineRule="exact"/>
        <w:rPr>
          <w:rFonts w:ascii="Times New Roman" w:cs="Times New Roman" w:eastAsia="Times New Roman" w:hAnsi="Times New Roman"/>
          <w:sz w:val="14"/>
          <w:szCs w:val="14"/>
          <w:color w:val="auto"/>
        </w:rPr>
      </w:pPr>
    </w:p>
    <w:p>
      <w:pPr>
        <w:ind w:left="1540" w:right="220" w:hanging="262"/>
        <w:spacing w:after="0" w:line="253" w:lineRule="auto"/>
        <w:tabs>
          <w:tab w:leader="none" w:pos="1537"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publicly available information, including the Company’s website, press releases, investor materials, analysts’ reports, earnings call transcripts, industry outlook reports, regulatory filings and social media posts by management,</w:t>
      </w:r>
    </w:p>
    <w:p>
      <w:pPr>
        <w:ind w:left="1520" w:hanging="242"/>
        <w:spacing w:after="0"/>
        <w:tabs>
          <w:tab w:leader="none" w:pos="1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inspected the Company’s marketing materials and internal strategy documents,</w:t>
      </w:r>
    </w:p>
    <w:p>
      <w:pPr>
        <w:spacing w:after="0" w:line="8" w:lineRule="exact"/>
        <w:rPr>
          <w:rFonts w:ascii="Times New Roman" w:cs="Times New Roman" w:eastAsia="Times New Roman" w:hAnsi="Times New Roman"/>
          <w:sz w:val="14"/>
          <w:szCs w:val="14"/>
          <w:color w:val="auto"/>
        </w:rPr>
      </w:pPr>
    </w:p>
    <w:p>
      <w:pPr>
        <w:ind w:left="1520" w:hanging="242"/>
        <w:spacing w:after="0"/>
        <w:tabs>
          <w:tab w:leader="none" w:pos="1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compared the Company’s new and historical spectrum sales contracts to identify and evaluate key differences, and</w:t>
      </w:r>
    </w:p>
    <w:p>
      <w:pPr>
        <w:spacing w:after="0" w:line="8" w:lineRule="exact"/>
        <w:rPr>
          <w:rFonts w:ascii="Times New Roman" w:cs="Times New Roman" w:eastAsia="Times New Roman" w:hAnsi="Times New Roman"/>
          <w:sz w:val="14"/>
          <w:szCs w:val="14"/>
          <w:color w:val="auto"/>
        </w:rPr>
      </w:pPr>
    </w:p>
    <w:p>
      <w:pPr>
        <w:ind w:left="1520" w:hanging="242"/>
        <w:spacing w:after="0"/>
        <w:tabs>
          <w:tab w:leader="none" w:pos="1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fiscal 2027 forecast to understand growth expectations for the sales of spectrum and customer pipeline opportunities.</w:t>
      </w:r>
    </w:p>
    <w:p>
      <w:pPr>
        <w:spacing w:after="0" w:line="1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evaluated the Company’s revenue recognition accounting related to spectrum sales transactions entered during the fourth quarter of fiscal 2026.</w:t>
      </w:r>
    </w:p>
    <w:p>
      <w:pPr>
        <w:spacing w:after="0" w:line="8" w:lineRule="exact"/>
        <w:rPr>
          <w:rFonts w:ascii="Times New Roman" w:cs="Times New Roman" w:eastAsia="Times New Roman" w:hAnsi="Times New Roman"/>
          <w:sz w:val="17"/>
          <w:szCs w:val="17"/>
          <w:color w:val="auto"/>
        </w:rPr>
      </w:pPr>
    </w:p>
    <w:p>
      <w:pPr>
        <w:ind w:left="1020" w:hanging="251"/>
        <w:spacing w:after="0" w:line="237"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tested the effectiveness of controls over management’s application of the accounting for sales of spectrum.</w:t>
      </w:r>
    </w:p>
    <w:p>
      <w:pPr>
        <w:spacing w:after="0" w:line="8" w:lineRule="exact"/>
        <w:rPr>
          <w:rFonts w:ascii="Times New Roman" w:cs="Times New Roman" w:eastAsia="Times New Roman" w:hAnsi="Times New Roman"/>
          <w:sz w:val="17"/>
          <w:szCs w:val="17"/>
          <w:color w:val="auto"/>
        </w:rPr>
      </w:pPr>
    </w:p>
    <w:p>
      <w:pPr>
        <w:ind w:left="1020" w:hanging="251"/>
        <w:spacing w:after="0" w:line="237"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evaluated the Company’s financial statement disclosures with respect to the change in business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Exchange of Intangible Assets, net – Refer to Notes 2 and 7 to the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enters into agreements to exchange its spectrum licenses with the Federal Communications Commission (FCC). As the Company exchanges its narrowband licenses for broadband licenses, which is dependent upon approval from the FCC, the spectrum licenses acquired as part of this exchange of nonmonetary assets are recorded at their fair value, as defined by the FCC’s 2020 Report and Order (i.e., the lower of the 600 MHz auction pricing or estimated contract price). The narrowband licenses that are surrendered to the FCC upon the exchange are recorded at their carrying value, which includes the original acquisition cost, anti-windfall payments and clearing costs. The difference between the carrying value of the narrowband licenses surrendered and the fair value of the broadband licenses received is recorded as a gain or loss on exchange of intangible assets. For the year ended March 31, 2026, the Company recorded a gain on exchange of intangible assets of $105.4 million.</w:t>
      </w:r>
    </w:p>
    <w:p>
      <w:pPr>
        <w:spacing w:after="0" w:line="6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We identified the Company’s determination of fair value used to measure the gain on exchange of spectrum licenses, which are intangible assets, as a critical audit matter due to the significant judgment used by management. This required a high degree of auditor judgment and increased audit effort.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auditing the gain on exchange of intangible assets included the following, among others:</w:t>
      </w:r>
    </w:p>
    <w:p>
      <w:pPr>
        <w:spacing w:after="0" w:line="29" w:lineRule="exact"/>
        <w:rPr>
          <w:sz w:val="20"/>
          <w:szCs w:val="20"/>
          <w:color w:val="auto"/>
        </w:rPr>
      </w:pPr>
    </w:p>
    <w:p>
      <w:pPr>
        <w:ind w:left="1020" w:hanging="251"/>
        <w:spacing w:after="0"/>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With the assistance of our Fair Value Specialists, we performed the following:</w:t>
      </w:r>
    </w:p>
    <w:p>
      <w:pPr>
        <w:spacing w:after="0" w:line="1" w:lineRule="exact"/>
        <w:rPr>
          <w:rFonts w:ascii="Times New Roman" w:cs="Times New Roman" w:eastAsia="Times New Roman" w:hAnsi="Times New Roman"/>
          <w:sz w:val="17"/>
          <w:szCs w:val="17"/>
          <w:color w:val="auto"/>
        </w:rPr>
      </w:pPr>
    </w:p>
    <w:p>
      <w:pPr>
        <w:ind w:left="1520" w:hanging="242"/>
        <w:spacing w:after="0"/>
        <w:tabs>
          <w:tab w:leader="none" w:pos="1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independently estimated the fair value of the spectrum licenses based on 600 MHz auction prices and compared to the Company’s estimated fair value,</w:t>
      </w:r>
    </w:p>
    <w:p>
      <w:pPr>
        <w:spacing w:after="0" w:line="7" w:lineRule="exact"/>
        <w:rPr>
          <w:rFonts w:ascii="Times New Roman" w:cs="Times New Roman" w:eastAsia="Times New Roman" w:hAnsi="Times New Roman"/>
          <w:sz w:val="14"/>
          <w:szCs w:val="14"/>
          <w:color w:val="auto"/>
        </w:rPr>
      </w:pPr>
    </w:p>
    <w:p>
      <w:pPr>
        <w:ind w:left="1520" w:hanging="242"/>
        <w:spacing w:after="0"/>
        <w:tabs>
          <w:tab w:leader="none" w:pos="1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analyzed recent market transactions to assess the comparability to, and the reasonableness of, the Company’s estimated fair value, and</w:t>
      </w:r>
    </w:p>
    <w:p>
      <w:pPr>
        <w:spacing w:after="0" w:line="8" w:lineRule="exact"/>
        <w:rPr>
          <w:rFonts w:ascii="Times New Roman" w:cs="Times New Roman" w:eastAsia="Times New Roman" w:hAnsi="Times New Roman"/>
          <w:sz w:val="14"/>
          <w:szCs w:val="14"/>
          <w:color w:val="auto"/>
        </w:rPr>
      </w:pPr>
    </w:p>
    <w:p>
      <w:pPr>
        <w:ind w:left="1540" w:right="100" w:hanging="262"/>
        <w:spacing w:after="0" w:line="253" w:lineRule="auto"/>
        <w:tabs>
          <w:tab w:leader="none" w:pos="153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 specific spectrum sales entered by the Company in the fourth quarter of fiscal 2026 as indicative of fair value and compared to the Company’s estimated fair value.</w:t>
      </w:r>
    </w:p>
    <w:p>
      <w:pPr>
        <w:spacing w:after="0" w:line="17" w:lineRule="exact"/>
        <w:rPr>
          <w:rFonts w:ascii="Times New Roman" w:cs="Times New Roman" w:eastAsia="Times New Roman" w:hAnsi="Times New Roman"/>
          <w:sz w:val="14"/>
          <w:szCs w:val="14"/>
          <w:color w:val="auto"/>
        </w:rPr>
      </w:pPr>
    </w:p>
    <w:p>
      <w:pPr>
        <w:ind w:left="1020" w:right="540" w:hanging="251"/>
        <w:spacing w:after="0" w:line="238" w:lineRule="auto"/>
        <w:tabs>
          <w:tab w:leader="none" w:pos="1016"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4"/>
          <w:szCs w:val="14"/>
          <w:color w:val="auto"/>
        </w:rPr>
        <w:t>We evaluated the Company’s accounting for nonmonetary exchanges related to the gain on exchange of intangible assets, including whether the exchanges had commercial substance.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Morristown,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25,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230505</wp:posOffset>
            </wp:positionV>
            <wp:extent cx="71481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Anterix Inc. (a Delaware corporation) and subsidiaries (the “Company”) as of March 31, 2025, the related consolidated statements of operations, stockholders’ equity, and cash flows for the year ended March 31, 2025, and the related notes (collectively referred to as the “consolidated financial statements”). In our opinion, the consolidated financial statements present fairly, in all material respects, the financial position of the Company as of March 31, 2025, and the results of its operations and its cash flows for the year ended March 31, 2025, in conformity with accounting principles generally accepted in the United States of America.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jc w:val="both"/>
        <w:ind w:right="420"/>
        <w:spacing w:after="0" w:line="23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6"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2018 to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2161540</wp:posOffset>
            </wp:positionV>
            <wp:extent cx="71481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color w:val="auto"/>
        </w:rPr>
        <w:t>Page 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40" w:type="dxa"/>
            <w:vAlign w:val="bottom"/>
          </w:tcPr>
          <w:p>
            <w:pPr>
              <w:spacing w:after="0"/>
              <w:rPr>
                <w:sz w:val="13"/>
                <w:szCs w:val="13"/>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0" w:type="dxa"/>
            <w:vAlign w:val="bottom"/>
          </w:tcPr>
          <w:p>
            <w:pPr>
              <w:spacing w:after="0"/>
              <w:rPr>
                <w:sz w:val="1"/>
                <w:szCs w:val="1"/>
                <w:color w:val="auto"/>
              </w:rPr>
            </w:pPr>
          </w:p>
        </w:tc>
      </w:tr>
      <w:tr>
        <w:trPr>
          <w:trHeight w:val="170"/>
        </w:trPr>
        <w:tc>
          <w:tcPr>
            <w:tcW w:w="8080" w:type="dxa"/>
            <w:vAlign w:val="bottom"/>
            <w:tcBorders>
              <w:top w:val="single" w:sz="8" w:color="CCEEFF"/>
            </w:tcBorders>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w:t>
            </w: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Non-trade receivable</w:t>
            </w:r>
          </w:p>
        </w:tc>
        <w:tc>
          <w:tcPr>
            <w:tcW w:w="2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Spectrum receivable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Escrow deposits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0" w:type="dxa"/>
            <w:vAlign w:val="bottom"/>
          </w:tcPr>
          <w:p>
            <w:pPr>
              <w:spacing w:after="0"/>
              <w:rPr>
                <w:sz w:val="1"/>
                <w:szCs w:val="1"/>
                <w:color w:val="auto"/>
              </w:rPr>
            </w:pPr>
          </w:p>
        </w:tc>
      </w:tr>
      <w:tr>
        <w:trPr>
          <w:trHeight w:val="171"/>
        </w:trPr>
        <w:tc>
          <w:tcPr>
            <w:tcW w:w="8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119,985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60,755</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deposits</w:t>
            </w:r>
          </w:p>
        </w:tc>
        <w:tc>
          <w:tcPr>
            <w:tcW w:w="2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net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310,712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228,983</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broadband costs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28,944</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465,210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333,104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severance and other related charges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Due to related parties</w:t>
            </w:r>
          </w:p>
        </w:tc>
        <w:tc>
          <w:tcPr>
            <w:tcW w:w="2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Contingent liability</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171"/>
        </w:trPr>
        <w:tc>
          <w:tcPr>
            <w:tcW w:w="8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27,201</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liability</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118,577</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gain on sale of intangible assets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71"/>
        </w:trPr>
        <w:tc>
          <w:tcPr>
            <w:tcW w:w="8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202,889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176,503</w:t>
            </w:r>
          </w:p>
        </w:tc>
        <w:tc>
          <w:tcPr>
            <w:tcW w:w="0" w:type="dxa"/>
            <w:vAlign w:val="bottom"/>
          </w:tcPr>
          <w:p>
            <w:pPr>
              <w:spacing w:after="0"/>
              <w:rPr>
                <w:sz w:val="1"/>
                <w:szCs w:val="1"/>
                <w:color w:val="auto"/>
              </w:rPr>
            </w:pPr>
          </w:p>
        </w:tc>
      </w:tr>
      <w:tr>
        <w:trPr>
          <w:trHeight w:val="16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15)</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0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Preferred stock, $0.0001 par value per share, 10,000,000 shares authorized and no shares outstanding at March 31, 2026 and March 31,</w:t>
            </w: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80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stock, $0.0001 par value per share, 100,000,000 shares authorized and 18,914,271 shares issued and outstanding at March 31,</w:t>
            </w: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and 18,612,804 shares issued and outstanding at March 31, 2025</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548,542</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(302,298)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(391,943)</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262,321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156,601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465,210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333,104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237490</wp:posOffset>
            </wp:positionV>
            <wp:extent cx="71481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Years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Spectrum revenue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r>
      <w:tr>
        <w:trPr>
          <w:trHeight w:val="212"/>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42,671</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support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development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Severance and other related charges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r>
      <w:tr>
        <w:trPr>
          <w:trHeight w:val="18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7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exchange of intangible assets, net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(22,799)</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intangible assets, net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18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Loss from disposal of long-lived assets, net</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17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used to compute basic net income (loss) per share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18,688,175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18,562,446</w:t>
            </w:r>
          </w:p>
        </w:tc>
      </w:tr>
      <w:tr>
        <w:trPr>
          <w:trHeight w:val="18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used to compute diluted net income (loss) per share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18,755,739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18,562,446</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358775</wp:posOffset>
            </wp:positionV>
            <wp:extent cx="71481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color w:val="auto"/>
        </w:rPr>
        <w:t>Page 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Years Ended 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1"/>
                <w:szCs w:val="11"/>
                <w:color w:val="auto"/>
              </w:rPr>
            </w:pPr>
          </w:p>
        </w:tc>
        <w:tc>
          <w:tcPr>
            <w:tcW w:w="164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420" w:type="dxa"/>
            <w:vAlign w:val="bottom"/>
            <w:gridSpan w:val="2"/>
            <w:vMerge w:val="restart"/>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60" w:type="dxa"/>
            <w:vAlign w:val="bottom"/>
          </w:tcPr>
          <w:p>
            <w:pPr>
              <w:spacing w:after="0"/>
              <w:rPr>
                <w:sz w:val="11"/>
                <w:szCs w:val="11"/>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2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30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3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6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533,203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(372,173)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161,032</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13,531</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shares issued</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 exercises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0" w:type="dxa"/>
            <w:vAlign w:val="bottom"/>
          </w:tcPr>
          <w:p>
            <w:pPr>
              <w:spacing w:after="0"/>
              <w:rPr>
                <w:sz w:val="1"/>
                <w:szCs w:val="1"/>
                <w:color w:val="auto"/>
              </w:rPr>
            </w:pPr>
          </w:p>
        </w:tc>
      </w:tr>
      <w:tr>
        <w:trPr>
          <w:trHeight w:val="17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18,613</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548,542</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(391,943)</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156,601</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shares issued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option exercises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8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262,321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237490</wp:posOffset>
            </wp:positionV>
            <wp:extent cx="714819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Years Ended 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w:t>
            </w: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 of use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exchange of intangible assets, net</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(22,799)</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intangible assets,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from disposal of long-lived assets, net</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Non-trade receivable</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w:t>
            </w:r>
          </w:p>
        </w:tc>
      </w:tr>
      <w:tr>
        <w:trPr>
          <w:trHeight w:val="18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r>
      <w:tr>
        <w:trPr>
          <w:trHeight w:val="180"/>
        </w:trPr>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8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severance and other related charges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r>
      <w:tr>
        <w:trPr>
          <w:trHeight w:val="180"/>
        </w:trPr>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Due to related parties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r>
      <w:tr>
        <w:trPr>
          <w:trHeight w:val="180"/>
        </w:trPr>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Contingent liability</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w:t>
            </w:r>
          </w:p>
        </w:tc>
      </w:tr>
      <w:tr>
        <w:trPr>
          <w:trHeight w:val="18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r>
      <w:tr>
        <w:trPr>
          <w:trHeight w:val="180"/>
        </w:trPr>
        <w:tc>
          <w:tcPr>
            <w:tcW w:w="7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liabilities</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71"/>
        </w:trPr>
        <w:tc>
          <w:tcPr>
            <w:tcW w:w="7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(29,263)</w:t>
            </w:r>
          </w:p>
        </w:tc>
      </w:tr>
      <w:tr>
        <w:trPr>
          <w:trHeight w:val="16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intangible assets and other related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spectrum</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40,935</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equipment</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79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22,753</w:t>
            </w:r>
          </w:p>
        </w:tc>
      </w:tr>
      <w:tr>
        <w:trPr>
          <w:trHeight w:val="16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Payments of withholding tax on net issuance of restricted stock</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171"/>
        </w:trPr>
        <w:tc>
          <w:tcPr>
            <w:tcW w:w="7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w:t>
            </w:r>
          </w:p>
        </w:tc>
      </w:tr>
      <w:tr>
        <w:trPr>
          <w:trHeight w:val="171"/>
        </w:trPr>
        <w:tc>
          <w:tcPr>
            <w:tcW w:w="79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cash and cash equivalents and restricted cash</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(13,100)</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the year</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68,124</w:t>
            </w: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the year</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104,663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55,024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following tables provide a reconciliation of cash and cash equivalents and restricted cash reported on the Consolidated Balance Sheets that sum to the total of the same such amounts on the</w:t>
      </w:r>
    </w:p>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40" w:type="dxa"/>
            <w:vAlign w:val="bottom"/>
          </w:tcPr>
          <w:p>
            <w:pPr>
              <w:spacing w:after="0"/>
              <w:rPr>
                <w:sz w:val="13"/>
                <w:szCs w:val="13"/>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91"/>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w:t>
            </w:r>
          </w:p>
        </w:tc>
      </w:tr>
      <w:tr>
        <w:trPr>
          <w:trHeight w:val="191"/>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Escrow deposits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7,650</w:t>
            </w:r>
          </w:p>
        </w:tc>
      </w:tr>
      <w:tr>
        <w:trPr>
          <w:trHeight w:val="207"/>
        </w:trPr>
        <w:tc>
          <w:tcPr>
            <w:tcW w:w="7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104,663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55,024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230505</wp:posOffset>
            </wp:positionV>
            <wp:extent cx="714819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Anterix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Operations</w:t>
      </w:r>
    </w:p>
    <w:p>
      <w:pPr>
        <w:spacing w:after="0" w:line="9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Anterix Inc. (the “Company”) is the nation’s largest holder of licensed 900 MHz spectrum (896-901/935-940 MHz) with coverage spanning the contiguous United States, Hawaii, Alaska, and Puerto Rico. The Company’s mission is to transform critical infrastructure connectivity, commercialize its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spacing w:after="0" w:line="5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 was originally incorporated in California in 1997 and reincorporated in Delaware in 2014. In November 2015, the Company changed its name from Pacific DataVision, Inc. to pdvWireless, Inc. In August 2019, the Company changed its name from pdvWireless, Inc. to Anterix Inc. The Company maintains offices in Woodland Park, New Jersey, McLean, Virginia and Abilene, Texas.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Developments</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During fiscal 2026, the Company evolved its business strategy. Building on its foundational 900 MHz spectrum position, the Company transitioned from a model focused predominantly on long-term spectrum leasing to a broader operating model. In the ordinary course of business, the Company now secures and expands its spectrum position, clears and retunes spectrum, monetizes spectrum through both sales and long-term leases, and develops a growing portfolio of products and services offerings around its spectrum that are designed to generate recurring revenue. Together, these activities form the foundation of how the Company generates revenue today and how it expects to generate revenue over time. The Company’s new brand and visual identity, introduced during the fourth quarter, reflects this evolution.</w:t>
      </w:r>
    </w:p>
    <w:p>
      <w:pPr>
        <w:spacing w:after="0" w:line="58"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On March 30, 2026, the Company entered into a spectrum license sale agreement with NorthWestern Energy (“NWE”) to provide 900 MHz Broadband Spectrum in the 10 MHz broadband configuration, (the “NWE Agreement”) for a total consideration of $7.7 million. This agreement marks the Company’s first deployment of 10 MHz broadband configuration in the 900 MHz band providing the foundation NWE needs to build a secure platform for a modern grid, enabling the delivery of safe, reliable energy for the communities they serve.</w:t>
      </w:r>
    </w:p>
    <w:p>
      <w:pPr>
        <w:spacing w:after="0" w:line="51"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On March 25, 2026, the Company entered into a spectrum license sale agreement with Texas-New Mexico Power Company (“TNMP”) to provide 900 MHz Broadband Spectrum covering Brazoria County and Galveston County, Texas, (the “TNMP Agreement”) for a total consideration of $3.2 million, facilitating TNMP to deploy a mission- critical private wireless network designed to strengthen grid reliability and support essential service improvements across its territory.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18, 2026, the Federal Communications Commission (the “FCC”) adopted the 2026 Report and Order to expand 900 MHz band to 10 MHz.</w:t>
      </w:r>
    </w:p>
    <w:p>
      <w:pPr>
        <w:spacing w:after="0" w:line="94"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On January 30, 2026, the Company entered into a spectrum license sale agreement with CPS Energy (“CPS”) to provide 900 MHz broadband license covering Bexar County, Texas, (the “CPS Agreement”) for a total payment of $13.0 million, facilitating CPS to deploy a utility private wireless broadband network that will strengthen its grid operations, enhance reliability, and accelerate innovation at scale.</w:t>
      </w:r>
    </w:p>
    <w:p>
      <w:pPr>
        <w:spacing w:after="0" w:line="48"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4"/>
          <w:szCs w:val="14"/>
          <w:color w:val="auto"/>
        </w:rPr>
        <w:t>In November 2025, the Company and Crown Castle, one of the nation’s largest tower companies, announced a new turnkey tower service, TowerX</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that helps utilities accelerate buildout timelines by providing access to pre-negotiated tower sites, centralized data and expert support.</w:t>
      </w:r>
    </w:p>
    <w:p>
      <w:pPr>
        <w:spacing w:after="0" w:line="7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also relaunched CatalyX®, a turnkey SIM provisioning, connectivity management and roaming solution that helps utilities efficiently and securely activate and manage devices across public and private networks.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Use of Estimates</w:t>
      </w:r>
    </w:p>
    <w:p>
      <w:pPr>
        <w:spacing w:after="0" w:line="96"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and accompanying notes are prepared in accordance with accounting principles generally accepted in the United States of America (“U.S. GAAP”), which require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the valuation of awards and forfeiture rates for its share-based award programs, the estimated useful lives of depreciable assets, lease discount rates, asset retirement obligations (the “ARO”), valuation allowance on the Company’s deferred tax assets and the recoverability of intangible assets among other estimates. Estimates and assumptions are reviewed periodically, and the effects of revisions are reflected in the financial statements in the applicable period. Accordingly, actual results could materially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209550</wp:posOffset>
            </wp:positionV>
            <wp:extent cx="714819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subsidiaries. All intercompany accounts and transactions have been eliminated in consolidation.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Revision to Spectrum Sale Transaction Presentation</w:t>
      </w:r>
    </w:p>
    <w:p>
      <w:pPr>
        <w:spacing w:after="0" w:line="96"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Company generates income primarily through long-term leases and sales of spectrum assets. For spectrum lease agreements, payments received from customers were recorded as deferred revenue on the Company’s Consolidated Balance Sheets, with revenue recognized ratably over the contractual term beginning on the date the Company delivered cleared 900 MHz Broadband Spectrum and the associated broadband leases to the customer on a county-by-county basis in accordance with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Historically, for spectrum sale agreements, payments received in advance of closing were recorded as contingent liabilities on the Company’s Consolidated Balance Sheets. Upon closing of the sale and delivery of the cleared 900 MHz Broadband Spectrum and associated broadband licenses to the customer by county, the Company derecognized the contingent liability and recorded a gain on sale of intangible assets within operating expenses under </w:t>
      </w:r>
      <w:r>
        <w:rPr>
          <w:rFonts w:ascii="Times New Roman" w:cs="Times New Roman" w:eastAsia="Times New Roman" w:hAnsi="Times New Roman"/>
          <w:sz w:val="14"/>
          <w:szCs w:val="14"/>
          <w:i w:val="1"/>
          <w:iCs w:val="1"/>
          <w:color w:val="auto"/>
        </w:rPr>
        <w:t>Other Income — Gains and Losses from the Derecognition of Nonfinancial Assets</w:t>
      </w:r>
      <w:r>
        <w:rPr>
          <w:rFonts w:ascii="Times New Roman" w:cs="Times New Roman" w:eastAsia="Times New Roman" w:hAnsi="Times New Roman"/>
          <w:sz w:val="14"/>
          <w:szCs w:val="14"/>
          <w:color w:val="auto"/>
        </w:rPr>
        <w:t xml:space="preserve"> (“ASC 610”).</w:t>
      </w:r>
    </w:p>
    <w:p>
      <w:pPr>
        <w:spacing w:after="0" w:line="6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During fiscal 2026, the Company evolved its business strategy, transitioning from a model focused predominantly on long-term spectrum leasing to a broader operating model that now includes securing and expanding its spectrum position, clearing and retuning spectrum, monetizing spectrum through both sales and long-term leases, and developing a growing portfolio of products and services offerings around its spectrum that are designed to generate recurring revenue.</w:t>
      </w:r>
    </w:p>
    <w:p>
      <w:pPr>
        <w:spacing w:after="0" w:line="5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Prior to December 31, 2025, sale agreements were deemed an exception to the Company’s business model and were entered into with utilities containing Complex Systems on a case by case basis not in the ordinary course of business, resulting in sale agreements being accounted for under ASC 610. However, as a result of the Company’s business strategy evolution, the Company determined that sale agreements entered into after December 31, 2025 were completed in the ordinary course of business. The shift in business model will result in the recognition of such transactions as revenue under ASC 606, with the associated broadband costs reflected within operating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operates as a single operating and reportable segment. The Company’s chief operating decision maker (“CODM”) is its President and Chief Executive Officer, who manages the business on a consolidated basis.</w:t>
      </w:r>
    </w:p>
    <w:p>
      <w:pPr>
        <w:spacing w:after="0" w:line="39" w:lineRule="exact"/>
        <w:rPr>
          <w:sz w:val="20"/>
          <w:szCs w:val="20"/>
          <w:color w:val="auto"/>
        </w:rPr>
      </w:pPr>
    </w:p>
    <w:p>
      <w:pPr>
        <w:ind w:right="1740" w:firstLine="509"/>
        <w:spacing w:after="0" w:line="379" w:lineRule="auto"/>
        <w:rPr>
          <w:sz w:val="20"/>
          <w:szCs w:val="20"/>
          <w:color w:val="auto"/>
        </w:rPr>
      </w:pPr>
      <w:r>
        <w:rPr>
          <w:rFonts w:ascii="Times New Roman" w:cs="Times New Roman" w:eastAsia="Times New Roman" w:hAnsi="Times New Roman"/>
          <w:sz w:val="14"/>
          <w:szCs w:val="14"/>
          <w:color w:val="auto"/>
        </w:rPr>
        <w:t xml:space="preserve">All of the Company’s identifiable assets are located in the United States. The Company did not generate any revenue from sources outside of the United States. </w:t>
      </w:r>
      <w:r>
        <w:rPr>
          <w:rFonts w:ascii="Times New Roman" w:cs="Times New Roman" w:eastAsia="Times New Roman" w:hAnsi="Times New Roman"/>
          <w:sz w:val="14"/>
          <w:szCs w:val="14"/>
          <w:b w:val="1"/>
          <w:bCs w:val="1"/>
          <w:i w:val="1"/>
          <w:iCs w:val="1"/>
          <w:color w:val="auto"/>
        </w:rPr>
        <w:t>Cash and Cash Equivalents and Restricted Cash</w:t>
      </w:r>
    </w:p>
    <w:p>
      <w:pPr>
        <w:spacing w:after="0" w:line="1"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All highly liquid investments with maturities of three months or less at the time of purchase are considered cash equivalents. Cash equivalents are stated at cost, which approximates the quoted market value and includes amounts held in money market funds. Restricted cash includes amounts classified as escrow deposits.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Significant Customers</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expose the Company to concentrations of credit risk consist primarily of cash and cash equivalents. The Company places its cash and temporary cash investments with financial institutions for which credit loss is not anticipated. As of March 31, 2026 and 2025, substantially all of the Company’s cash balances exceeded the federally insured limits. During the years ended March 31, 2026 and 2025, each of the Company’s customers related to spectrum agreements accounted for greater than 10% of total revenue, except for Tampa Electric Company (“TECO”).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4"/>
          <w:szCs w:val="14"/>
          <w:color w:val="auto"/>
        </w:rPr>
        <w:t>Property and equipment are stated at cost. Depreciation is computed using the straight-line method over the shorter of the estimated useful lives of the assets or the applicable lease term. The carrying amount at the balance sheet date of long-lived assets under construction in process includes assets purchased, constructed, or being developed internally that are not yet in</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service. Depreciation commences when the assets are placed in service. Depreciation rates for assets are updated periodically to account for changes, if any, in the estimated useful lives of the assets, lease terms, management’s strategic objectives, estimated residual values or obsolescence. Changes in estimates will result in adjustments to depreciation expense prospectively.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Asset Retirement Obligations</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An Asset Retirement Obligations (“ARO”) is evaluated and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cash flows underlying the obligation, if any. Over time, the liability is accreted to its present value and the capitalized cost is depreciated over the estimated useful life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206375</wp:posOffset>
            </wp:positionV>
            <wp:extent cx="714819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1"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entered into long-term leasing arrangements primarily for tower site locations. The Company constructed assets at these locations and, in accordance with the terms of many of these agreements, the Company is obligated to restore the premises to their original condition at the conclusion of the agreements, generally at the demand of the other party to these agreements. The Company recognizes the fair value of a liability for an ARO and capitalizes that cost as part of the cost basis of the related asset, depreciating it over the useful life of the related asset. Upon settlement of the obligation, any difference between the cost to retire the asset and the recorded liability is recognized on the Company’s Consolidated Statements of Operations.</w:t>
      </w:r>
    </w:p>
    <w:p>
      <w:pPr>
        <w:spacing w:after="0" w:line="56"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2026 and 2025, the Company settled approximately $0.4 million and $5 thousand, respectively of its obligations to restore the leased premises to their original condition and decreased its ARO accrual by $0.1 million and $0.1 million, respectively based on estimated future cash flows.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the liability for the ARO for the years ended March 31, 2026 and 2025 are summarized below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year</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settled</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Revision of estimate</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expense</w:t>
            </w:r>
          </w:p>
        </w:tc>
        <w:tc>
          <w:tcPr>
            <w:tcW w:w="10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808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Balance at end of the year </w:t>
            </w:r>
            <w:r>
              <w:rPr>
                <w:rFonts w:ascii="Times New Roman" w:cs="Times New Roman" w:eastAsia="Times New Roman" w:hAnsi="Times New Roman"/>
                <w:sz w:val="18"/>
                <w:szCs w:val="18"/>
                <w:color w:val="auto"/>
                <w:vertAlign w:val="superscript"/>
              </w:rPr>
              <w:t>(1)</w:t>
            </w:r>
          </w:p>
        </w:tc>
        <w:tc>
          <w:tcPr>
            <w:tcW w:w="10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amount classified as current - included in accounts payable and other accrued expenses</w:t>
            </w:r>
          </w:p>
        </w:tc>
        <w:tc>
          <w:tcPr>
            <w:tcW w:w="10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96"/>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 included in other liabilities</w:t>
            </w: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right="780" w:hanging="255"/>
        <w:spacing w:after="0" w:line="287"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March 31, 2026, the Company cleared its tower site locations that were associated with its ARO and based on an evaluation of lease terms and site restoration requirements, the Company determined that no additional obligation was required.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9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Intangible assets are wireless licenses that are used to provide the Company with the exclusive right to utilize designated radio frequency spectrum to provide wireless communication services. While licenses are issued for only a fixed time, generally ten years, such licenses are subject to renewal by the FCC. License renewals have occurred routinely and are expensed as incurred. There are currently no legal, regulatory, contractual, competitive, economic or other factors that limit the useful life of the Company’s wireless licenses. As a result, the Company has determined that the wireless licenses should be treated as an indefinite-lived intangible asset. The Company will evaluate the useful life determination for its wireless licenses each year to determine whether events and circumstances continue to support their treatment as an indefinite useful life asset.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Indefinite-Lived Intangible Assets for Impairment</w:t>
      </w:r>
    </w:p>
    <w:p>
      <w:pPr>
        <w:spacing w:after="0" w:line="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The Company determined that its unit of accounting should be based on geographic markets and deal markets. Unit of accounting of wireless licenses not associated with closed deals is based on geographic markets. Unit of accounting of wireless licenses associated with closed deals is based on the deal markets. The Company’s wireless licenses not associated with closed deals are tested for impairment based on the geographic markets, as the Company will be utilizing the existing wireless narrowband licenses, or broadband licenses if applicable, as part of facilitating broadband spectrum networks at a geographic market level. The Company’s wireless licenses associated with closed deals are tested for impairment based at the deal market level. The Company may elect to first perform a qualitative assessment to determine whether it is more likely than not that the fair value of an intangible asset is less than its carrying value. If the Company does not perform the qualitative assessment, or if the qualitative assessment indicates it is more likely than not that the fair value of the intangible asset is less than its carrying amount, the Company will calculate the estimated fair value of the intangible asset. If the estimated fair value of the spectrum licenses is lower than their carrying amount, an impairment loss is recognized. The Company will use a market-based approach or a transaction specific market approach to estimate the fair value of spectrum licenses depending on whether the license is associated with an executed contract with a customer. Under the market-based approach, the fair value of licenses without an executed contract is based on the prevailing 600 MHz auction price as determined by the FCC. Under the transaction-specific market approach, the fair value of licenses with an executed contract is based on cash flows expected to be generated under the contract over its contractual term, as adjusted by a market participant discount rate.</w:t>
      </w:r>
    </w:p>
    <w:p>
      <w:pPr>
        <w:spacing w:after="0" w:line="235"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March 31, 2026, the Company performed a step zero qualitative approach impairment test as of January 1, 2026, for each geographical market or deal market, to test indefinite-lived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Per the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71481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4"/>
          <w:szCs w:val="14"/>
          <w:color w:val="auto"/>
        </w:rPr>
        <w:t>Page 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step zero test, the Company was not required to perform a step one analysis. During the year ended March 31, 2025, the Company performed a step one quantitative approach impairment test as of January 1, 2025, to determine if the fair value of the combined licenses by the associated geographical or deal market exceeds the carrying value for each geographical or deal market. Based on the results of the impairment tests, there were no impairment charges recorded during the years ended March 31, 2026 and 2025. As of March 31, 2026 and 2025, the fair value materially exceeds carrying value of the Company’s intangible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Exchanges of Intangible Assets</w:t>
      </w:r>
    </w:p>
    <w:p>
      <w:pPr>
        <w:spacing w:after="0" w:line="9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At times, the Company enters into agreements to exchange or cancel spectrum licenses. Upon entering into the arrangement, if the transaction has been deemed to have commercial substance, spectrum licenses are reviewed for impairment. The licenses are exchanged or cancelled at their carrying value and adjusted for any gain or loss recognized. Upon receipt of FCC approval, the spectrum licenses acquired as part of an exchange of nonmonetary assets are recorded at their fair value as of the exchange date (i.e., the lower of the 600 MHz auction or estimated contract price). The difference between the fair value of the spectrum licenses obtained, carrying value of the spectrum licenses transferred and cash paid, if any, is recognized as a gain or loss on exchange of spectrum licenses reported separately on the Company’s Consolidated Statements of Operations. For the purpose of the valuation of broadband licenses received in connection with nonmonetary exchanges, the Company utilizes the 600 MHz Auction price per MHzPop, which represents level two of the fair value hierarchy. If the transaction lacks commercial substance or the fair value of the acquired asset cannot be determined, the acquired spectrum licenses are recorded at the carrying value of the spectrum assets transferred, cancelled or exchanged.</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See Note 7 </w:t>
      </w:r>
      <w:r>
        <w:rPr>
          <w:rFonts w:ascii="Times New Roman" w:cs="Times New Roman" w:eastAsia="Times New Roman" w:hAnsi="Times New Roman"/>
          <w:sz w:val="14"/>
          <w:szCs w:val="14"/>
          <w:b w:val="1"/>
          <w:bCs w:val="1"/>
          <w:i w:val="1"/>
          <w:iCs w:val="1"/>
          <w:color w:val="auto"/>
        </w:rPr>
        <w:t>Intangible Assets</w:t>
      </w:r>
      <w:r>
        <w:rPr>
          <w:rFonts w:ascii="Times New Roman" w:cs="Times New Roman" w:eastAsia="Times New Roman" w:hAnsi="Times New Roman"/>
          <w:sz w:val="14"/>
          <w:szCs w:val="14"/>
          <w:color w:val="auto"/>
        </w:rPr>
        <w:t xml:space="preserve"> for a discussion on the Company’s spectrum exchanges during the years ended March 31, 2026 and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Broadband Licenses Held for Sale</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As a result of the Company’s evolved business strategy and the change in the accounting for its spectrum sale agreements, the Company now classifies its broadband licenses associated with signed spectrum sale agreements entered into after December 31, 2025 as held for sale in the period in which all specified GAAP criteria are met. Pursuant to these criteria, the Company classifies its broadband licenses as held for sale upon the completion of the exchange of a narrowband licenses for the broadband license associated with a county included in a signed sale agreement, with an expected closing date within one year. The Company measures its broadband licenses that are held for sale at their fair value as of the classification date, which is the lower of the 600 MHz auction or estimated contract price. Any loss resulting from this measurement is recognized in the period in which the held for sale criteria are met. As of March 31, 2026 and 2025, the Company had no licenses deemed held for sale.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Spectrum Receivable and Deferred Broadband Costs</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Spectrum receivable represents prepayments made to acquire, retune or swap narrowband wireless licenses for cash consideration. The initial deposits to incumbents are recorded as spectrum receivable on the Company’s Consolidated Balance Sheets and are refundable if the FCC does not approve the sale, retuning or swap of the spectrum. Upon closing the associated deal, the costs are transferred to intangible assets on the Company’s Consolidated Balance Sheets for purchases of licenses and to deferred broadband costs on the Company’s Consolidated Balance Sheets for deals related to swap or retuning of narrowband licenses. If it is determined that there is an impairment, the Company will expense the assets to the extent of the potential loss. Upon exchanging the Company’s narrowband licenses for broadband licenses, the Company will transfer the deferred broadband costs to intangible assets.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 and Right of Use Assets Impairment</w:t>
      </w:r>
    </w:p>
    <w:p>
      <w:pPr>
        <w:spacing w:after="0" w:line="9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evaluates long-lived assets and right of use (“ROU”) assets, other than intangible assets with indefinite lives, for impairment whenever events or changes in circumstances indicate that the carrying amount of an asset group may not be recoverable. Asset groups are determined at the lowest level for which identifiable cash flows are largely independent of cash flows of other groups of assets and liabilities. When the carrying amount of the asset groups are not recoverable and exceeds its fair value, an impairment loss is recognized equal to the excess of the asset group’s carrying value over the estimated fair value. There were no impairment charges during the years ended March 31, 2026 and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96"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A Level 1, Level 2 or Level 3 fair value hierarchy is used to categorize fair value amounts depending on the quality of inputs used to measure the fair value. Level 1 fair value derived inputs utilize quoted prices in active markets for identical assets or liabilities. Level 2 fair value derived inputs are based on quoted prices for similar assets and liabilities in active markets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based on inputs other than quoted prices for the assets or liability that are either directly or indirectly observable. Level 3 fair value derived inputs are unobservable for the asset or liability as a result of little, if any, market activity for the asset or liability.</w:t>
      </w:r>
    </w:p>
    <w:p>
      <w:pPr>
        <w:spacing w:after="0" w:line="39"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Company uses appropriate valuation techniques for the fair values of the applicable assets or liabilities based on the available inputs. When available, the Company measures fair value using Level 1 inputs as they generally provide the most reliable evidence of fair value. The inputs may fall into different levels within the hierarchy in some valuations. In these cases, the fair value hierarchy of the asset or liability level is based on the lowest level of input that is significant to the fair value measurements.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96"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The carrying values of the Company’s financial instruments, including cash and cash equivalents, non-trade receivable, escrow deposits, accounts payable and other accrued expenses approximate their fair values.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4"/>
          <w:szCs w:val="14"/>
          <w:color w:val="auto"/>
        </w:rPr>
        <w:t>Leases in which the Company is the lessee are comprised of corporate office space and tower space. All of the leases are classified as operating leases. The Company is obligated under certain lease agreements for office space with lease terms expiring on various dates from June 30, 2027 through January 31, 2029, which includes lease extensions ranging from three to ten-years for its corporate offices. The Company entered into multiple lease agreements for tower space related to its spectrum holdings. These lease expiration dates range from April 8, 2026 to February 28, 2033.</w:t>
      </w:r>
    </w:p>
    <w:p>
      <w:pPr>
        <w:spacing w:after="0" w:line="225"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accordance with Financial Accounting Standards Board, (“FASB”) Accounting Standards Codification,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the Company recognized ROU assets and corresponding lease liabilities on the Company’s Consolidated Balance Sheets for its operating lease agreements with contractual terms greater than 12 months. Lease liabilities are based on the present value of remaining lease payments over the lease term. As the discount rate implied in the Company’s leases is not readily determinable, the present value is calculated using the Company’s incremental borrowing rate, which is estimated to approximate the interest rate on a collateralized basis with similar terms.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Revenues are recognized when a contract with a customer exists and control of the promised goods or services is transferred to the Company’s customers, in an amount that reflects the consideration it expects to be entitled to in exchange for those goods or services.</w:t>
      </w:r>
    </w:p>
    <w:p>
      <w:pPr>
        <w:spacing w:after="0" w:line="3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 xml:space="preserve">A performance obligation is a promise in a contract to transfer a distinct good or service to the customer and is the unit of account in Accounting Standards Codification,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A contract’s transaction price is allocated to each distinct performance obligation and is recognized as revenue when, or as, the performance obligation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satisfied, which typically occurs when the services are rendered. Determining whether products and services are considered distinct performance obligations that should be accounted for separately versus together may require significant judgment. The Company’s contracts with customers may include multiple performance obligations. For such arrangements, the Company allocates revenue to each performance obligation based on its relative standalone selling price. It generally determines standalone selling prices based on the prices charged to customers under contracts involving only the relevant performance obligation. Judgment may be used to determine the standalone selling prices for items that are not sold separately, including services provided at no additional charge. For the Company’s customer agreements, most of the performance obligations involve delivering cleared 900 MHz Broadband Spectrum and the associated broadband license or lease on a county-by-county basis. For broadband license transfers, the performance obligation is satisfied at a point in time when control of the broadband license is transferred to the customer upon delivery. Accordingly, revenue is recognized upon delivery of the broadband license. For broadband spectrum lease arrangements, the performance obligation is satisfied over time as the customer receives the leased spectrum regardless of whether the customer uses the spectrum or not throughout the contractual term. As a result, revenue will be recognized ratably over the contractual term beginning on the date when the Company delivers cleared 900 MHz Broadband Spectrum and the associated broadband leases to the customer on a county-by-county basis.</w:t>
      </w:r>
    </w:p>
    <w:p>
      <w:pPr>
        <w:spacing w:after="0" w:line="6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4"/>
          <w:szCs w:val="14"/>
          <w:color w:val="auto"/>
        </w:rPr>
        <w:t>Since a contract has payment terms that differ from the timing of revenue recognition, the Company will assess whether the transaction price for those contracts include a significant financing component. The Company expects that the period between the transfer of a promised good or service to a customer and the customer payment for that good or service will not constitute a significant financing component. Most of the Company’s spectrum agreements have milestone payments, which align the payment schedule with the clearing and delivery of broadband spectrum. The Company may be entitled to receive an initial deposit, which is not considered a significant financing component because it is used to obtain exclusive rights to the spectrum upon clearing and delivery. As a result, the prepayment structure does not result in a financing component as it mitigates the risk for both parties and secures the exclusive use of the Company’s 900 MHz Broadband 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318135</wp:posOffset>
            </wp:positionV>
            <wp:extent cx="714819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Historically, the Company recognized an asset for the incremental costs of obtaining a contract with a customer if it expects the benefit of those costs to be longer than one year. The Company determined that certain previously paid sales commissions met the requirements to be capitalized and were recorded as an asset upon the Company’s adoption of ASC 606. For the years ended March 31, 2026 and 2025, the Company capitalized commission costs required to obtain long-term 900 MHz Broadband Spectrum lease agreements which will be amortized over the contractual term. Due to the change in commission plan and the Company’s approach to monetizing its spectrum, the Company accelerated the amortization of the outstanding capitalized assets as of March 31, 2026.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records a contract asset when the Company has satisfied a performance obligation but does not yet have an unconditional right to consideration. Contract assets are included in prepaid expenses and other current assets in the Consolidated Balance Sheets. The Company will review the contract asset on a periodic basis to determine if an impairment exists as a result of a potential credit loss exposure. If it is determined that there is an impairment, the Company will expense the contract asset to the extent of the potential credit loss.</w:t>
      </w:r>
    </w:p>
    <w:p>
      <w:pPr>
        <w:spacing w:after="0" w:line="51" w:lineRule="exact"/>
        <w:rPr>
          <w:sz w:val="20"/>
          <w:szCs w:val="20"/>
          <w:color w:val="auto"/>
        </w:rPr>
      </w:pPr>
    </w:p>
    <w:p>
      <w:pPr>
        <w:ind w:right="700" w:firstLine="509"/>
        <w:spacing w:after="0" w:line="287" w:lineRule="auto"/>
        <w:rPr>
          <w:sz w:val="20"/>
          <w:szCs w:val="20"/>
          <w:color w:val="auto"/>
        </w:rPr>
      </w:pPr>
      <w:r>
        <w:rPr>
          <w:rFonts w:ascii="Times New Roman" w:cs="Times New Roman" w:eastAsia="Times New Roman" w:hAnsi="Times New Roman"/>
          <w:sz w:val="14"/>
          <w:szCs w:val="14"/>
          <w:color w:val="auto"/>
        </w:rPr>
        <w:t>Contract liabilities primarily relate to advance consideration received from customers for spectrum services, for which the control of these services has not been transferred to the customer. These contract liabilities are recorded as deferred revenue on the Consolidated Balance Sheets.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Development Costs</w:t>
      </w:r>
    </w:p>
    <w:p>
      <w:pPr>
        <w:spacing w:after="0" w:line="9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charges all product and development costs to expense as incurred. Types of expense incurred in product and development costs include employee compensation, consulting, travel, equipment and technology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and Promotional Expense</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expenses advertising and promotional costs as incurred. Advertising and promotional expense was approximately $56 thousand and $0.1 million for the years ended March 31, 2026 and 2025,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Compensation</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Company accounts for stock options in accordance with U.S. GAAP, which requires the measurement and recognition of compensation expense, based on the estimated fair value of awards granted to employees, directors and consultants. The Company estimates the fair value of share-based awards on the date of grant using an option-valuation models such as Black-Scholes or Monte Carlo. The value of the portion of the award that is ultimately expected to vest is recognized as expense in the Company’s Consolidated Statements of Operations over the requisite service periods. In the event the participant’s employment by or engagement with (as a director or otherwise) the Company terminates before exercise of the options granted, the stock options granted to the participant shall immediately expire and all rights to purchase shares thereunder shall immediately cease and expire and be of no further force or effect, other than applicable exercise rights for vested shares that may extend past the termination date as provided for in the participant’s applicable option award agreement. Additionally, the Company’s Compensation Committee (the “Compensation Committee”) adopted an Executive Severance Plan (the “Severance Plan”) in February 2015, and as most recently amended in December 2024, and the Company subsequently entered into Severance Plan Participation Agreements with its executive officers. In addition to providing participants with severance payments, the Severance Plan provides for accelerated vesting and extends the exercise period for outstanding equity awards if the Company terminates a participant’s service for reasons other than cause, death or disability or the participant terminates his or her service for good reason, whether before or after a change of control (each of such terms as defined in the Severance Plan). In addition to the Severance Plan, the equity awards issued to the Company’s President and Chief Executive Officer provide for accelerated vesting upon termination of service for reasons other than cause or a resignation for good reason; involuntary termination in connection with a change in control; or a change in control with a purchase price at or above $100 per share (each of such terms defined in the equity award agreements).</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To calculate option-based compensation, the Company uses the Black-Scholes option valuation model. The compensation cost for the stock options with a graded vesting schedule is recognized using an accelerated method over the explicit vesting period. Stock options have a maximum term of ten years from the date they are granted, and vest over a requisite service period of three years, or four years for grants prior to July 2023, subject to acceleration in certain circumstances. The Company’s determination of fair value of option-based awards on the date of grant using the Black-Scholes model is affected by assumptions regarding a number of subjective variables. These variables include the expected volatility of the Company’s stock price, which is based on the weighted-average historical volatility of its stock, expected term, which is based on option history with adjustments for vesting schedule and contractual terms, risk-free interest rate, which is based on the treasury zero-coupon yield appropriate for the term of the option-based award as of the grant date; and expected dividends as applicable, which is zero, as the Company has never paid any cash dividends. Any future determination to pay dividends will be at the discretion of the Board and will depend on the Company’s financial condition, results of operations,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714819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requirements, restrictions contained in any financing instruments and such other factors as the Board deems relevant in its sole discretion. Therefore, the Company uses an expected dividend yield of zero in the option-pricing model.</w:t>
      </w:r>
    </w:p>
    <w:p>
      <w:pPr>
        <w:spacing w:after="0" w:line="3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fair value of restricted stock, restricted stock units and performance units without market conditions are measured based upon the quoted closing market price for the stock on the date of grant. The compensation cost for the restricted stock and restricted stock units is recognized on a straight-line basis over the explicit vesting period. Restricted stock granted to the Company employees vest over a requisite services period of three years, or four years for grants prior to July 2023, subject to acceleration in certain circumstances. Vested restricted stock units are settled and issuable upon the earlier of the date the employee ceases to be an employee of the Company or a date certain in the future. The compensation cost for the performance units without market conditions is recognized ratably over the service period if it is probable that the performance conditions will be met.</w:t>
      </w:r>
    </w:p>
    <w:p>
      <w:pPr>
        <w:spacing w:after="0" w:line="5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uses a Monte Carlo simulation model to determine the fair value of performance units with market conditions at grant date. The Monte Carlo simulation model is based on a discounted cash flow approach, with the simulation of a large number of possible stock price outcomes for the Company’s stock and the target composite index. The use of the Monte Carlo simulation model requires the input of a number of assumptions including expected volatility of the Company’s stock price, which is based on the weighted-average historical volatility of its stock; correlation between changes in the Company’s stock price and changes in the target composite index, which is based on the historical relationship between the Company’s stock price and the target composite index average; risk-free interest rate, which is based on the treasury zero-coupon yield appropriate for the term of the performance unit as of the grant date; and expected dividends as applicable, which is zero, as the Company has never paid any cash dividends. Any future determination to pay dividends will be at the discretion of the Board and will depend on the Company’s financial condition, results of operations, capital requirements, restrictions contained in any financing instruments and such other factors as the Board deems relevant in its sole discretion. Therefore, the Company has used an expected dividend yield of zero in the Monte Carlo simulation model. The compensation cost for the performance units with market condition is recognized ratably over the service period.</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tax benefits have been attributed to the share-based compensation expense because the Company maintains a full valuation allowance for all net deferred tax assets.</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All excess tax benefits and tax deficiencies, including tax benefits of dividends on share-based payment awards, are recognized as income tax expense or benefit in the Company’s Consolidated Statements of Operations, eliminating the notion of the additional paid-in capital (“APIC”) pool. The excess tax benefits are classified as operating activities along with other income tax cash flows rather than financing activities in the Company’s Consolidated Statements of Cash Flows. The tax effects of exercised or vested awards are treated as discrete items in the reporting period in which they occur. Cash payments to tax authorities in connection with shares withheld to meet statutory tax withholding requirements are presented as a financing activity in the statement of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Retirement of common stock</w:t>
      </w:r>
    </w:p>
    <w:p>
      <w:pPr>
        <w:spacing w:after="0" w:line="96"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From time to time, the Company may acquire its common stock through share repurchases or option exercise swaps and return these shares to authorized and unissued. If the Company elects to retire these shares, the Company’s policy is to allocate a portion of the repurchase price to par value of common stock with the excess over par value allocated to accumulated deficit.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Company utilizes the asset and liability method of accounting for income taxes. Under this method, deferred tax assets and liabilities are recognized for the expected future tax consequences of temporary differences between the carrying amounts and the tax bases of assets and liabilities as well as from net operating loss and tax credit carryforwards. The effect on deferred tax assets and liabilities of a change in tax rates is recognized in operations in the period that includes the enactment date. A valuation allowance is established when it is estimated that it is more likely than not that the tax benefit of a deferred tax asset will not be realized.</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valuation allowance for the years ended March 31, 2026 and 2025 are summarized below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year</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90,278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89,742</w:t>
            </w: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Charged to costs and expenses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net loss carryforward and other</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the year</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71,136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90,278</w:t>
            </w: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438150</wp:posOffset>
            </wp:positionV>
            <wp:extent cx="71481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Uncertainty in Income Taxes</w:t>
      </w:r>
    </w:p>
    <w:p>
      <w:pPr>
        <w:spacing w:after="0" w:line="9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Company recognizes the effect of tax positions only when they are more likely than not to be sustained. Management has determined that the Company had no uncertain tax positions that would require financial statement recognition or disclosure. The Company is no longer subject to U.S. federal, state or local income tax examinations for periods prior to 2019. When applicable, the Company recognizes interest and penalties related to unrecognized tax benefits as a component of income tax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 of Common Stock</w:t>
      </w:r>
    </w:p>
    <w:p>
      <w:pPr>
        <w:spacing w:after="0" w:line="96"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Basic net income (loss) per common share is calculated by dividing the net income (loss) attributable to common stockholders by the weighted-average number of common shares outstanding during the period, without consideration for potentially dilutive securities. For purposes of the diluted net income (loss) per share calculation, stock options, restricted stock units and awards are considered to be potentially dilutive securities. Diluted earnings per share is computed using the treasury stock method.</w:t>
      </w:r>
    </w:p>
    <w:p>
      <w:pPr>
        <w:spacing w:after="0" w:line="5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For the year ended March 31, 2026, there were 1,975,287 stock options and restricted stock units outstanding, excluded from the calculation of diluted weighted-average shares because the effect was anti-dilutive. For the year ended March 31, 2025, the Company reported a net loss, accordingly, diluted net loss per common share is the same as basic net loss per common share. Common stock equivalents resulting from potentially dilutive securities approximated 221,802 at March 31, 2025 and have not been included in the diluted weighted average shares of common stock outstanding, as their effects are anti-dilutive.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96"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In October 2023, the FASB issued Accounting Standards Updates (“ASU”) 2023-06, Disclosure Improvements: Codification Amendment in Response to the SEC’s Disclosure Update and Simplification Initiative. The ASU 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As the Company is currently subject to the SEC requirements, this ASU is not expected to have a material impact on its consolidated financial statements or related disclosures.</w:t>
      </w:r>
    </w:p>
    <w:p>
      <w:pPr>
        <w:spacing w:after="0" w:line="5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and subsequently amended with ASU 2025-01, which was issued in January 2025. This update requires public business entities to disclose, on an annual and interim basis, disaggregated information about certain income statement expense line items in the notes to the financial statements. This update is effective for annual periods beginning after December 15, 2026, and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In December 2025, the FASB issued ASU 2025-11, Interim Reporting (Topic 270): Narrow-Scope Improvements. This update improves the navigability and applicability of the required interim disclosures. This update provides additional guidance on what disclosures should be provided in interim reporting periods and requires public business entities to disclose events since the end of the last annual reporting period that have a material impact on the entity. This update is effective for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spacing w:after="0" w:line="1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2025-12, Codification Improvements. The amendments in this ASU include technical corrections and other amendments intended to clarify and improve the Accounting Standards Codification across various topics. The amendments related to Accounting Standards Codification,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(“ASC 260”) are required to be applied retrospectively, while all other amendments may be applied either prospectively or retrospectively. This update is effective for annual periods beginning after December 15, 2026, and interim periods within those annual periods. Early adoption is permitted and should be applied either prospectively or retroactively. The Company is currently evaluating the impact of the new standard on the Company’s consolidated financial statements and related disclosures.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4"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Improvements to Income Tax Disclosures, which enhances transparency about income tax information through improvements to income tax disclosures primarily related to the rate reconciliation and income taxes paid and to improve the effectiveness of income tax disclosures. This update is effective for annual periods beginning after December 15, 2024. The Company adopted ASU 2023-09 in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 xml:space="preserve">2026 on a prospective basis. The adoption did not have a material impact on the Company’s consolidated financial statements but resulted in expanded disclosures within the income tax footnote. See Note 12 </w:t>
      </w:r>
      <w:r>
        <w:rPr>
          <w:rFonts w:ascii="Times New Roman" w:cs="Times New Roman" w:eastAsia="Times New Roman" w:hAnsi="Times New Roman"/>
          <w:sz w:val="14"/>
          <w:szCs w:val="14"/>
          <w:b w:val="1"/>
          <w:bCs w:val="1"/>
          <w:i w:val="1"/>
          <w:iCs w:val="1"/>
          <w:color w:val="auto"/>
        </w:rPr>
        <w:t>Income Taxes</w:t>
      </w:r>
      <w:r>
        <w:rPr>
          <w:rFonts w:ascii="Times New Roman" w:cs="Times New Roman" w:eastAsia="Times New Roman" w:hAnsi="Times New Roman"/>
          <w:sz w:val="14"/>
          <w:szCs w:val="14"/>
          <w:color w:val="auto"/>
        </w:rPr>
        <w:t xml:space="preserve"> for further information.</w:t>
      </w:r>
    </w:p>
    <w:p>
      <w:pPr>
        <w:spacing w:after="0" w:line="3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 March 2024, the FASB issued ASU 2024-02, Codification Improvements: this Codification amendment was issued to remove references to various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ASU 2024-02 are not intended to result in significant accounting changes for most entities and are not expected to have a material impact on the Company’s consolidated financial statements or related disclosures. This update is effective for annual periods beginning after December 15, 2024. The Company adopted ASU 2024-02 during fiscal 2026. The adoption did not have a material impact on the Company’s consolidated financial statements or disclosures.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information regarding the Company’s revenue for each of the services it provides pursuant to its spectrum revenue agreements for the years ended March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 and 2025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Spectrum revenue</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792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900 MHz Broadband Spectrum Revenue</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Ameren Corporation</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180"/>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Evergy</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8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Xcel Energy</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r>
      <w:tr>
        <w:trPr>
          <w:trHeight w:val="180"/>
        </w:trPr>
        <w:tc>
          <w:tcPr>
            <w:tcW w:w="79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TECO </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Narrowband Spectrum Revenue</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79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Motorola </w:t>
            </w:r>
            <w:r>
              <w:rPr>
                <w:rFonts w:ascii="Times New Roman" w:cs="Times New Roman" w:eastAsia="Times New Roman" w:hAnsi="Times New Roman"/>
                <w:sz w:val="18"/>
                <w:szCs w:val="18"/>
                <w:color w:val="auto"/>
                <w:vertAlign w:val="superscript"/>
              </w:rPr>
              <w:t>(2)</w:t>
            </w:r>
          </w:p>
        </w:tc>
        <w:tc>
          <w:tcPr>
            <w:tcW w:w="10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171"/>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spectrum revenue</w:t>
            </w:r>
          </w:p>
        </w:tc>
        <w:tc>
          <w:tcPr>
            <w:tcW w:w="102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r>
    </w:tbl>
    <w:p>
      <w:pPr>
        <w:spacing w:after="0" w:line="49" w:lineRule="exact"/>
        <w:rPr>
          <w:sz w:val="20"/>
          <w:szCs w:val="20"/>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commenced revenue recognition in connection with the delivery of cleared 900 MHz Broadband Spectrum and the associated broadband licenses to TECO in June 2025.</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Company recognized all the revenue associated with the 2014 Motorola spectrum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900 MHz Broadband Spectrum Lease Agreements</w:t>
      </w:r>
    </w:p>
    <w:p>
      <w:pPr>
        <w:spacing w:after="0" w:line="96" w:lineRule="exact"/>
        <w:rPr>
          <w:sz w:val="20"/>
          <w:szCs w:val="20"/>
          <w:color w:val="auto"/>
        </w:rPr>
      </w:pPr>
    </w:p>
    <w:p>
      <w:pPr>
        <w:ind w:right="7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regarding the Company’s spectrum lease agreements (as defined in the table below and collectively referred to as the “Spectrum Lease Agreements”) as of March 31, 2026: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Lease Agreements </w:t>
            </w:r>
            <w:r>
              <w:rPr>
                <w:rFonts w:ascii="Times New Roman" w:cs="Times New Roman" w:eastAsia="Times New Roman" w:hAnsi="Times New Roman"/>
                <w:sz w:val="18"/>
                <w:szCs w:val="18"/>
                <w:b w:val="1"/>
                <w:bCs w:val="1"/>
                <w:color w:val="auto"/>
                <w:vertAlign w:val="superscript"/>
              </w:rPr>
              <w:t>(1)</w:t>
            </w:r>
          </w:p>
        </w:tc>
        <w:tc>
          <w:tcPr>
            <w:tcW w:w="1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Initial Term</w:t>
            </w: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Renewal Options</w:t>
            </w:r>
          </w:p>
        </w:tc>
        <w:tc>
          <w:tcPr>
            <w:tcW w:w="1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Consideration </w:t>
            </w:r>
            <w:r>
              <w:rPr>
                <w:rFonts w:ascii="Times New Roman" w:cs="Times New Roman" w:eastAsia="Times New Roman" w:hAnsi="Times New Roman"/>
                <w:sz w:val="18"/>
                <w:szCs w:val="18"/>
                <w:b w:val="1"/>
                <w:bCs w:val="1"/>
                <w:color w:val="auto"/>
                <w:vertAlign w:val="superscript"/>
              </w:rPr>
              <w:t>(2)</w:t>
            </w: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1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 Remaining</w:t>
            </w:r>
          </w:p>
        </w:tc>
      </w:tr>
      <w:tr>
        <w:trPr>
          <w:trHeight w:val="17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Ameren Corporation (“Ameren”)</w:t>
            </w:r>
          </w:p>
        </w:tc>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December 2020</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30 - years</w:t>
            </w:r>
          </w:p>
        </w:tc>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10 - years</w:t>
            </w:r>
          </w:p>
        </w:tc>
        <w:tc>
          <w:tcPr>
            <w:tcW w:w="1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$47.7 million</w:t>
            </w:r>
          </w:p>
        </w:tc>
        <w:tc>
          <w:tcPr>
            <w:tcW w:w="1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$31.4 million</w:t>
            </w:r>
          </w:p>
        </w:tc>
        <w:tc>
          <w:tcPr>
            <w:tcW w:w="164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4"/>
                <w:szCs w:val="14"/>
                <w:color w:val="auto"/>
              </w:rPr>
              <w:t xml:space="preserve">$16.3 million </w:t>
            </w:r>
            <w:r>
              <w:rPr>
                <w:rFonts w:ascii="Times New Roman" w:cs="Times New Roman" w:eastAsia="Times New Roman" w:hAnsi="Times New Roman"/>
                <w:sz w:val="18"/>
                <w:szCs w:val="18"/>
                <w:color w:val="auto"/>
                <w:vertAlign w:val="superscript"/>
              </w:rPr>
              <w:t>(3)</w:t>
            </w: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Services, Inc. (“Evergy”)</w:t>
            </w:r>
          </w:p>
        </w:tc>
        <w:tc>
          <w:tcPr>
            <w:tcW w:w="1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September 2021</w:t>
            </w: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$30.2 million</w:t>
            </w:r>
          </w:p>
        </w:tc>
        <w:tc>
          <w:tcPr>
            <w:tcW w:w="1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$30.2 million</w:t>
            </w:r>
          </w:p>
        </w:tc>
        <w:tc>
          <w:tcPr>
            <w:tcW w:w="1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Xcel Energy Services Inc. (“Xcel Energy”)</w:t>
            </w:r>
          </w:p>
        </w:tc>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October 2022</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$80.0 million</w:t>
            </w:r>
          </w:p>
        </w:tc>
        <w:tc>
          <w:tcPr>
            <w:tcW w:w="1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$76.0 million</w:t>
            </w:r>
          </w:p>
        </w:tc>
        <w:tc>
          <w:tcPr>
            <w:tcW w:w="16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$4.0 million </w:t>
            </w:r>
            <w:r>
              <w:rPr>
                <w:rFonts w:ascii="Times New Roman" w:cs="Times New Roman" w:eastAsia="Times New Roman" w:hAnsi="Times New Roman"/>
                <w:sz w:val="18"/>
                <w:szCs w:val="18"/>
                <w:color w:val="auto"/>
                <w:vertAlign w:val="superscript"/>
              </w:rPr>
              <w:t>(4)</w:t>
            </w: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Tampa Electric Company (“TECO”)</w:t>
            </w:r>
          </w:p>
        </w:tc>
        <w:tc>
          <w:tcPr>
            <w:tcW w:w="1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November 2023</w:t>
            </w: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20 - years</w:t>
            </w: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 x 10 - years</w:t>
            </w:r>
          </w:p>
        </w:tc>
        <w:tc>
          <w:tcPr>
            <w:tcW w:w="1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$34.5 million</w:t>
            </w:r>
          </w:p>
        </w:tc>
        <w:tc>
          <w:tcPr>
            <w:tcW w:w="1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$34.5 million</w:t>
            </w:r>
          </w:p>
        </w:tc>
        <w:tc>
          <w:tcPr>
            <w:tcW w:w="1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226" w:lineRule="exact"/>
        <w:rPr>
          <w:sz w:val="20"/>
          <w:szCs w:val="20"/>
          <w:color w:val="auto"/>
        </w:rPr>
      </w:pPr>
    </w:p>
    <w:p>
      <w:pPr>
        <w:ind w:left="260" w:right="420" w:hanging="255"/>
        <w:spacing w:after="0" w:line="249"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Lease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ind w:left="260" w:right="160" w:hanging="255"/>
        <w:spacing w:after="0" w:line="237"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ASC 606, the payments of prepaid fees under the spectrum lease agreements will be accounted for as deferred revenue on the Company’s Consolidated Balance Sheets. Revenue is recognized over time as the performance obligations of clearing the 900 MHz Broadband Spectrum and the associated broadband leases are delivered by the respective county, over the contractual term.</w:t>
      </w:r>
    </w:p>
    <w:p>
      <w:pPr>
        <w:ind w:left="260" w:right="140" w:hanging="255"/>
        <w:spacing w:after="0" w:line="247"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payments of $16.3 million, excluding potential penalties, for the 30-year initial term are due by mid-2026, per the terms of the Ameren Agreements and as the Company delivers the relevant cleared 900 MHz Broadband Spectrum and the associated broadband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4819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260" w:right="20" w:hanging="255"/>
        <w:spacing w:after="0" w:line="271"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payments of $4.0 million, excluding potential penalties, for the 20-year initial term are due by mid-2028, per the terms of the Xcel Energy Agreement and as the Company delivers the relevant cleared 900 MHz Broadband Spectrum and the associated broadband leases.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900 MHz Broadband Spectrum Sale Agreements</w:t>
      </w:r>
    </w:p>
    <w:p>
      <w:pPr>
        <w:spacing w:after="0" w:line="96"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 xml:space="preserve">As a result of the Company’s business strategy evolution and the introduction of the Company’s new brand and visual identity in the fourth quarter of fiscal 2026, as described in the Note 2 </w:t>
      </w:r>
      <w:r>
        <w:rPr>
          <w:rFonts w:ascii="Times New Roman" w:cs="Times New Roman" w:eastAsia="Times New Roman" w:hAnsi="Times New Roman"/>
          <w:sz w:val="14"/>
          <w:szCs w:val="14"/>
          <w:b w:val="1"/>
          <w:bCs w:val="1"/>
          <w:i w:val="1"/>
          <w:iCs w:val="1"/>
          <w:color w:val="auto"/>
        </w:rPr>
        <w:t>Summary of Significant Accounting Policies</w:t>
      </w:r>
      <w:r>
        <w:rPr>
          <w:rFonts w:ascii="Times New Roman" w:cs="Times New Roman" w:eastAsia="Times New Roman" w:hAnsi="Times New Roman"/>
          <w:sz w:val="14"/>
          <w:szCs w:val="14"/>
          <w:color w:val="auto"/>
        </w:rPr>
        <w:t>, sale agreements entered into in subsequent to this shift are considered completed in the ordinary course of business and are included as revenue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agreements.</w:t>
      </w:r>
    </w:p>
    <w:p>
      <w:pPr>
        <w:spacing w:after="0" w:line="5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regarding the Company’s spectrum sale agreements entered into after December 2025 (as defined in the table below and collectively referred to as the “Spectrum Sale Agreements”) as of March 31,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0" w:type="dxa"/>
            <w:vAlign w:val="bottom"/>
          </w:tcPr>
          <w:p>
            <w:pPr>
              <w:spacing w:after="0"/>
              <w:rPr>
                <w:sz w:val="1"/>
                <w:szCs w:val="1"/>
                <w:color w:val="auto"/>
              </w:rPr>
            </w:pPr>
          </w:p>
        </w:tc>
      </w:tr>
      <w:tr>
        <w:trPr>
          <w:trHeight w:val="13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Sale Agreements </w:t>
            </w:r>
            <w:r>
              <w:rPr>
                <w:rFonts w:ascii="Times New Roman" w:cs="Times New Roman" w:eastAsia="Times New Roman" w:hAnsi="Times New Roman"/>
                <w:sz w:val="18"/>
                <w:szCs w:val="18"/>
                <w:b w:val="1"/>
                <w:bCs w:val="1"/>
                <w:color w:val="auto"/>
                <w:vertAlign w:val="superscript"/>
              </w:rPr>
              <w:t>(1)</w:t>
            </w:r>
          </w:p>
        </w:tc>
        <w:tc>
          <w:tcPr>
            <w:tcW w:w="13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1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Total Consideration </w:t>
            </w:r>
            <w:r>
              <w:rPr>
                <w:rFonts w:ascii="Times New Roman" w:cs="Times New Roman" w:eastAsia="Times New Roman" w:hAnsi="Times New Roman"/>
                <w:sz w:val="18"/>
                <w:szCs w:val="18"/>
                <w:b w:val="1"/>
                <w:bCs w:val="1"/>
                <w:color w:val="auto"/>
                <w:vertAlign w:val="superscript"/>
              </w:rPr>
              <w:t>(2)</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2420" w:type="dxa"/>
            <w:vAlign w:val="bottom"/>
          </w:tcPr>
          <w:p>
            <w:pPr>
              <w:ind w:left="1600"/>
              <w:spacing w:after="0" w:line="138"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300" w:type="dxa"/>
            <w:vAlign w:val="bottom"/>
          </w:tcPr>
          <w:p>
            <w:pPr>
              <w:spacing w:after="0"/>
              <w:rPr>
                <w:sz w:val="11"/>
                <w:szCs w:val="11"/>
                <w:color w:val="auto"/>
              </w:rPr>
            </w:pPr>
          </w:p>
        </w:tc>
        <w:tc>
          <w:tcPr>
            <w:tcW w:w="1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remaining   delivered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 (“CPS”)</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January 2026</w:t>
            </w:r>
          </w:p>
        </w:tc>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$13.0 million</w:t>
            </w:r>
          </w:p>
        </w:tc>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$6.5 million</w:t>
            </w:r>
          </w:p>
        </w:tc>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$6.5 million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Texas-New Mexico Power Company (“TNMP”)</w:t>
            </w:r>
          </w:p>
        </w:tc>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March 2026</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$3.2 million</w:t>
            </w:r>
          </w:p>
        </w:tc>
        <w:tc>
          <w:tcPr>
            <w:tcW w:w="1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 million</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NorthWestern Energy (“NWE”)</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March 2026</w:t>
            </w:r>
          </w:p>
        </w:tc>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$7.7 million</w:t>
            </w:r>
          </w:p>
        </w:tc>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$7.7 million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right="20" w:hanging="255"/>
        <w:spacing w:after="0" w:line="249"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ind w:left="260" w:right="480" w:hanging="255"/>
        <w:spacing w:after="0" w:line="247"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ASC 606, the payments of prepaid fees under the spectrum sale agreements will be accounted for as deferred revenue on the Company’s Consolidated Balance Sheets. Revenue will be recognized for each county once we deliver the cleared 900 MHz Broadband Spectrum and the associated broadband licenses.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Narrowband Spectrum Revenue</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September 2014, Motorola paid the Company an upfront, fully paid fee of $7.5 million in order to use a portion of the Company’s narrowband spectrum licenses. The payment of the fee is accounted for as deferred revenue on the Company’s Consolidated Balance Sheets and is recognized ratably as the service is provided over the contractual term of approximately ten years. As of December 31, 2024, the Company recognized all the revenue associated with the 2014 Motorola spectrum agreement</w:t>
      </w:r>
      <w:r>
        <w:rPr>
          <w:rFonts w:ascii="Times New Roman" w:cs="Times New Roman" w:eastAsia="Times New Roman" w:hAnsi="Times New Roman"/>
          <w:sz w:val="14"/>
          <w:szCs w:val="14"/>
          <w:i w:val="1"/>
          <w:i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Contract Costs</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capitalizes incremental costs associated with obtaining a spectrum agreement with a customer, which generally includes sales commissions. Capitalized incremental costs are amortized over the contractual term beginning on the first delivery of a broadband lease. The Company’s capitalized contract costs consisted of the following activity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the beginning of the year</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r>
      <w:tr>
        <w:trPr>
          <w:trHeight w:val="180"/>
        </w:trPr>
        <w:tc>
          <w:tcPr>
            <w:tcW w:w="8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8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8"/>
                <w:szCs w:val="18"/>
                <w:color w:val="auto"/>
                <w:vertAlign w:val="superscript"/>
              </w:rPr>
              <w:t>(1)</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the end of the year</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180"/>
        </w:trPr>
        <w:tc>
          <w:tcPr>
            <w:tcW w:w="8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Less amount classified as current assets </w:t>
            </w:r>
            <w:r>
              <w:rPr>
                <w:rFonts w:ascii="Times New Roman" w:cs="Times New Roman" w:eastAsia="Times New Roman" w:hAnsi="Times New Roman"/>
                <w:sz w:val="18"/>
                <w:szCs w:val="18"/>
                <w:color w:val="auto"/>
                <w:vertAlign w:val="superscript"/>
              </w:rPr>
              <w:t>(2)</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71"/>
        </w:trPr>
        <w:tc>
          <w:tcPr>
            <w:tcW w:w="81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Noncurrent assets </w:t>
            </w:r>
            <w:r>
              <w:rPr>
                <w:rFonts w:ascii="Times New Roman" w:cs="Times New Roman" w:eastAsia="Times New Roman" w:hAnsi="Times New Roman"/>
                <w:sz w:val="18"/>
                <w:szCs w:val="18"/>
                <w:color w:val="auto"/>
                <w:vertAlign w:val="superscript"/>
              </w:rPr>
              <w:t>(2)</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60" w:right="180" w:hanging="255"/>
        <w:spacing w:after="0" w:line="263"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change in commission plan and the Company’s approach to monetizing its spectrum, the Company accelerated the amortization of approximately $0.9 million of certain outstanding capitalized assets as of March 31, 2026.</w:t>
      </w: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assets are recorded as prepaid expenses and other current assets and noncurrent assets are recorded as other assets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753745</wp:posOffset>
            </wp:positionV>
            <wp:extent cx="714819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9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Contract liabilities primarily relate to advanced consideration received from customers in connection with spectrum revenue agreements, for which revenue is recognized over the term of each delivered broadband lease. The Company’s contract liabilities consisted of the following activity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the beginning of the year</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122,212</w:t>
            </w:r>
          </w:p>
        </w:tc>
      </w:tr>
      <w:tr>
        <w:trPr>
          <w:trHeight w:val="180"/>
        </w:trPr>
        <w:tc>
          <w:tcPr>
            <w:tcW w:w="8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Net additions </w:t>
            </w:r>
            <w:r>
              <w:rPr>
                <w:rFonts w:ascii="Times New Roman" w:cs="Times New Roman" w:eastAsia="Times New Roman" w:hAnsi="Times New Roman"/>
                <w:sz w:val="18"/>
                <w:szCs w:val="18"/>
                <w:color w:val="auto"/>
                <w:vertAlign w:val="superscript"/>
              </w:rPr>
              <w:t>(1)</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w:t>
            </w:r>
          </w:p>
        </w:tc>
      </w:tr>
      <w:tr>
        <w:trPr>
          <w:trHeight w:val="18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 recognized</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the end of the year</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124,672</w:t>
            </w:r>
          </w:p>
        </w:tc>
      </w:tr>
      <w:tr>
        <w:trPr>
          <w:trHeight w:val="180"/>
        </w:trPr>
        <w:tc>
          <w:tcPr>
            <w:tcW w:w="8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Less amount classified as current liabilities </w:t>
            </w:r>
            <w:r>
              <w:rPr>
                <w:rFonts w:ascii="Times New Roman" w:cs="Times New Roman" w:eastAsia="Times New Roman" w:hAnsi="Times New Roman"/>
                <w:sz w:val="18"/>
                <w:szCs w:val="18"/>
                <w:color w:val="auto"/>
                <w:vertAlign w:val="superscript"/>
              </w:rPr>
              <w:t>(2)</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r>
      <w:tr>
        <w:trPr>
          <w:trHeight w:val="171"/>
        </w:trPr>
        <w:tc>
          <w:tcPr>
            <w:tcW w:w="81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Noncurrent liabilities </w:t>
            </w:r>
            <w:r>
              <w:rPr>
                <w:rFonts w:ascii="Times New Roman" w:cs="Times New Roman" w:eastAsia="Times New Roman" w:hAnsi="Times New Roman"/>
                <w:sz w:val="18"/>
                <w:szCs w:val="18"/>
                <w:color w:val="auto"/>
                <w:vertAlign w:val="superscript"/>
              </w:rPr>
              <w:t>(2)</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146,665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118,577</w:t>
            </w: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milestone payments received from customer contracts pursuant to the terms of the associated spectrum revenue agreements, net of delivery delay adjustments.</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liabilities and noncurrent liabilities are recorded as deferred revenue on the Company’s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Revenue allocated to remaining performance obligations of the Company’s contracts represents contracted revenue that will be recognized in future periods. Total performance obligations include deferred revenue (i.e., contract liabilities) as well as amounts that will be invoiced and recognized in future periods. Revenue allocated to remaining performance obligations was $198.9 million as of March 31, 2026, which will be recognized over the remaining contract terms up to 30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Segment Reporting</w:t>
      </w:r>
    </w:p>
    <w:p>
      <w:pPr>
        <w:spacing w:after="0" w:line="83"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color w:val="auto"/>
        </w:rPr>
        <w:t xml:space="preserve">Accounting Standards Codification,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(“ASC 280”) defines operating segments as components of an enterprise for which separate financial information is available that is regularly evaluated by the Company’s CODM in deciding how to allocate resources and assess performance. The accounting policies of the segment are the same as those described in Note 2</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7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measure of segment profit or loss for the Company’s single segment is net income (loss). Additionally, the CODM uses cash and cash equivalents as a measure of segment assets, which is included on the Company’s consolidated financial statements. Cash and cash equivalents and Net income (loss) are reviewed and monitored by CODM to ensure enough capital is available for investing in purchases of intangible assets, refundable deposits, retuning costs and swaps, and the Company’s share repurchase program. Segment expenses were disaggregated based on the information the CODM is provided on a quarterly basis considering both quantitative and qualitative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714819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significant segment expenses and other items, which represent the difference between segment revenue and segment net income (loss)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Spectrum revenue</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segment expenses and other segment items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general and administrative </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30,654</w:t>
            </w:r>
          </w:p>
        </w:tc>
      </w:tr>
      <w:tr>
        <w:trPr>
          <w:trHeight w:val="180"/>
        </w:trPr>
        <w:tc>
          <w:tcPr>
            <w:tcW w:w="81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sales and support </w:t>
            </w:r>
            <w:r>
              <w:rPr>
                <w:rFonts w:ascii="Times New Roman" w:cs="Times New Roman" w:eastAsia="Times New Roman" w:hAnsi="Times New Roman"/>
                <w:sz w:val="18"/>
                <w:szCs w:val="18"/>
                <w:color w:val="auto"/>
                <w:vertAlign w:val="superscript"/>
              </w:rPr>
              <w:t>(2)</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r>
      <w:tr>
        <w:trPr>
          <w:trHeight w:val="180"/>
        </w:trPr>
        <w:tc>
          <w:tcPr>
            <w:tcW w:w="8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Adjusted product development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exchange of intangible assets, net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(22,799)</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intangible assets, net</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180"/>
        </w:trPr>
        <w:tc>
          <w:tcPr>
            <w:tcW w:w="81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(4)</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16,269</w:t>
            </w: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right="420" w:hanging="255"/>
        <w:spacing w:after="0" w:line="263"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general and administrative includes expenses related to certain corporate functions, such as, executive, legal, finance, information technology, human resources and others, public company costs, bonus expense for all employees, insurance costs and other costs.</w:t>
      </w: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sales and support includes expenses related to sales and marketing functions.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product development includes expenses related to technology and product development functions.</w:t>
      </w:r>
    </w:p>
    <w:p>
      <w:pPr>
        <w:spacing w:after="0" w:line="8" w:lineRule="exact"/>
        <w:rPr>
          <w:rFonts w:ascii="Times New Roman" w:cs="Times New Roman" w:eastAsia="Times New Roman" w:hAnsi="Times New Roman"/>
          <w:sz w:val="14"/>
          <w:szCs w:val="14"/>
          <w:color w:val="auto"/>
        </w:rPr>
      </w:pPr>
    </w:p>
    <w:p>
      <w:pPr>
        <w:ind w:left="260" w:right="180" w:hanging="255"/>
        <w:spacing w:after="0" w:line="266"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items not deemed significant or regularly provided to the CODM, such as severance and other related charges, stock compensation and loss from disposal of long-lived assets.</w:t>
      </w:r>
    </w:p>
    <w:p>
      <w:pPr>
        <w:spacing w:after="0" w:line="51"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Escrow Deposits</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Escrow deposits are considered restricted cash as the deposits are restricted from use until the terms of the escrow agreement are met. Restricted cash is recorded as escrow deposits and a contingent liability on the Company’s Consolidated Balance Sheets. A reduction in the contingent liability and escrow deposits will be recognized for each county as the Company delivers the cleared 900 MHz Broadband Spectrum and the associated broadband licenses. Escrow deposits classified as current assets on the Company’s Consolidated Balance Sheets are related to the portion of the obligations of the escrow agreement that are expected to be met within a twelve-month period beginning March 31, 2026. Obligations not expected to be completed within this twelve-month period are classified as non-current assets.</w:t>
      </w:r>
    </w:p>
    <w:p>
      <w:pPr>
        <w:spacing w:after="0" w:line="58"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the Lower Colorado River Authority Agreement in April 2023 (the “LCRA Agreement”), the Company and Lower Colorado River Authority (“LCRA”) entered into an escrow agreement. Pursuant to the escrow agreement, the escrow funds deposited from LCRA payments to the Company shall be held and invested in a money market deposit account. All interest and other income earned shall be allocated to the Company, payable with the final distribution of the escrow funds. The escrow funds shall be distributed upon written request by both the Company and LCRA pursuant to the terms within the Original LCRA Agreement. In December 2023, the Company received $15.0 million, of which $7.5 million was deposited in an escrow account. As of March 31, 2026, the Company has classified $0.4 million as short-term deposits on the Consolidated Balance Sheets, inclusive of accrued interest and escrow releases for delivered 900 MHz Broadband Spectrum and the associated broadband licenses.</w:t>
      </w:r>
    </w:p>
    <w:p>
      <w:pPr>
        <w:spacing w:after="0" w:line="6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In June 2025, the Company entered into an agreement with an incumbent to retune and acquire wireless licenses for approximately $28.0 million. In connection with this agreement, the Company entered into an escrow agreement. Pursuant to the escrow agreement, the escrow funds deposited from the Company payments due to the incumbent shall be held and invested in a money market deposit account. All interest and other income earned shall be allocated to the incumbent, payable with the final distribution of the escrow funds. The escrow funds shall be distributed upon written request by both the Company and the incumbent pursuant to the terms within the escrow agreement. Once the escrow funds are distributed to the incumbent, the payments are recorded as spectrum receivable on the Company’s Consolidated Balance Sheets. As of March 31, 2026, the Company has deposited $15.4 million into the escrow account. As of March 31, 2026, the Company has classified $5.7 million as short-term escrow deposits on the Consolidated Balance Sheets, inclusive of accrued interest and escrow releases to the incumbent, which are subsequently recorded as spectrum receivable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581025</wp:posOffset>
            </wp:positionV>
            <wp:extent cx="714819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Property and Equipment</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consists of the following at March 31, 2026 and 2025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268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400" w:type="dxa"/>
            <w:vAlign w:val="bottom"/>
          </w:tcPr>
          <w:p>
            <w:pPr>
              <w:spacing w:after="0"/>
              <w:rPr>
                <w:sz w:val="11"/>
                <w:szCs w:val="11"/>
                <w:color w:val="auto"/>
              </w:rPr>
            </w:pPr>
          </w:p>
        </w:tc>
        <w:tc>
          <w:tcPr>
            <w:tcW w:w="1240" w:type="dxa"/>
            <w:vAlign w:val="bottom"/>
            <w:vMerge w:val="restart"/>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vMerge w:val="restart"/>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4"/>
        </w:trPr>
        <w:tc>
          <w:tcPr>
            <w:tcW w:w="5180" w:type="dxa"/>
            <w:vAlign w:val="bottom"/>
          </w:tcPr>
          <w:p>
            <w:pPr>
              <w:spacing w:after="0"/>
              <w:rPr>
                <w:sz w:val="13"/>
                <w:szCs w:val="13"/>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useful life</w:t>
            </w:r>
          </w:p>
        </w:tc>
        <w:tc>
          <w:tcPr>
            <w:tcW w:w="4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Network sites and equipment</w:t>
            </w: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5-10 years</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1-7 years</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5-7 years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 and other equipment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2-5 years</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Shorter of the lease term or 10 years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12,086</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10,784</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expense for the years ended March 31, 2026 and 2025 amounted to approximately $0.5 million and $0.5 million, respectively.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impairment charges during the years ended March 31, 2026 and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Intangible Assets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Wireless licenses are considered indefinite-lived intangible assets. Indefinite-lived intangible assets are not subject to amortization but instead are tested for impairment annually, or more frequently if an event indicates that the asset might be impaired. There were no impairment charges related to the Company’s indefinite-lived intangible assets during the years ended March 31, 2026 and 2025.</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Intangible assets consist of the following at March 31, 2026 and 2025 (in thousands):</w:t>
      </w:r>
    </w:p>
    <w:p>
      <w:pPr>
        <w:spacing w:after="0" w:line="110" w:lineRule="exact"/>
        <w:rPr>
          <w:sz w:val="20"/>
          <w:szCs w:val="20"/>
          <w:color w:val="auto"/>
        </w:rPr>
      </w:pPr>
    </w:p>
    <w:p>
      <w:pPr>
        <w:ind w:left="8580"/>
        <w:spacing w:after="0"/>
        <w:tabs>
          <w:tab w:leader="none" w:pos="10160" w:val="left"/>
        </w:tabs>
        <w:rPr>
          <w:sz w:val="20"/>
          <w:szCs w:val="20"/>
          <w:color w:val="auto"/>
        </w:rPr>
      </w:pPr>
      <w:r>
        <w:rPr>
          <w:rFonts w:ascii="Times New Roman" w:cs="Times New Roman" w:eastAsia="Times New Roman" w:hAnsi="Times New Roman"/>
          <w:sz w:val="11"/>
          <w:szCs w:val="11"/>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1992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019925" cy="1282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the beginning of the year</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Acquisitions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Sale of intangible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Exchanges - licenses received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Exchanges - licenses surrendered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the end of the year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228,983</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216,743</w:t>
            </w:r>
          </w:p>
        </w:tc>
      </w:tr>
      <w:tr>
        <w:trPr>
          <w:trHeight w:val="183"/>
        </w:trPr>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12,082</w:t>
            </w:r>
          </w:p>
        </w:tc>
      </w:tr>
      <w:tr>
        <w:trPr>
          <w:trHeight w:val="184"/>
        </w:trPr>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(22,641)</w:t>
            </w:r>
          </w:p>
        </w:tc>
      </w:tr>
      <w:tr>
        <w:trPr>
          <w:trHeight w:val="187"/>
        </w:trPr>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27,030</w:t>
            </w:r>
          </w:p>
        </w:tc>
      </w:tr>
      <w:tr>
        <w:trPr>
          <w:trHeight w:val="184"/>
        </w:trPr>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(34,189)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w:t>
            </w:r>
          </w:p>
        </w:tc>
      </w:tr>
      <w:tr>
        <w:trPr>
          <w:trHeight w:val="178"/>
        </w:trPr>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310,712</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228,983</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-5025390</wp:posOffset>
            </wp:positionH>
            <wp:positionV relativeFrom="paragraph">
              <wp:posOffset>-504825</wp:posOffset>
            </wp:positionV>
            <wp:extent cx="7019925" cy="121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019925" cy="12128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-268605</wp:posOffset>
            </wp:positionV>
            <wp:extent cx="7019925"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019925" cy="11430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7200" w:space="720"/>
            <w:col w:w="3340"/>
          </w:cols>
          <w:pgMar w:left="300" w:top="1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intangible assets, including refundable deposits, retuning costs and swaps</w:t>
      </w:r>
    </w:p>
    <w:p>
      <w:pPr>
        <w:spacing w:after="0" w:line="96"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During the years ended March 31, 2026 and 2025, the Company entered into agreements with several third parties in multiple U.S. markets to acquire, retune or swap wireless licenses for cash consideration (“deals”) and made Anti-Windfall Payments to the U.S. Treasury Department. The initial deposits to incumbents are recorded as spectrum receivable on the Company’s Consolidated Balance Sheets and are refundable if the FCC does not approve the sale, retuning or swap of the spectrum. The initial deposits are transferred to deferred broadband costs or intangible assets on the Company’s Consolidated Balance Sheets, as applicable, upon meeting the relevant deal milestones. The final payments related to closed retuning or swap deals are recorded as deferred broadband costs on the Company’s Consolidated Balance Sheets. The final payments for license purchases or Anti-Windfall Payments are recorded as intangible assets on the Company’s Consolidated Balance Sheets.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Broadband License Exchanges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March 31, 2026, the FCC granted the Company broadband licenses for 219 counties. The Company recorded the new broadband licenses received in the amount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$139.6 million. In connection with receiving the broadband licenses, the Company disposed of $34.2 million related to the value ascribed to the narrowband licenses it relinquished to the FCC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same 219 counties. The total carrying value of the narrowband licenses included the cost to acquire the original narrowband licenses, Anti-Windfall Payments paid to cover the shortfall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county and the clearing costs (including additional clearing cost for previously exchanged narrowband licenses). As a result of the exchange of narrowband licenses for broadband licenses,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recorded a gain on exchange of intangible assets of $105.4 million, for the year ended March 31, 2026.</w:t>
      </w:r>
    </w:p>
    <w:p>
      <w:pPr>
        <w:spacing w:after="0" w:line="79"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March 31, 2025, the FCC granted the Company broadband licenses for 67 counties. The Company recorded the new broadband licenses received in the amount of $27.0 million. In connection with receiving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196215</wp:posOffset>
            </wp:positionV>
            <wp:extent cx="71481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broadband licenses, the Company disposed of $4.2 million related to the value ascribed to the narrowband licenses it relinquished to the FCC for the same 67 counties. The total carrying value of the narrowband licenses included the cost to acquire the original narrowband licenses, Anti-Windfall Payments paid to cover the shortfall in each county and the clearing costs (including additional clearing cost for previously exchanged narrowband licenses). As a result of the exchange of narrowband licenses for broadband licenses, the Company recorded a gain on exchange of intangible assets of $22.8 million, for the year ended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Broadband License Sale</w:t>
      </w:r>
    </w:p>
    <w:p>
      <w:pPr>
        <w:spacing w:after="0" w:line="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March 31, 2026, the Company transferred to LCRA the 900 MHz Broadband Spectrum and associated broadband licenses related to 64 counties for the total consideration of $29.5 million. The total consideration included milestone payments of $14.1 million received as of March 31, 2026 and $15.4 million reduction of contingent liability. As a result, the Company recognized a reduction in intangible assets of $16.6 million and recorded a $12.8 million gain on sale of intangible assets on the Company’s Consolidated Statements of Operations.</w:t>
      </w:r>
    </w:p>
    <w:p>
      <w:pPr>
        <w:spacing w:after="0" w:line="5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March 31, 2026, the Company transferred to Oncor Electric Delivery Company LLC (“Oncor”) the 900 MHz Broadband Spectrum and associated broadband licenses related to 91 counties for the total consideration of $59.7 million received as of March 31, 2026. The total consideration included milestone payments of $53.7 million received as of March 31, 2026, inclusive of reimbursable clearing costs and Anti-Windfall Payments and $6.0 million reduction of contingent liability. As a result, the Company recognized a reduction in intangible assets of $37.7 million and recorded a $22.0 million gain on sale of intangible assets on the Company’s Consolidated Statements of Operations.</w:t>
      </w:r>
    </w:p>
    <w:p>
      <w:pPr>
        <w:spacing w:after="0" w:line="5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March 31, 2025, the Company transferred to Oncor the 900 MHz Broadband Spectrum and the associated broadband licenses related to four counties for the total consideration of $40.9 million. The total consideration included a $34.0 million milestone payment received in January 2025, $4.0 million allocated from the previously received $10.0 million deposit and $2.9 million non-trade receivable on the Company’s Consolidated Balance Sheets related to reimbursable clearing costs and Anti-Windfall Payments. As a result, the Company recognized a reduction in intangible assets of $22.6 million and recorded a $18.3 million gain on sale of intangible assets on the Company’s Consolidated Statements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Accounts Payable and Other Accrued Expenses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provides additional information related to the Company’s accounts payable and other accrued expenses at March 31, 2026 and 2025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employee related expenses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taxes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accounts payable and other accrued expenses</w:t>
            </w:r>
          </w:p>
        </w:tc>
        <w:tc>
          <w:tcPr>
            <w:tcW w:w="106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9,075</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Accrued Severance and Other Related Charges</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March 31, 2026, the Company undertook a broader restructuring initiative to align with its evolving marketing and product strategy. These charges consist primarily of severance and employee-related costs associated with workforce reductions, as well as retention payments provided to key employees to support continuity during the reorganization. As a result, the Company incurred $4.6 million of severance and other related charges for the year ended March 31, 2026, on the Company’s Consolidated Statements of Operations. As of March 31, 2026, the Company accrued $2.8 million severance and other related charges on the Company’s Consolidated Balance Sheets.</w:t>
      </w:r>
    </w:p>
    <w:p>
      <w:pPr>
        <w:spacing w:after="0" w:line="5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March 31, 2025, the Company successfully identified several measures to reduce its operating expense run rate. These cost reduction measures are expected to increase the Company’s cash flows while maintaining operational efficiency. The reductions primarily impacted the Company’s general and administrative expenses mainly through significant cuts in consulting fees. Furthermore, as of March 31, 2025, the Company also reduced its workforce by 7 employees. As a result, the Company incurred $0.3 million of severance and other related charges as of and for the year ended March 31, 2025, on the Company’s Consolidated Balance Sheets and Consolidated Statements of Operations.</w:t>
      </w:r>
    </w:p>
    <w:p>
      <w:pPr>
        <w:spacing w:after="0" w:line="5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Additionally, on November 1, 2024, Robert H. Schwartz stepped down from his role as the Company’s President and Chief Executive Officer. In connection with Mr. Schwartz’s resignation, the Company negotiated a Transition and Separation Agreement (the “Transition Agreement”), which provided the following benefits (subject to effectiveness and the terms and conditions of the Transition Agreement), (i) two times the sum of his annualized salary and target bonus, for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714819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of approximately $2.2 million, (ii) a pro-rata target bonus for fiscal year 2025, less any bonus amount previously paid for fiscal year 2025, for an aggregate amount of approximately</w:t>
      </w:r>
    </w:p>
    <w:p>
      <w:pPr>
        <w:spacing w:after="0" w:line="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 xml:space="preserve">$0.2 million and (iii) a subsidized COBRA continuation coverage for 18 months. Additionally, in connection with the Transition Agreement, a portion of Mr. Schwartz’s unvested time-based awards and performance-based awards accelerated and vested on a pro-rated basis, and Mr. Schwartz received an option exercise period extension. See Note 13 </w:t>
      </w:r>
      <w:r>
        <w:rPr>
          <w:rFonts w:ascii="Times New Roman" w:cs="Times New Roman" w:eastAsia="Times New Roman" w:hAnsi="Times New Roman"/>
          <w:sz w:val="14"/>
          <w:szCs w:val="14"/>
          <w:b w:val="1"/>
          <w:bCs w:val="1"/>
          <w:i w:val="1"/>
          <w:iCs w:val="1"/>
          <w:color w:val="auto"/>
        </w:rPr>
        <w:t>Stockholders’ Equity</w:t>
      </w:r>
      <w:r>
        <w:rPr>
          <w:rFonts w:ascii="Times New Roman" w:cs="Times New Roman" w:eastAsia="Times New Roman" w:hAnsi="Times New Roman"/>
          <w:sz w:val="14"/>
          <w:szCs w:val="14"/>
          <w:color w:val="auto"/>
        </w:rPr>
        <w:t xml:space="preserve"> for further discussion. For the year ended March 31, 2025, the Company recorded $3.5 million severance and other related charges related to the Transition Agreement on the Company’s Consolidated Statements of Operations. As of March 31, 2025, the Company accrued $2.0 million severance and other related charges on the Company’s Consolidated Balance Sheets.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March 31, 2026 and 2025, total accrued severance and other related charges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year</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accruals</w:t>
            </w:r>
          </w:p>
        </w:tc>
        <w:tc>
          <w:tcPr>
            <w:tcW w:w="1060" w:type="dxa"/>
            <w:vAlign w:val="bottom"/>
          </w:tcPr>
          <w:p>
            <w:pPr>
              <w:spacing w:after="0"/>
              <w:rPr>
                <w:sz w:val="15"/>
                <w:szCs w:val="15"/>
                <w:color w:val="auto"/>
              </w:rPr>
            </w:pPr>
          </w:p>
        </w:tc>
        <w:tc>
          <w:tcPr>
            <w:tcW w:w="5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71"/>
        </w:trPr>
        <w:tc>
          <w:tcPr>
            <w:tcW w:w="786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Balance at the end of the year </w:t>
            </w:r>
            <w:r>
              <w:rPr>
                <w:rFonts w:ascii="Times New Roman" w:cs="Times New Roman" w:eastAsia="Times New Roman" w:hAnsi="Times New Roman"/>
                <w:sz w:val="18"/>
                <w:szCs w:val="18"/>
                <w:color w:val="auto"/>
                <w:vertAlign w:val="superscript"/>
              </w:rPr>
              <w:t>(1)</w:t>
            </w:r>
          </w:p>
        </w:tc>
        <w:tc>
          <w:tcPr>
            <w:tcW w:w="10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expects to make disbursements totaling $2.2 million over the next 12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Related Party Transactions</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December 30, 2024, in connection with Morgan O’Brien’s retirement as Executive Chairman of the Board, the Company entered into a consulting agreement with Mr. O’Brien under which he has agreed to provide consulting services to the Company for a minimum of six months and receive cash compensation of $30 thousand per month beginning on January 1, 2025 through June 30, 2025 (the “minimum term”), and continuing thereafter on a month-to month basis until terminated by either party (the “Consulting Agreement”). For the years ended March 31, 2026 and 2025, the Company incurred $0.1 million and $0.1 million, respectively, in consulting fees to Mr. O’Brien included in general and administrative expenses on the Company’s Consolidated Statements of Operations.</w:t>
      </w:r>
    </w:p>
    <w:p>
      <w:pPr>
        <w:spacing w:after="0" w:line="58"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2026 and 2025, the Company had zero and $30 thousand, respectively, in outstanding liabilities to Mr. O’Brien included in due to related parties on the Company’s Consolidated Balance Sheets. Mr. O’Brien’s consulting agreement was terminated as of June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Leases</w:t>
      </w:r>
    </w:p>
    <w:p>
      <w:pPr>
        <w:spacing w:after="0" w:line="96" w:lineRule="exact"/>
        <w:rPr>
          <w:sz w:val="20"/>
          <w:szCs w:val="20"/>
          <w:color w:val="auto"/>
        </w:rPr>
      </w:pPr>
    </w:p>
    <w:p>
      <w:pPr>
        <w:jc w:val="both"/>
        <w:ind w:right="200" w:firstLine="509"/>
        <w:spacing w:after="0" w:line="270" w:lineRule="auto"/>
        <w:rPr>
          <w:sz w:val="20"/>
          <w:szCs w:val="20"/>
          <w:color w:val="auto"/>
        </w:rPr>
      </w:pPr>
      <w:r>
        <w:rPr>
          <w:rFonts w:ascii="Times New Roman" w:cs="Times New Roman" w:eastAsia="Times New Roman" w:hAnsi="Times New Roman"/>
          <w:sz w:val="14"/>
          <w:szCs w:val="14"/>
          <w:color w:val="auto"/>
        </w:rPr>
        <w:t>All the leases in which the Company is the lessee are comprised of corporate office space and tower space. The Company is obligated under certain lease agreements for office space with lease terms expiring on various dates from June 30, 2027 through January 31, 2029, which includes lease extensions for its corporate offices ranging from three to ten-years. The Company entered into multiple lease agreements for tower space. The lease expiration dates range from April 8, 2026 to February 28, 2033.</w:t>
      </w:r>
    </w:p>
    <w:p>
      <w:pPr>
        <w:spacing w:after="0" w:line="51"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All of the Company’s leases are classified as operating leases. Operating lease agreements are required to be recognized on the Company’s Consolidated Balance Sheets as right of use (“ROU”) assets and corresponding lease liabilities.</w:t>
      </w:r>
    </w:p>
    <w:p>
      <w:pPr>
        <w:spacing w:after="0" w:line="39"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ROU assets include any prepaid lease payments and exclude any lease incentives and initial direct costs incurred. Lease expense for minimum lease payments is recognized on a straight-line basis over the lease term. The lease terms may include options to extend or terminate the lease if it is reasonably certain that the Company will exercise that option.</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Weighted-average remaining lease term and incremental borrowing rate for the Company’s operating leases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term - operating lease liabilities</w:t>
            </w:r>
          </w:p>
        </w:tc>
        <w:tc>
          <w:tcPr>
            <w:tcW w:w="9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 years</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 years</w:t>
            </w:r>
          </w:p>
        </w:tc>
      </w:tr>
      <w:tr>
        <w:trPr>
          <w:trHeight w:val="184"/>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incremental borrowing rate - operating lease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698500</wp:posOffset>
            </wp:positionV>
            <wp:extent cx="714819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total lease cost for the years ended March 31, 2026 and 2025 (in thousands):</w:t>
      </w:r>
    </w:p>
    <w:p>
      <w:pPr>
        <w:spacing w:after="0" w:line="121" w:lineRule="exact"/>
        <w:rPr>
          <w:sz w:val="20"/>
          <w:szCs w:val="20"/>
          <w:color w:val="auto"/>
        </w:rPr>
      </w:pPr>
    </w:p>
    <w:p>
      <w:pPr>
        <w:ind w:left="8780"/>
        <w:spacing w:after="0"/>
        <w:tabs>
          <w:tab w:leader="none" w:pos="10380" w:val="left"/>
        </w:tabs>
        <w:rPr>
          <w:sz w:val="20"/>
          <w:szCs w:val="20"/>
          <w:color w:val="auto"/>
        </w:rPr>
      </w:pPr>
      <w:r>
        <w:rPr>
          <w:rFonts w:ascii="Times New Roman" w:cs="Times New Roman" w:eastAsia="Times New Roman" w:hAnsi="Times New Roman"/>
          <w:sz w:val="11"/>
          <w:szCs w:val="11"/>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8120" w:val="left"/>
          <w:tab w:leader="none" w:pos="9260" w:val="left"/>
          <w:tab w:leader="none" w:pos="9740" w:val="left"/>
          <w:tab w:leader="none" w:pos="10880" w:val="left"/>
        </w:tabs>
        <w:rPr>
          <w:sz w:val="20"/>
          <w:szCs w:val="20"/>
          <w:color w:val="auto"/>
        </w:rPr>
      </w:pPr>
      <w:r>
        <w:rPr>
          <w:rFonts w:ascii="Times New Roman" w:cs="Times New Roman" w:eastAsia="Times New Roman" w:hAnsi="Times New Roman"/>
          <w:sz w:val="14"/>
          <w:szCs w:val="14"/>
          <w:color w:val="auto"/>
        </w:rPr>
        <w:t>Total operating lease cost*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1,821</w:t>
        <w:tab/>
        <w:t>$</w:t>
      </w:r>
      <w:r>
        <w:rPr>
          <w:sz w:val="20"/>
          <w:szCs w:val="20"/>
          <w:color w:val="auto"/>
        </w:rPr>
        <w:tab/>
      </w:r>
      <w:r>
        <w:rPr>
          <w:rFonts w:ascii="Times New Roman" w:cs="Times New Roman" w:eastAsia="Times New Roman" w:hAnsi="Times New Roman"/>
          <w:sz w:val="14"/>
          <w:szCs w:val="14"/>
          <w:color w:val="auto"/>
        </w:rPr>
        <w:t>1,997</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operating lease cost is included in general and administrative expenses on the Company’s Consolidated Statements of Operations.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supplemental balance sheet information as of March 31, 2026 and 2025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 right of use assets, net</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 - operating lease liabilities</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 operating lease liabilities</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r>
    </w:tbl>
    <w:p>
      <w:pPr>
        <w:spacing w:after="0" w:line="24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Future minimum payments under existing non-cancellable leases for office and tower spaces (exclusive of real estate tax, utilities, maintenance and other costs borne by the Company) for the remaining terms of the leases following the year ended March 31, 2026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300" w:type="dxa"/>
            <w:vAlign w:val="bottom"/>
          </w:tcPr>
          <w:p>
            <w:pPr>
              <w:spacing w:after="0"/>
              <w:rPr>
                <w:sz w:val="11"/>
                <w:szCs w:val="11"/>
                <w:color w:val="auto"/>
              </w:rPr>
            </w:pPr>
          </w:p>
        </w:tc>
        <w:tc>
          <w:tcPr>
            <w:tcW w:w="122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0" w:type="dxa"/>
            <w:vAlign w:val="bottom"/>
          </w:tcPr>
          <w:p>
            <w:pPr>
              <w:spacing w:after="0"/>
              <w:rPr>
                <w:sz w:val="1"/>
                <w:szCs w:val="1"/>
                <w:color w:val="auto"/>
              </w:rPr>
            </w:pPr>
          </w:p>
        </w:tc>
      </w:tr>
      <w:tr>
        <w:trPr>
          <w:trHeight w:val="153"/>
        </w:trPr>
        <w:tc>
          <w:tcPr>
            <w:tcW w:w="972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0" w:type="dxa"/>
            <w:vAlign w:val="bottom"/>
          </w:tcPr>
          <w:p>
            <w:pPr>
              <w:spacing w:after="0"/>
              <w:rPr>
                <w:sz w:val="1"/>
                <w:szCs w:val="1"/>
                <w:color w:val="auto"/>
              </w:rPr>
            </w:pPr>
          </w:p>
        </w:tc>
      </w:tr>
      <w:tr>
        <w:trPr>
          <w:trHeight w:val="17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180"/>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80"/>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After 2031</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7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0" w:type="dxa"/>
            <w:vAlign w:val="bottom"/>
          </w:tcPr>
          <w:p>
            <w:pPr>
              <w:spacing w:after="0"/>
              <w:rPr>
                <w:sz w:val="1"/>
                <w:szCs w:val="1"/>
                <w:color w:val="auto"/>
              </w:rPr>
            </w:pP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representing interest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net future minimum lease payments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9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For the year ended March 31, 2026, the Company had federal and state NOL carryforwards of approximately $194.2 million and $195.1 million, respectively. Of these state NOLs, approximately $162.2 million, are expiring in various amounts from 2026 through 2045. The remaining federal and state NOLs of approximately $194.2 million and $32.9 million, respectively, have an indefinite life but the federal NOLs may only offset 80% of taxable income when used. For the year ended March 31, 2025, the Company incurred federal and state operating losses of approximately $275.1 million and $207.0 million, respectively, to offset future taxable income of which $241.1 million federal NOL and $40.3 million of state NOLs can be carried forward indefinitely but can only offset 80% of taxable income when used.</w:t>
      </w:r>
    </w:p>
    <w:p>
      <w:pPr>
        <w:spacing w:after="0" w:line="58"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Company has net deferred tax assets, before applying the valuation allowance, of approximately $64.8 million and $83.6 million relating principally to the NOLs as of March 31, 2026 and 2025, respectively. Federal NOL carryforwards may be subject to limitations as a result of the change in ownership that occurred in the year ended March 31, 2015, as defined under Internal Revenue Code Section 382. State NOL carryforwards are subject to limitations which differ from federal law in that they may not allow the carryback of net operating losses and have shorter carryforward periods.</w:t>
      </w:r>
    </w:p>
    <w:p>
      <w:pPr>
        <w:spacing w:after="0" w:line="54"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 xml:space="preserve">Accounting Standards Codification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requires that a valuation allowance be recorded to reduce deferred tax assets when it is more likely than not that the tax benefit of the deferred tax assets will not be realized. The evaluation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 In situations where a three-year cumulative loss condition exists, accounting standards limit the ability to consider projections of future results as positive evidence to assess the realizability of deferred tax assets. Since inception, the Company has mainly incurred tax losses which represents significant negative evidence toward the realizability of its deferred tax assets. Therefore, the Company continues to apply a full valuation allowance against its deferred tax assets 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71481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5"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 and 2025, with the exception of the net deferred tax liability of approximately $6.3 million and $6.6 million, respectively, regarding indefinite-lived intangibles.</w:t>
      </w:r>
    </w:p>
    <w:p>
      <w:pPr>
        <w:spacing w:after="0" w:line="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All remaining federal NOL carryforwards are indefinite lived. Utilization of these NOLs will be limited to 80% of future taxable income. The Company recorded $0.3 million and $0.6 million, respectively, of federal deferred tax expense during the years March 31, 2026 and 2025 and increased the federal deferred tax liability by the same amount due to the naked tax credit related to the indefinite-lived intangible. An analysis of the state NOL carryforwards revealed that most of them are not indefinite. The Company recorded $0.6 million and $0.3 million of state deferred tax benefit during the years March 31, 2026 and 2025 and decreased the state deferred tax liability by the same amount from the ability to use the state NOL carryforwards against the indefinite-lived intangible. This valuation allowance has no effect on the Company’s ability to utilize the deferred tax assets to offset future taxable income, if generated. As required by U.S. GAAP, the Company will continue to assess the likelihood that the deferred tax assets will be realizable in the future, and the valuation allowance will be adjusted accordingly. The tax benefits relating to any reversal of the valuation allowance on the net deferred tax assets in a future period will be recognized as a reduction of future income tax expense in that period.</w:t>
      </w:r>
    </w:p>
    <w:p>
      <w:pPr>
        <w:spacing w:after="0" w:line="62"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(the “OBBBA” or the “Act”) was signed into law. The Act introduces a broad range of changes to U.S. federal income tax law affecting corporations, including, among other provisions, the permanent reinstatement of 100% bonus depreciation for qualifying property acquired after January 19, 2025; the restoration of immediate expensing of domestic research and experimental expenditures; modifications to the business interest expense limitation under Section 163(j) and revisions to the international tax provisions.</w:t>
      </w:r>
    </w:p>
    <w:p>
      <w:pPr>
        <w:spacing w:after="0" w:line="5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In accordance with ASC 740, the Company recognizes the effects of changes in tax law in the period of enactment. The Company has evaluated the provisions of the OBBBA and, based on its current operations and tax position, does not expect the Act to have a material impact on its consolidated financial statements, results of operations, cash flows, or effective tax rate. The Company will continue to monitor forthcoming regulatory guidance, technical corrections, and state conformity developments, and will reassess the impact of the Act as additional information becomes available.</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deferred tax assets and liabilities consist of the following as of March 31, 2026 and 2025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26,852</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70,267</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Charitable contributions carryforward</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r>
      <w:tr>
        <w:trPr>
          <w:trHeight w:val="171"/>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88,251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104,063</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 of use assets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(19,046)</w:t>
            </w:r>
          </w:p>
        </w:tc>
      </w:tr>
      <w:tr>
        <w:trPr>
          <w:trHeight w:val="171"/>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tax liability</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and liabilities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83,672</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(71,136)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(90,278)</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 and liabilities</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1313815</wp:posOffset>
            </wp:positionV>
            <wp:extent cx="714819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the income tax expense for the years ended March 31, 2026 and 2025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0"/>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220" w:type="dxa"/>
            <w:vAlign w:val="bottom"/>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tcPr>
          <w:p>
            <w:pPr>
              <w:spacing w:after="0"/>
              <w:rPr>
                <w:sz w:val="15"/>
                <w:szCs w:val="15"/>
                <w:color w:val="auto"/>
              </w:rPr>
            </w:pPr>
          </w:p>
        </w:tc>
        <w:tc>
          <w:tcPr>
            <w:tcW w:w="44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40" w:type="dxa"/>
            <w:vAlign w:val="bottom"/>
            <w:tcBorders>
              <w:bottom w:val="single" w:sz="8" w:color="auto"/>
            </w:tcBorders>
            <w:shd w:val="clear" w:color="auto" w:fill="CCEEFF"/>
          </w:tcPr>
          <w:p>
            <w:pPr>
              <w:spacing w:after="0"/>
              <w:rPr>
                <w:sz w:val="15"/>
                <w:szCs w:val="15"/>
                <w:color w:val="auto"/>
              </w:rPr>
            </w:pP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1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40" w:type="dxa"/>
            <w:vAlign w:val="bottom"/>
          </w:tcPr>
          <w:p>
            <w:pPr>
              <w:spacing w:after="0"/>
              <w:rPr>
                <w:sz w:val="14"/>
                <w:szCs w:val="14"/>
                <w:color w:val="auto"/>
              </w:rPr>
            </w:pPr>
          </w:p>
        </w:tc>
      </w:tr>
      <w:tr>
        <w:trPr>
          <w:trHeight w:val="202"/>
        </w:trPr>
        <w:tc>
          <w:tcPr>
            <w:tcW w:w="7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40" w:type="dxa"/>
            <w:vAlign w:val="bottom"/>
            <w:shd w:val="clear" w:color="auto" w:fill="CCEEFF"/>
          </w:tcPr>
          <w:p>
            <w:pPr>
              <w:spacing w:after="0"/>
              <w:rPr>
                <w:sz w:val="15"/>
                <w:szCs w:val="15"/>
                <w:color w:val="auto"/>
              </w:rPr>
            </w:pPr>
          </w:p>
        </w:tc>
      </w:tr>
      <w:tr>
        <w:trPr>
          <w:trHeight w:val="18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(296)</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12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40" w:type="dxa"/>
            <w:vAlign w:val="bottom"/>
            <w:tcBorders>
              <w:bottom w:val="single" w:sz="8" w:color="auto"/>
            </w:tcBorders>
            <w:shd w:val="clear" w:color="auto" w:fill="CCEEFF"/>
          </w:tcPr>
          <w:p>
            <w:pPr>
              <w:spacing w:after="0"/>
              <w:rPr>
                <w:sz w:val="14"/>
                <w:szCs w:val="14"/>
                <w:color w:val="auto"/>
              </w:rPr>
            </w:pP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122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40" w:type="dxa"/>
            <w:vAlign w:val="bottom"/>
            <w:tcBorders>
              <w:bottom w:val="single" w:sz="8" w:color="auto"/>
            </w:tcBorders>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90"/>
        </w:trPr>
        <w:tc>
          <w:tcPr>
            <w:tcW w:w="91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taxes paid by the Company net of refunds received after the adoption of ASU 2023-09 for the year ended March 31, 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7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Pr>
          <w:p>
            <w:pPr>
              <w:spacing w:after="0"/>
              <w:rPr>
                <w:sz w:val="14"/>
                <w:szCs w:val="14"/>
                <w:color w:val="auto"/>
              </w:rPr>
            </w:pPr>
          </w:p>
        </w:tc>
      </w:tr>
      <w:tr>
        <w:trPr>
          <w:trHeight w:val="19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income taxes paid</w:t>
            </w: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40" w:type="dxa"/>
            <w:vAlign w:val="bottom"/>
          </w:tcPr>
          <w:p>
            <w:pPr>
              <w:spacing w:after="0"/>
              <w:rPr>
                <w:sz w:val="16"/>
                <w:szCs w:val="16"/>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paid</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Colorado</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Pr>
          <w:p>
            <w:pPr>
              <w:spacing w:after="0"/>
              <w:rPr>
                <w:sz w:val="15"/>
                <w:szCs w:val="15"/>
                <w:color w:val="auto"/>
              </w:rPr>
            </w:pPr>
          </w:p>
        </w:tc>
      </w:tr>
      <w:tr>
        <w:trPr>
          <w:trHeight w:val="180"/>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Washington D.C.</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Illinois</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40" w:type="dxa"/>
            <w:vAlign w:val="bottom"/>
          </w:tcPr>
          <w:p>
            <w:pPr>
              <w:spacing w:after="0"/>
              <w:rPr>
                <w:sz w:val="15"/>
                <w:szCs w:val="15"/>
                <w:color w:val="auto"/>
              </w:rPr>
            </w:pPr>
          </w:p>
        </w:tc>
      </w:tr>
      <w:tr>
        <w:trPr>
          <w:trHeight w:val="180"/>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Minnesota</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Virginia</w:t>
            </w: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5"/>
                <w:szCs w:val="15"/>
                <w:color w:val="auto"/>
              </w:rPr>
            </w:pPr>
          </w:p>
        </w:tc>
      </w:tr>
      <w:tr>
        <w:trPr>
          <w:trHeight w:val="180"/>
        </w:trPr>
        <w:tc>
          <w:tcPr>
            <w:tcW w:w="790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jurisdictions</w:t>
            </w:r>
            <w:r>
              <w:rPr>
                <w:rFonts w:ascii="Times New Roman" w:cs="Times New Roman" w:eastAsia="Times New Roman" w:hAnsi="Times New Roman"/>
                <w:sz w:val="18"/>
                <w:szCs w:val="18"/>
                <w:color w:val="auto"/>
                <w:vertAlign w:val="superscript"/>
              </w:rPr>
              <w:t>(1)</w:t>
            </w: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40" w:type="dxa"/>
            <w:vAlign w:val="bottom"/>
          </w:tcPr>
          <w:p>
            <w:pPr>
              <w:spacing w:after="0"/>
              <w:rPr>
                <w:sz w:val="15"/>
                <w:szCs w:val="15"/>
                <w:color w:val="auto"/>
              </w:rPr>
            </w:pPr>
          </w:p>
        </w:tc>
      </w:tr>
      <w:tr>
        <w:trPr>
          <w:trHeight w:val="171"/>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state income taxes paid</w:t>
            </w: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40" w:type="dxa"/>
            <w:vAlign w:val="bottom"/>
          </w:tcPr>
          <w:p>
            <w:pPr>
              <w:spacing w:after="0"/>
              <w:rPr>
                <w:sz w:val="14"/>
                <w:szCs w:val="14"/>
                <w:color w:val="auto"/>
              </w:rPr>
            </w:pPr>
          </w:p>
        </w:tc>
      </w:tr>
      <w:tr>
        <w:trPr>
          <w:trHeight w:val="171"/>
        </w:trPr>
        <w:tc>
          <w:tcPr>
            <w:tcW w:w="79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income taxes paid </w:t>
            </w:r>
            <w:r>
              <w:rPr>
                <w:rFonts w:ascii="Times New Roman" w:cs="Times New Roman" w:eastAsia="Times New Roman" w:hAnsi="Times New Roman"/>
                <w:sz w:val="18"/>
                <w:szCs w:val="18"/>
                <w:color w:val="auto"/>
                <w:vertAlign w:val="superscript"/>
              </w:rPr>
              <w:t>(2)</w:t>
            </w: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4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jurisdictions include income taxes paid during the year for states that do not meet the 5% disaggregation threshold.</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paid include only taxes within the scope of ASC 740 net of refunds and exclude non-income based taxes such as excise and sales taxes.</w:t>
      </w:r>
    </w:p>
    <w:p>
      <w:pPr>
        <w:spacing w:after="0" w:line="9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differences between the United States federal statutory tax rate and the Company’s effective tax rate for the year ended March 31, 2026 after the adoption of ASU 2023-09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549"/>
              <w:spacing w:after="0"/>
              <w:rPr>
                <w:sz w:val="20"/>
                <w:szCs w:val="20"/>
                <w:color w:val="auto"/>
              </w:rPr>
            </w:pPr>
            <w:r>
              <w:rPr>
                <w:rFonts w:ascii="Times New Roman" w:cs="Times New Roman" w:eastAsia="Times New Roman" w:hAnsi="Times New Roman"/>
                <w:sz w:val="11"/>
                <w:szCs w:val="11"/>
                <w:b w:val="1"/>
                <w:bCs w:val="1"/>
                <w:color w:val="auto"/>
                <w:w w:val="99"/>
              </w:rPr>
              <w:t>2026</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tax</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78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State income taxes, net of federal benefit </w:t>
            </w:r>
            <w:r>
              <w:rPr>
                <w:rFonts w:ascii="Times New Roman" w:cs="Times New Roman" w:eastAsia="Times New Roman" w:hAnsi="Times New Roman"/>
                <w:sz w:val="18"/>
                <w:szCs w:val="18"/>
                <w:color w:val="auto"/>
                <w:vertAlign w:val="superscript"/>
              </w:rPr>
              <w:t>(1)</w:t>
            </w: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 - Federal</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(18,952)</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stock option expense</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162M executive compensation limit</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 FCC licenses</w:t>
            </w: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6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
        </w:trPr>
        <w:tc>
          <w:tcPr>
            <w:tcW w:w="7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Illinois made up greater than 50%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756285</wp:posOffset>
            </wp:positionV>
            <wp:extent cx="714819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The differences between the United States federal statutory tax rate and the Company’s effective tax rate for the year ended March 31, 2025 before the adoption of ASU 2023-09 are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549"/>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tax</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stock option expense</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162M executive compensation limit</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 - Federal</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year adjustments</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
        </w:trPr>
        <w:tc>
          <w:tcPr>
            <w:tcW w:w="7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 Compensation</w:t>
      </w:r>
    </w:p>
    <w:p>
      <w:pPr>
        <w:spacing w:after="0" w:line="9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2023 Stock Plan permits the Company to grant equity compensation awards to employees, consultants and non-employee directors of the Company. The 2023 Stock Plan authorizes 1,350,000 shares of common stock of the Company (the “Shares”) for grant, plus remaining available for issuance under previous plans. As of March 31, 2026, under the 2023 Stock Plan, 762,367 Shares are available for future issuance.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and Restricted Stock Units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non-vested restricted stock activity for the year ended March 31, 2026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5"/>
        </w:trPr>
        <w:tc>
          <w:tcPr>
            <w:tcW w:w="7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center"/>
              <w:ind w:right="275"/>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7"/>
        </w:trPr>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ind w:right="275"/>
              <w:spacing w:after="0" w:line="117" w:lineRule="exact"/>
              <w:rPr>
                <w:sz w:val="20"/>
                <w:szCs w:val="20"/>
                <w:color w:val="auto"/>
              </w:rPr>
            </w:pPr>
            <w:r>
              <w:rPr>
                <w:rFonts w:ascii="Times New Roman" w:cs="Times New Roman" w:eastAsia="Times New Roman" w:hAnsi="Times New Roman"/>
                <w:sz w:val="11"/>
                <w:szCs w:val="11"/>
                <w:b w:val="1"/>
                <w:bCs w:val="1"/>
                <w:color w:val="auto"/>
                <w:w w:val="99"/>
              </w:rPr>
              <w:t>Grant Day</w:t>
            </w:r>
          </w:p>
        </w:tc>
        <w:tc>
          <w:tcPr>
            <w:tcW w:w="0" w:type="dxa"/>
            <w:vAlign w:val="bottom"/>
          </w:tcPr>
          <w:p>
            <w:pPr>
              <w:spacing w:after="0"/>
              <w:rPr>
                <w:sz w:val="1"/>
                <w:szCs w:val="1"/>
                <w:color w:val="auto"/>
              </w:rPr>
            </w:pPr>
          </w:p>
        </w:tc>
      </w:tr>
      <w:tr>
        <w:trPr>
          <w:trHeight w:val="155"/>
        </w:trPr>
        <w:tc>
          <w:tcPr>
            <w:tcW w:w="79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restricted stock outstanding at March 31, 2025</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(175,016)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(52,132)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restricted stock outstanding at March 31, 2026</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table reflects activity related to the Company’s restricted stock for the years ended March 31, 2026 and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9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8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grant-date fair value per unit granted</w:t>
            </w: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restricted stock units vested (in thousands)</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9,951</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Stock compensation expense related to restricted stock was approximately $4.6 million for the year ended March 31, 2026, which included $3.6 million in general and administrative expenses, $0.6 million in product development and the remainder of approximately $0.4 million included in sales and support reported on the Company’s Consolidated Statements of Operations. Stock compensation expense related to restricted stock was approximately $7.9 million for the year ended March 31, 2025, which included $7.5 million in general and administrative expenses, $0.2 million in product development and the remainder of approximately $0.2 million included in sales and support reported on the Company’s Consolidated Statements of Operations.</w:t>
      </w:r>
    </w:p>
    <w:p>
      <w:pPr>
        <w:spacing w:after="0" w:line="56"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2026 and 2025, there was $3.3 million and $6.0 million, respectively, of unrecognized compensation expense for the restricted stock, which is expected to be recognized over a weighted average period of 1.75 years and 1.26 years,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performance-based restricted stock units outstanding as of March 31, 2026 and 2025.</w:t>
      </w:r>
    </w:p>
    <w:p>
      <w:pPr>
        <w:spacing w:after="0" w:line="9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 recorded approximately zero and $0.5 million of stock compensation expense relating to performance-based restricted stock units for the years ended March 31, 2026 and 2025, respectively, included in general and administrative expenses reported on the Company’s Consolidated Statements of Operations. As of March 31, 2026 and 2025, the performance-based shares were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203200</wp:posOffset>
            </wp:positionV>
            <wp:extent cx="714819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Page 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Cumulative Spectrum Proceeds Monetized</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December 31, 2020, the Compensation Committee awarded performance-based restricted units to Mr. Schwartz as part of the then CEO succession plan. The performance-based restricted units were to vest on a determination date of June 24, 2024 (“Determination Date”), based on the Cumulative Spectrum Proceeds Monetized (“CSPM”) metric over a four-year measurement period commencing on June 24, 2020, with 15,025 units vesting if the minimum CSPM level is achieved, 30,049 units vesting if the target CSPM metric is achieved and up to 60,098 vesting if the maximum CSPM metric is achieved. Due to the timing of the execution of the Oncor Agreement, the Company entered into an amendment agreement, effectively extending the Determination Date to June 27, 2024. The amendment resulted in 15,800 shares vesting based on the CSPM level achieved.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Executive Officer Transition</w:t>
      </w:r>
    </w:p>
    <w:p>
      <w:pPr>
        <w:spacing w:after="0" w:line="96"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Mr. Schwartz’s Transition Agreement, 68,788 unvested time-based awards and 33,417 performance-based awards accelerated and vested on a pro-rated basis. Mr. Schwartz was also granted an option exercise period extension for each of his outstanding stock option awards equal to the lesser of two years from the Separation Date (as defined in the Transition Agreement) or the applicable expiration term of the stock option awards, which resulted in additional stock compensation expense of $1.1 million included in severance and other related charges expense reported on the Company’s Consolidated Statements of Operations for the year ended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Stockholder Return</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performance-based restricted units will vest upon continued service and achievement of certain stock price levels calculated using a four-year compound annual growth rate and based on the average closing bid price per share of the Company’s common stock measured over a sixty-trading day period (“Stock Price Levels”). Shares will vest in a range of 25% to 350% of the 45,000 target reported units based on achieving specified Stock Price Levels. The vesting end measurement date is February 1, 2025, with earlier vesting determination dates upon a change in control of the Company, involuntary termination of the CEO or twelve months following the achievement of the maximum stock price level. The performance-based restricted units accelerated and vested on a pro-rated basis in connection with the CEO Transition noted above.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restricted stock units modification</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October 2024, the Company awarded the newly appointed President and Chief Executive Officer 97,631 performance-based restricted stock units. In January 2025, the Board approved the replacement of the performance-based units with 191,326 time-based stock options. The time-based stock options have a contractual life of 10 years and the shares will vest in three equal annual installments, based on continuous service of such officer to the Company through the applicable vesting dates. As a result of the change, the Company accounted for the modification as a Type I modification, resulting in $1.4 million of incremental fair value, of which $0.1 million was recorded immediately during the year ended March 31, 2025. The incremental compensation cost is measured as the excess of the fair value of the modified award over the fair value of the original award immediately before its terms were modified and recognized over the period from the modification date through the end of the requisite service period of the newly granted awards.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Stock Option activity for the year ended March 31, 2026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1"/>
                <w:szCs w:val="11"/>
                <w:color w:val="auto"/>
              </w:rPr>
            </w:pP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4"/>
        </w:trPr>
        <w:tc>
          <w:tcPr>
            <w:tcW w:w="57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Contractual Term</w:t>
            </w: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at March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1,665,765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Options forfeited/expired/cancelled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at March 31,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1,644,206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4,283,583</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Exercisable at March 31, 2026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885,696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1,749,508</w:t>
            </w: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vested or expected to vest at March 31,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1,643,064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4,283,583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intrinsic value of stock options exercised was approximately $0.9 million and $2.9 million for the years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587375</wp:posOffset>
            </wp:positionV>
            <wp:extent cx="714819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calculate the fair value of stock options: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0" w:type="dxa"/>
            <w:vAlign w:val="bottom"/>
          </w:tcPr>
          <w:p>
            <w:pPr>
              <w:spacing w:after="0"/>
              <w:rPr>
                <w:sz w:val="12"/>
                <w:szCs w:val="12"/>
                <w:color w:val="auto"/>
              </w:rPr>
            </w:pPr>
          </w:p>
        </w:tc>
        <w:tc>
          <w:tcPr>
            <w:tcW w:w="162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8"/>
              </w:rPr>
              <w:t>Year Ended</w:t>
            </w:r>
          </w:p>
        </w:tc>
      </w:tr>
      <w:tr>
        <w:trPr>
          <w:trHeight w:val="169"/>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40" w:type="dxa"/>
            <w:vAlign w:val="bottom"/>
          </w:tcPr>
          <w:p>
            <w:pPr>
              <w:spacing w:after="0"/>
              <w:rPr>
                <w:sz w:val="14"/>
                <w:szCs w:val="14"/>
                <w:color w:val="auto"/>
              </w:rPr>
            </w:pPr>
          </w:p>
        </w:tc>
        <w:tc>
          <w:tcPr>
            <w:tcW w:w="162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8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w w:val="99"/>
              </w:rPr>
              <w:t>3.74% to 4.53%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3.72% to 4.43%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2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48.52% to 48.68%</w:t>
            </w: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w w:val="99"/>
              </w:rPr>
              <w:t>47.11% to 48.33%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16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5.42 years to 6.21 years</w:t>
            </w:r>
          </w:p>
        </w:tc>
        <w:tc>
          <w:tcPr>
            <w:tcW w:w="140" w:type="dxa"/>
            <w:vAlign w:val="bottom"/>
          </w:tcPr>
          <w:p>
            <w:pPr>
              <w:spacing w:after="0"/>
              <w:rPr>
                <w:sz w:val="15"/>
                <w:szCs w:val="15"/>
                <w:color w:val="auto"/>
              </w:rPr>
            </w:pPr>
          </w:p>
        </w:tc>
        <w:tc>
          <w:tcPr>
            <w:tcW w:w="162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5.79 years to 6.21 years</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rate</w:t>
            </w:r>
          </w:p>
        </w:tc>
        <w:tc>
          <w:tcPr>
            <w:tcW w:w="1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 to 6%</w:t>
            </w: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rPr>
              <w:t>—% to 4%</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grant-date fair value per option granted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w:t>
            </w:r>
          </w:p>
        </w:tc>
      </w:tr>
    </w:tbl>
    <w:p>
      <w:pPr>
        <w:spacing w:after="0" w:line="13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Stock compensation expense related to the amortization of the fair value of service-based stock options issued was approximately $7.0 million for the year ended March 31, 2026, which included $6.8 million in general and administrative expenses, $0.2 million in product development and the remainder of approximately $20 thousand included in sales and support reported on the Company’s Consolidated Statements of Operations. Stock compensation expense related to the amortization of the fair value of service-based stock options issued was approximately $4.5 million for the year ended March 31, 2025, which was included in general and administrative reported on the Company’s Consolidated Statements of Operations.</w:t>
      </w:r>
    </w:p>
    <w:p>
      <w:pPr>
        <w:spacing w:after="0" w:line="5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weighted average fair value for the stock option awards granted for the year ended March 31, 2026 was $38.59 per share. As of March 31, 2026 and 2025, there was approximately $5.8 million and $10.2 million, respectively, of unrecognized compensation cost related to non-vested stock options granted under the Company’s stock option plans which is expected to be recognized over a weighted-average period of 1.16 years and 2.51 years,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Stock Options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Performance-Based Stock Options for the year ended March 31, 2026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Performance Options</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Exercise Price</w:t>
            </w:r>
          </w:p>
        </w:tc>
      </w:tr>
      <w:tr>
        <w:trPr>
          <w:trHeight w:val="180"/>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Options outstanding at March 31,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156,706</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Performance Options granted</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Performance Options exercised</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Performance Options forfeited/expired/cancelled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(125,975)</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Options outstanding at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30,731</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assumptions were used to calculate the grant date fair value of performance-based stock options with market price condition using the Monte Carlo simulation model:</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4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October 4, 2024</w:t>
            </w:r>
          </w:p>
        </w:tc>
      </w:tr>
      <w:tr>
        <w:trPr>
          <w:trHeight w:val="18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3.83%</w:t>
            </w:r>
          </w:p>
        </w:tc>
      </w:tr>
      <w:tr>
        <w:trPr>
          <w:trHeight w:val="18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48.42%</w:t>
            </w:r>
          </w:p>
        </w:tc>
      </w:tr>
      <w:tr>
        <w:trPr>
          <w:trHeight w:val="18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 years</w:t>
            </w:r>
          </w:p>
        </w:tc>
      </w:tr>
      <w:tr>
        <w:trPr>
          <w:trHeight w:val="18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vesting of the performance-based stock options issued during the year ended March 31, 2025 were subject to the attainment of a performance goal. The performance-based stock options (the “Stock Price Award”) will vest based on the target average stock price achieved by the Company during any sixty-day period beginning on the grant date and ending on October 4, 2027. If the target stock price level is achieved, 100% of the Stock Price Award will vest, otherwise the Stock Price Award will be forfeited in its entirety.</w:t>
      </w:r>
    </w:p>
    <w:p>
      <w:pPr>
        <w:spacing w:after="0" w:line="40"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4"/>
          <w:szCs w:val="14"/>
          <w:color w:val="auto"/>
        </w:rPr>
        <w:t>The Company recorded a reversal of approximately $0.1 million of stock compensation expense related to performance-based options due to forfeitures for the year ended March 31, 2026, included in general and administrative expenses reported on the Company’s Consolidated Statements of Operations. The Company recorded approximately $0.6 million, of stock compensation expense relating to performance-based options, for the year ended March 31, 2025, included in general and administrative expenses reported on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4819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Page 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540" w:firstLine="509"/>
        <w:spacing w:after="0" w:line="271" w:lineRule="auto"/>
        <w:rPr>
          <w:sz w:val="20"/>
          <w:szCs w:val="20"/>
          <w:color w:val="auto"/>
        </w:rPr>
      </w:pPr>
      <w:r>
        <w:rPr>
          <w:rFonts w:ascii="Times New Roman" w:cs="Times New Roman" w:eastAsia="Times New Roman" w:hAnsi="Times New Roman"/>
          <w:sz w:val="14"/>
          <w:szCs w:val="14"/>
          <w:color w:val="auto"/>
        </w:rPr>
        <w:t>As of March 31, 2026 and 2025, there was approximately $0.3 million and $1.7 million, respectively, of unrecognized compensation expense for the outstanding performance-based restricted stock options, which is expected to be recognized over a weighted average period of 1.51 years and 2.51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stock option modification</w:t>
      </w:r>
    </w:p>
    <w:p>
      <w:pPr>
        <w:spacing w:after="0" w:line="7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In October 2024, the Company awarded 213,487 performance-based stock options to various senior executive officers. In January 2025, the Board approved changes to the vesting conditions of these outstanding common stock option awards. The vesting criteria were modified from performance-based to time-based. The awards have a contractual life of 10 years and the shares will vest in three equal annual installments, based on continuous service of such officer to the Company through the applicable vesting dates. As a result of the change, the Company accounted for the modification as a Type I modification, resulting in $1.0 million of incremental fair value, of which $0.1 million was recorded immediately during the year ended March 31, 2025. The incremental compensation cost is measured as the excess of the fair value of the modified award over the fair value of the original award immediately before its terms were modified and recognized over the period from the modification date through the end of the requisite service period of the newly granted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In September 2023, the Board authorized the 2023 Share Repurchase Program (the “2023 Share Repurchase Program”) pursuant to which the Company may repurchase up to $250.0 million of the Company’s common stock on or before September 21, 2026. The Company may repurchase shares of its common stock via the open market and/or privately negotiated transactions. Repurchases will be made in accordance with applicable securities laws and may be effected pursuant to Rule 10b5-1 trading plans. The manner, timing and amount of any share repurchases will be determined by the Company based on a variety of factors, including proceeds from customer contracts, the timing of which is unpredictable, as well as general business and market conditions, the Company’s capital position, and other strategic considerations. The 2023 Share Repurchase Program does not obligate the Company to repurchase any particular amount of its common stock.</w:t>
      </w:r>
    </w:p>
    <w:p>
      <w:pPr>
        <w:spacing w:after="0" w:line="58"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The Inflation Reduction Act of 2022, which was enacted into law on August 16, 2022, imposed a nondeductible 1% excise tax on the net value of certain stock repurchases made after December 31, 2022. For the years ended March 31, 2026 and 2025, the Company had no excise tax expense.</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share repurchase activity for Fiscal 2026 and Fiscal 2025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For the years ended March 31,</w:t>
            </w:r>
          </w:p>
        </w:tc>
        <w:tc>
          <w:tcPr>
            <w:tcW w:w="500" w:type="dxa"/>
            <w:vAlign w:val="bottom"/>
            <w:tcBorders>
              <w:bottom w:val="single" w:sz="8" w:color="auto"/>
            </w:tcBorders>
          </w:tcPr>
          <w:p>
            <w:pPr>
              <w:spacing w:after="0"/>
              <w:rPr>
                <w:sz w:val="13"/>
                <w:szCs w:val="13"/>
                <w:color w:val="auto"/>
              </w:rPr>
            </w:pPr>
          </w:p>
        </w:tc>
      </w:tr>
      <w:tr>
        <w:trPr>
          <w:trHeight w:val="154"/>
        </w:trPr>
        <w:tc>
          <w:tcPr>
            <w:tcW w:w="81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repurchased and retired</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33.71</w:t>
            </w: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to repurchase</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r>
      <w:tr>
        <w:trPr>
          <w:trHeight w:val="328"/>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 Average price paid per share includes costs associated with the repurchases, excluding excise taxes associated with the share repurchases.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5"/>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As of March 31, 2026, $226.7 million is remaining under the 2023 Share Repurchase Program.</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55"/>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Supplemental Disclosure of Cash Flow Information</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55"/>
        </w:trPr>
        <w:tc>
          <w:tcPr>
            <w:tcW w:w="8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supplemental cash flow information:</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56"/>
        </w:trPr>
        <w:tc>
          <w:tcPr>
            <w:tcW w:w="8140" w:type="dxa"/>
            <w:vAlign w:val="bottom"/>
          </w:tcPr>
          <w:p>
            <w:pPr>
              <w:spacing w:after="0"/>
              <w:rPr>
                <w:sz w:val="22"/>
                <w:szCs w:val="22"/>
                <w:color w:val="auto"/>
              </w:rPr>
            </w:pPr>
          </w:p>
        </w:tc>
        <w:tc>
          <w:tcPr>
            <w:tcW w:w="264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For the years ended March 31,</w:t>
            </w:r>
          </w:p>
        </w:tc>
        <w:tc>
          <w:tcPr>
            <w:tcW w:w="500" w:type="dxa"/>
            <w:vAlign w:val="bottom"/>
            <w:tcBorders>
              <w:bottom w:val="single" w:sz="8" w:color="auto"/>
            </w:tcBorders>
          </w:tcPr>
          <w:p>
            <w:pPr>
              <w:spacing w:after="0"/>
              <w:rPr>
                <w:sz w:val="22"/>
                <w:szCs w:val="22"/>
                <w:color w:val="auto"/>
              </w:rPr>
            </w:pPr>
          </w:p>
        </w:tc>
      </w:tr>
      <w:tr>
        <w:trPr>
          <w:trHeight w:val="154"/>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r>
      <w:tr>
        <w:trPr>
          <w:trHeight w:val="16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paid, including excise tax</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10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 paid</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activity:</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change in estimated asset retirement obligations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 equipment provided in exchange for wireless licenses</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Narrowband spectrum licenses received in connection with the LCRA Agreement</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Derecognition of contingent liability related to sale of intangible assets</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21,404</w:t>
            </w:r>
          </w:p>
        </w:tc>
        <w:tc>
          <w:tcPr>
            <w:tcW w:w="10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Rights of use asset for new leases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184"/>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Rights of use asset for modifications and renewals</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112"/>
        </w:trPr>
        <w:tc>
          <w:tcPr>
            <w:tcW w:w="8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Contingencies and Guaranty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Spectrum Sale Agreements Entered into Prior to December 31, 2025</w:t>
      </w:r>
    </w:p>
    <w:p>
      <w:pPr>
        <w:spacing w:after="0" w:line="96"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 xml:space="preserve">As a result of the Company’s business strategy evolution and the introduction of the Company’s new brand and visual identity in the fourth quarter of fiscal 2026, as described in Note 2 </w:t>
      </w:r>
      <w:r>
        <w:rPr>
          <w:rFonts w:ascii="Times New Roman" w:cs="Times New Roman" w:eastAsia="Times New Roman" w:hAnsi="Times New Roman"/>
          <w:sz w:val="14"/>
          <w:szCs w:val="14"/>
          <w:b w:val="1"/>
          <w:bCs w:val="1"/>
          <w:i w:val="1"/>
          <w:iCs w:val="1"/>
          <w:color w:val="auto"/>
        </w:rPr>
        <w:t>Summary of Significant Accounting Policies</w:t>
      </w:r>
      <w:r>
        <w:rPr>
          <w:rFonts w:ascii="Times New Roman" w:cs="Times New Roman" w:eastAsia="Times New Roman" w:hAnsi="Times New Roman"/>
          <w:sz w:val="14"/>
          <w:szCs w:val="14"/>
          <w:color w:val="auto"/>
        </w:rPr>
        <w:t>, sales agreements entered into in subsequent to this shift are considered completed in the ordinary course of business and are included in Note 3</w:t>
      </w:r>
      <w:r>
        <w:rPr>
          <w:rFonts w:ascii="Times New Roman" w:cs="Times New Roman" w:eastAsia="Times New Roman" w:hAnsi="Times New Roman"/>
          <w:sz w:val="14"/>
          <w:szCs w:val="14"/>
          <w:b w:val="1"/>
          <w:bCs w:val="1"/>
          <w:i w:val="1"/>
          <w:iCs w:val="1"/>
          <w:color w:val="auto"/>
        </w:rPr>
        <w:t xml:space="preserve"> Revenue</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regarding the Company’s spectrum sale agreements entered into prior to December 2025 (as defined in the table below and collectively referred to as the “Spectrum Sale Agreements”) as of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30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Broadband</w:t>
            </w:r>
          </w:p>
        </w:tc>
        <w:tc>
          <w:tcPr>
            <w:tcW w:w="0" w:type="dxa"/>
            <w:vAlign w:val="bottom"/>
          </w:tcPr>
          <w:p>
            <w:pPr>
              <w:spacing w:after="0"/>
              <w:rPr>
                <w:sz w:val="1"/>
                <w:szCs w:val="1"/>
                <w:color w:val="auto"/>
              </w:rPr>
            </w:pPr>
          </w:p>
        </w:tc>
      </w:tr>
      <w:tr>
        <w:trPr>
          <w:trHeight w:val="14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Spectrum Sale Agreements </w:t>
            </w:r>
            <w:r>
              <w:rPr>
                <w:rFonts w:ascii="Times New Roman" w:cs="Times New Roman" w:eastAsia="Times New Roman" w:hAnsi="Times New Roman"/>
                <w:sz w:val="18"/>
                <w:szCs w:val="18"/>
                <w:b w:val="1"/>
                <w:bCs w:val="1"/>
                <w:color w:val="auto"/>
                <w:vertAlign w:val="superscript"/>
              </w:rPr>
              <w:t>(1)</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Received</w:t>
            </w:r>
          </w:p>
        </w:tc>
        <w:tc>
          <w:tcPr>
            <w:tcW w:w="16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Payments remaining</w:t>
            </w:r>
          </w:p>
        </w:tc>
        <w:tc>
          <w:tcPr>
            <w:tcW w:w="98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300" w:type="dxa"/>
            <w:vAlign w:val="bottom"/>
          </w:tcPr>
          <w:p>
            <w:pPr>
              <w:spacing w:after="0"/>
              <w:rPr>
                <w:sz w:val="12"/>
                <w:szCs w:val="12"/>
                <w:color w:val="auto"/>
              </w:rPr>
            </w:pPr>
          </w:p>
        </w:tc>
        <w:tc>
          <w:tcPr>
            <w:tcW w:w="11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delivered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Diego Gas &amp; Electric (“SDG&amp;E”) Agreement</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February 2021</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$50.0 million</w:t>
            </w:r>
          </w:p>
        </w:tc>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$45.6 million </w:t>
            </w:r>
            <w:r>
              <w:rPr>
                <w:rFonts w:ascii="Times New Roman" w:cs="Times New Roman" w:eastAsia="Times New Roman" w:hAnsi="Times New Roman"/>
                <w:sz w:val="8"/>
                <w:szCs w:val="8"/>
                <w:color w:val="auto"/>
              </w:rPr>
              <w:t>(2)</w:t>
            </w:r>
          </w:p>
        </w:tc>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 million</w:t>
            </w: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LCRA Agreement</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April 2023</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$30.0 million</w:t>
            </w:r>
          </w:p>
        </w:tc>
        <w:tc>
          <w:tcPr>
            <w:tcW w:w="1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$29.3 million</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$0.7 million</w:t>
            </w:r>
          </w:p>
        </w:tc>
        <w:tc>
          <w:tcPr>
            <w:tcW w:w="9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LCRA Expansion Agreement</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2025</w:t>
            </w: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$13.5 million</w:t>
            </w:r>
          </w:p>
        </w:tc>
        <w:tc>
          <w:tcPr>
            <w:tcW w:w="1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$6.0 million</w:t>
            </w:r>
          </w:p>
        </w:tc>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$6.5 million </w:t>
            </w:r>
            <w:r>
              <w:rPr>
                <w:rFonts w:ascii="Times New Roman" w:cs="Times New Roman" w:eastAsia="Times New Roman" w:hAnsi="Times New Roman"/>
                <w:sz w:val="8"/>
                <w:szCs w:val="8"/>
                <w:color w:val="auto"/>
              </w:rPr>
              <w:t>(3)</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Oncor Agreement</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June 2024</w:t>
            </w: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$102.5 million </w:t>
            </w:r>
            <w:r>
              <w:rPr>
                <w:rFonts w:ascii="Times New Roman" w:cs="Times New Roman" w:eastAsia="Times New Roman" w:hAnsi="Times New Roman"/>
                <w:sz w:val="18"/>
                <w:szCs w:val="18"/>
                <w:color w:val="auto"/>
                <w:vertAlign w:val="superscript"/>
              </w:rPr>
              <w:t>(4)</w:t>
            </w:r>
          </w:p>
        </w:tc>
        <w:tc>
          <w:tcPr>
            <w:tcW w:w="1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$100.6 million </w:t>
            </w:r>
            <w:r>
              <w:rPr>
                <w:rFonts w:ascii="Times New Roman" w:cs="Times New Roman" w:eastAsia="Times New Roman" w:hAnsi="Times New Roman"/>
                <w:sz w:val="18"/>
                <w:szCs w:val="18"/>
                <w:color w:val="auto"/>
                <w:vertAlign w:val="superscript"/>
              </w:rPr>
              <w:t>(4)</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60" w:hanging="255"/>
        <w:spacing w:after="0" w:line="249"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 A gain or loss on the sale of spectrum will be recognized for each county once we deliver the cleared 900 MHz Broadband Spectrum and the associated broadband licenses.</w:t>
      </w:r>
    </w:p>
    <w:p>
      <w:pPr>
        <w:spacing w:after="0" w:line="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delivery delay adjustments.</w:t>
      </w:r>
    </w:p>
    <w:p>
      <w:pPr>
        <w:ind w:left="260" w:hanging="255"/>
        <w:spacing w:after="0" w:line="23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$1.0 million credit, which was applied against the remaining balance pursuant to the LCRA Expansion Agreement in recognition of their contributions to our business efforts.</w:t>
      </w:r>
    </w:p>
    <w:p>
      <w:pPr>
        <w:ind w:left="260" w:right="540" w:hanging="255"/>
        <w:spacing w:after="0" w:line="263"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reimbursable clearing costs and Anti-Windfall Payments made in connection with the transfer of the associated broadband licenses. Total consideration included $7.5 million in estimated reimbursable clearing costs and Anti-Windfall Payments of which $5.6 million was realized.</w:t>
      </w:r>
    </w:p>
    <w:p>
      <w:pPr>
        <w:spacing w:after="0" w:line="4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Company’s short-term and long-term contingent liabilities related to certain spectrum sale agreements based on the estimated timing of license deliveries (in thousands) as of March 31, 2026:</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r>
      <w:tr>
        <w:trPr>
          <w:trHeight w:val="17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Spectrum Sale Agreements</w:t>
            </w: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Long Term</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Long Term</w:t>
            </w:r>
          </w:p>
        </w:tc>
      </w:tr>
      <w:tr>
        <w:trPr>
          <w:trHeight w:val="171"/>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SDG&amp;E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LCRA Agreement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15,336</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LCRA Expansion Agreement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Oncor</w:t>
            </w: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80" w:type="dxa"/>
            <w:vAlign w:val="bottom"/>
            <w:tcBorders>
              <w:top w:val="single" w:sz="8" w:color="CCEEFF"/>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4"/>
                <w:szCs w:val="14"/>
                <w:color w:val="auto"/>
              </w:rPr>
              <w:t xml:space="preserve">Total contingent liabilities </w:t>
            </w:r>
            <w:r>
              <w:rPr>
                <w:rFonts w:ascii="Times New Roman" w:cs="Times New Roman" w:eastAsia="Times New Roman" w:hAnsi="Times New Roman"/>
                <w:sz w:val="18"/>
                <w:szCs w:val="18"/>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right="460" w:hanging="255"/>
        <w:spacing w:after="0" w:line="271"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the contingent liability and a gain or loss on the sale of spectrum will be recognized for each county once the Company delivers the 900 MHz Broadband Spectrum and the associated broadband licenses.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Guaranties</w:t>
      </w:r>
    </w:p>
    <w:p>
      <w:pPr>
        <w:spacing w:after="0" w:line="9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 October 2022, the Company entered into an agreement with Xcel Energy providing Xcel Energy dedicated long-term usage of the Company’s 900 MHz Broadband Spectrum for a term of 20 years throughout Xcel Energy’s service territory in eight states (the “Xcel Energy Agreement”). In connection with the Xcel Energy Agreement, the Company entered into a guaranty agreement, under which the Company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the Company is required to refund payments it has received. In addition, to the extent the Company has performed any obligations, the Company’s liability and remaining obligations under the Xcel Energy Agreement will extend only to the remaining unperformed obligations. The Company recorded $76.0 million in deferred revenue in connection with the prepayments received as of March 31, 2026.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216535</wp:posOffset>
            </wp:positionV>
            <wp:extent cx="714819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2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Company commenced delivery of the relevant cleared 900 MHz Broadband Spectrum and the associated broadband leases in the first quarter of fiscal year 2024 and will continue through 2029. As of March 31, 2026, the maximum potential liability of future undiscounted payments under this agreement is approximately $67.4 million, reflecting a reduction in liability due to the obligations it has performed to date and revenue recognized.</w:t>
      </w:r>
    </w:p>
    <w:p>
      <w:pPr>
        <w:spacing w:after="0" w:line="5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June 2025, the Company entered into an agreement to retune and acquire wireless licenses for approximately $28.0 million. In connection with this agreement, the Company entered into a guaranty agreement with the incumbent, under which the Company guaranteed the payment and performance of all obligations under the agreement to the incumbent in the event of default. In addition, to the extent the Company has performed any obligations under the agreement, the Company’s liability and remaining obligations will extend only to the remaining obligations. As of March 31, 2026, the maximum potential liability of future undiscounted payments under this agreement is approximately $18.2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 - Employer Contributions</w:t>
      </w:r>
    </w:p>
    <w:p>
      <w:pPr>
        <w:spacing w:after="0" w:line="9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sponsors defined contribution plans (the “Plans”) that cover our employees following the completion of an eligibility period. Under the Plans, participating employees may defer a portion of their pretax and post tax earnings up to the limits provided by local statutory requirements. The Company makes matching contributions, subject to limits of the base compensation that a participant contributes to the Plan. The Company records its portion of matching contributions within general and administrative expenses on the Company’s Consolidated Statement of Operations. The Company contributed $0.4 million and $0.5 million for the years ended March 31, 2026 and 2025,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9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In addition to commitments and obligations in the ordinary course of business as reflected in the lease footnote above, the Company may be subject, from time to time, to various claims and pending and potential legal actions arising out of the normal conduct of its business. The Company assesses contingencies to determine the degree of probability and range of possible loss for potential accrual in its financial statements.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it may be unsupported, exaggerated or unrelated to possible outcomes, and as such are not meaningful indicators of its potential liability.</w:t>
      </w:r>
    </w:p>
    <w:p>
      <w:pPr>
        <w:spacing w:after="0" w:line="6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Company regularly reviews contingencies to determine the adequacy of its accruals and related disclosures. During the period presented, the Company has not recorded any accrual for loss contingencies associated with any claims or legal proceedings; determined that an unfavorable outcome is probable or reasonably possible; or determined that the amount or range of any possible loss is reasonably estimable. However, the outcome of legal proceedings and claims brought against the Company is subject to significant uncertainty. Therefore, although management considers the likelihood of a material adverse outcome to be remote, if one or more of these legal matters were resolved against the Company in a reporting period, the Company’s consolidated financial statements for that reporting period could be materially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April 16, 2026, the Company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327660</wp:posOffset>
            </wp:positionV>
            <wp:extent cx="714819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4"/>
          <w:szCs w:val="14"/>
          <w:color w:val="auto"/>
        </w:rPr>
        <w:t>Page F- 32</w:t>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STOCK OPTION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Form)</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Anterix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that number of shares of the Company’s common stock set forth below (the “</w:t>
      </w: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on the following terms and conditions. All capitalization terms used herein that are not defined herein shall have the meaning ascribed to such term in the Plan, except as provided in a Superseding Agreement.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4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____________</w:t>
            </w:r>
          </w:p>
        </w:tc>
        <w:tc>
          <w:tcPr>
            <w:tcW w:w="14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Award No.: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_______</w:t>
            </w:r>
          </w:p>
        </w:tc>
        <w:tc>
          <w:tcPr>
            <w:tcW w:w="1300" w:type="dxa"/>
            <w:vAlign w:val="bottom"/>
          </w:tcPr>
          <w:p>
            <w:pPr>
              <w:spacing w:after="0"/>
              <w:rPr>
                <w:sz w:val="17"/>
                <w:szCs w:val="17"/>
                <w:color w:val="auto"/>
              </w:rPr>
            </w:pPr>
          </w:p>
        </w:tc>
      </w:tr>
      <w:tr>
        <w:trPr>
          <w:trHeight w:val="30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6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6"/>
              </w:rPr>
              <w:t>________</w:t>
            </w:r>
          </w:p>
        </w:tc>
        <w:tc>
          <w:tcPr>
            <w:tcW w:w="34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30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Option Shares:</w:t>
            </w:r>
          </w:p>
        </w:tc>
        <w:tc>
          <w:tcPr>
            <w:tcW w:w="56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_______, subject to adjustment as provided by the Stock Option Agreement.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$____</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Start Date:</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7"/>
              </w:rPr>
              <w:t>______</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8"/>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Option Expiration Date:</w:t>
            </w:r>
          </w:p>
        </w:tc>
        <w:tc>
          <w:tcPr>
            <w:tcW w:w="4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tenth anniversary of the Date of Grant.</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Tax Status of Option:</w:t>
            </w:r>
          </w:p>
        </w:tc>
        <w:tc>
          <w:tcPr>
            <w:tcW w:w="4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Nonstatutory Stock Option.</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7"/>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Condition:</w:t>
            </w: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Except as otherwise specified below or in the Stock Option Agreement, [VEST SCHEDULE] (the “</w:t>
            </w:r>
            <w:r>
              <w:rPr>
                <w:rFonts w:ascii="Times New Roman" w:cs="Times New Roman" w:eastAsia="Times New Roman" w:hAnsi="Times New Roman"/>
                <w:sz w:val="17"/>
                <w:szCs w:val="17"/>
                <w:b w:val="1"/>
                <w:bCs w:val="1"/>
                <w:color w:val="auto"/>
              </w:rPr>
              <w:t>Initial Vesting</w:t>
            </w:r>
          </w:p>
        </w:tc>
      </w:tr>
      <w:tr>
        <w:trPr>
          <w:trHeight w:val="206"/>
        </w:trPr>
        <w:tc>
          <w:tcPr>
            <w:tcW w:w="3100" w:type="dxa"/>
            <w:vAlign w:val="bottom"/>
          </w:tcPr>
          <w:p>
            <w:pPr>
              <w:spacing w:after="0"/>
              <w:rPr>
                <w:sz w:val="17"/>
                <w:szCs w:val="17"/>
                <w:color w:val="auto"/>
              </w:rPr>
            </w:pP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and the remainder of the shares will vest in two-equal annual installments on each of the next two</w:t>
            </w:r>
          </w:p>
        </w:tc>
      </w:tr>
      <w:tr>
        <w:trPr>
          <w:trHeight w:val="202"/>
        </w:trPr>
        <w:tc>
          <w:tcPr>
            <w:tcW w:w="3100" w:type="dxa"/>
            <w:vAlign w:val="bottom"/>
          </w:tcPr>
          <w:p>
            <w:pPr>
              <w:spacing w:after="0"/>
              <w:rPr>
                <w:sz w:val="17"/>
                <w:szCs w:val="17"/>
                <w:color w:val="auto"/>
              </w:rPr>
            </w:pP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anniversaries thereafter, so long as Participant’s Service (as defined in the Stock Option Agreement) is continuous</w:t>
            </w:r>
          </w:p>
        </w:tc>
      </w:tr>
      <w:tr>
        <w:trPr>
          <w:trHeight w:val="219"/>
        </w:trPr>
        <w:tc>
          <w:tcPr>
            <w:tcW w:w="3100" w:type="dxa"/>
            <w:vAlign w:val="bottom"/>
          </w:tcPr>
          <w:p>
            <w:pPr>
              <w:spacing w:after="0"/>
              <w:rPr>
                <w:sz w:val="19"/>
                <w:szCs w:val="19"/>
                <w:color w:val="auto"/>
              </w:rPr>
            </w:pPr>
          </w:p>
        </w:tc>
        <w:tc>
          <w:tcPr>
            <w:tcW w:w="4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from the Date of Grant through the applicable vesting date.</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9"/>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Accelerated Vesting:</w:t>
            </w: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Any accelerated Vesting shall be defined in and subject to the Company’s Executive Severance Plan and the</w:t>
            </w:r>
          </w:p>
        </w:tc>
      </w:tr>
      <w:tr>
        <w:trPr>
          <w:trHeight w:val="219"/>
        </w:trPr>
        <w:tc>
          <w:tcPr>
            <w:tcW w:w="3100" w:type="dxa"/>
            <w:vAlign w:val="bottom"/>
          </w:tcPr>
          <w:p>
            <w:pPr>
              <w:spacing w:after="0"/>
              <w:rPr>
                <w:sz w:val="19"/>
                <w:szCs w:val="19"/>
                <w:color w:val="auto"/>
              </w:rPr>
            </w:pP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applicable Executive Severance Plan Participation Agreement entered into with the Participant.</w:t>
            </w:r>
          </w:p>
        </w:tc>
      </w:tr>
      <w:tr>
        <w:trPr>
          <w:trHeight w:val="311"/>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Superseding Agreement:</w:t>
            </w: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Any employment agreement between the Company and Participant or any severance plan adopted by the Board in</w:t>
            </w:r>
          </w:p>
        </w:tc>
      </w:tr>
      <w:tr>
        <w:trPr>
          <w:trHeight w:val="202"/>
        </w:trPr>
        <w:tc>
          <w:tcPr>
            <w:tcW w:w="3100" w:type="dxa"/>
            <w:vAlign w:val="bottom"/>
          </w:tcPr>
          <w:p>
            <w:pPr>
              <w:spacing w:after="0"/>
              <w:rPr>
                <w:sz w:val="17"/>
                <w:szCs w:val="17"/>
                <w:color w:val="auto"/>
              </w:rPr>
            </w:pP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which Participant agrees to participate (including the Executive Severance Plan) shall be deemed a Superseding</w:t>
            </w:r>
          </w:p>
        </w:tc>
      </w:tr>
      <w:tr>
        <w:trPr>
          <w:trHeight w:val="219"/>
        </w:trPr>
        <w:tc>
          <w:tcPr>
            <w:tcW w:w="3100" w:type="dxa"/>
            <w:vAlign w:val="bottom"/>
          </w:tcPr>
          <w:p>
            <w:pPr>
              <w:spacing w:after="0"/>
              <w:rPr>
                <w:sz w:val="19"/>
                <w:szCs w:val="19"/>
                <w:color w:val="auto"/>
              </w:rPr>
            </w:pPr>
          </w:p>
        </w:tc>
        <w:tc>
          <w:tcPr>
            <w:tcW w:w="8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Agreement, and the terms set forth in such employment agreement or severance plan (including the Executive</w:t>
            </w:r>
          </w:p>
        </w:tc>
      </w:tr>
    </w:tbl>
    <w:p>
      <w:pPr>
        <w:ind w:left="3160" w:right="60"/>
        <w:spacing w:after="0" w:line="254" w:lineRule="auto"/>
        <w:rPr>
          <w:sz w:val="20"/>
          <w:szCs w:val="20"/>
          <w:color w:val="auto"/>
        </w:rPr>
      </w:pPr>
      <w:r>
        <w:rPr>
          <w:rFonts w:ascii="Times New Roman" w:cs="Times New Roman" w:eastAsia="Times New Roman" w:hAnsi="Times New Roman"/>
          <w:sz w:val="17"/>
          <w:szCs w:val="17"/>
          <w:color w:val="auto"/>
        </w:rPr>
        <w:t>Severance Plan) shall supersede and replace the terms set forth in this Notice of Grant, the accompanying Stock Option Agreement and the Plan.</w:t>
      </w:r>
    </w:p>
    <w:p>
      <w:pPr>
        <w:sectPr>
          <w:pgSz w:w="11900" w:h="16838" w:orient="portrait"/>
          <w:cols w:equalWidth="0" w:num="1">
            <w:col w:w="11280"/>
          </w:cols>
          <w:pgMar w:left="300" w:top="1136" w:right="31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Option is governed by this Notice of Grant and by the provisions of the Stock Option Agreement and the Plan, both of which are made a part of this document, and by the Superseding Agreement, if any. The Participant acknowledges that copies of the Plan, the Stock Option Agreement and the prospectus for the Plan are available on the Company’s internal web site and may be viewed and printed by the Participant for attachment to the Participant’s copy of this Notice of Grant. The Participant represents that the Participant has read and is familiar with the provisions of the Stock Option Agreement and the Plan, and hereby accepts the Option subject to all of their terms and conditions.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260" w:type="dxa"/>
            <w:vAlign w:val="bottom"/>
          </w:tcPr>
          <w:p>
            <w:pPr>
              <w:spacing w:after="0"/>
              <w:rPr>
                <w:sz w:val="19"/>
                <w:szCs w:val="19"/>
                <w:color w:val="auto"/>
              </w:rPr>
            </w:pP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17"/>
        </w:trPr>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r>
      <w:tr>
        <w:trPr>
          <w:trHeight w:val="263"/>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Name: Elena Marquez</w:t>
            </w: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Signature</w:t>
            </w:r>
          </w:p>
        </w:tc>
      </w:tr>
      <w:tr>
        <w:trPr>
          <w:trHeight w:val="205"/>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Title: Chief Financial Officer</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Date</w:t>
            </w:r>
          </w:p>
        </w:tc>
      </w:tr>
      <w:tr>
        <w:trPr>
          <w:trHeight w:val="20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Garret Mountain</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Suite 401</w:t>
            </w: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Address</w:t>
            </w:r>
          </w:p>
        </w:tc>
      </w:tr>
      <w:tr>
        <w:trPr>
          <w:trHeight w:val="205"/>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Woodland Park, NJ 07424</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507"/>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ATTACHMENTS:</w:t>
            </w:r>
          </w:p>
        </w:tc>
        <w:tc>
          <w:tcPr>
            <w:tcW w:w="79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2023 Stock Plan, as amended to the Date of Grant; Stock Option Agreement; Exercise Notice; and Plan Prospectus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48"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3"/>
          <w:szCs w:val="23"/>
          <w:b w:val="1"/>
          <w:bCs w:val="1"/>
          <w:color w:val="auto"/>
        </w:rPr>
        <w:t>ANTERIX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STOCK OPTION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(Executive Form)</w:t>
      </w:r>
    </w:p>
    <w:p>
      <w:pPr>
        <w:spacing w:after="0" w:line="1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Stock Option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to which this Stock Option Agreement (the “</w:t>
      </w:r>
      <w:r>
        <w:rPr>
          <w:rFonts w:ascii="Times New Roman" w:cs="Times New Roman" w:eastAsia="Times New Roman" w:hAnsi="Times New Roman"/>
          <w:sz w:val="17"/>
          <w:szCs w:val="17"/>
          <w:b w:val="1"/>
          <w:bCs w:val="1"/>
          <w:i w:val="1"/>
          <w:iCs w:val="1"/>
          <w:color w:val="auto"/>
        </w:rPr>
        <w:t>Option Agreement</w:t>
      </w:r>
      <w:r>
        <w:rPr>
          <w:rFonts w:ascii="Times New Roman" w:cs="Times New Roman" w:eastAsia="Times New Roman" w:hAnsi="Times New Roman"/>
          <w:sz w:val="17"/>
          <w:szCs w:val="17"/>
          <w:color w:val="auto"/>
        </w:rPr>
        <w:t>”) is attached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certain shares of the Company’s common stock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upon the terms and conditions set forth in the Notice of Grant and this Option Agreement. The Option has been granted pursuant to and shall in all respects be subject to the terms and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Option Agreement, the Plan and a prospectus for the Plan prepared in connection with the registration with the Securities and Exchange Commission of shares issuable pursuant to the Option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Option subject to all of the terms and conditions of the Notice of Grant, this Option Agreement and the Plan and (c) agrees to accept as binding, conclusive and final all decisions or interpretations of the Compensation Committee of the Board of Directors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upon any questions arising under the Notice of Grant, this Option Agreement or the Plan.</w:t>
      </w:r>
    </w:p>
    <w:p>
      <w:pPr>
        <w:spacing w:after="0" w:line="119" w:lineRule="exact"/>
        <w:rPr>
          <w:sz w:val="20"/>
          <w:szCs w:val="20"/>
          <w:color w:val="auto"/>
        </w:rPr>
      </w:pPr>
    </w:p>
    <w:p>
      <w:pPr>
        <w:ind w:left="1020" w:hanging="506"/>
        <w:spacing w:after="0"/>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(including any Superseding Agreement) or the Plan.</w:t>
      </w:r>
    </w:p>
    <w:p>
      <w:pPr>
        <w:spacing w:after="0" w:line="115"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b w:val="1"/>
          <w:bCs w:val="1"/>
          <w:color w:val="auto"/>
        </w:rPr>
        <w:t>.</w:t>
      </w:r>
    </w:p>
    <w:p>
      <w:pPr>
        <w:spacing w:after="0" w:line="144"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b w:val="1"/>
          <w:bCs w:val="1"/>
          <w:color w:val="auto"/>
        </w:rPr>
        <w:t>Tax Status of Option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This Option is intended to have the tax status designated in the Notice of Grant.</w:t>
      </w:r>
    </w:p>
    <w:p>
      <w:pPr>
        <w:spacing w:after="0" w:line="144" w:lineRule="exact"/>
        <w:rPr>
          <w:rFonts w:ascii="Times New Roman" w:cs="Times New Roman" w:eastAsia="Times New Roman" w:hAnsi="Times New Roman"/>
          <w:sz w:val="17"/>
          <w:szCs w:val="17"/>
          <w:color w:val="auto"/>
        </w:rPr>
      </w:pPr>
    </w:p>
    <w:p>
      <w:pPr>
        <w:jc w:val="both"/>
        <w:ind w:firstLine="1533"/>
        <w:spacing w:after="0" w:line="219" w:lineRule="auto"/>
        <w:tabs>
          <w:tab w:leader="none" w:pos="2035"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Notice of Grant so designates, this Option is intended to be an Incentive Stock Option within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w:t>
      </w:r>
    </w:p>
    <w:p>
      <w:pPr>
        <w:sectPr>
          <w:pgSz w:w="11900" w:h="16838" w:orient="portrait"/>
          <w:cols w:equalWidth="0" w:num="1">
            <w:col w:w="11280"/>
          </w:cols>
          <w:pgMar w:left="300" w:top="1128" w:right="319" w:bottom="1440" w:gutter="0" w:footer="0" w:header="0"/>
        </w:sectPr>
      </w:pPr>
    </w:p>
    <w:bookmarkStart w:id="86" w:name="page87"/>
    <w:bookmarkEnd w:id="86"/>
    <w:p>
      <w:pPr>
        <w:ind w:firstLine="1533"/>
        <w:spacing w:after="0" w:line="242" w:lineRule="auto"/>
        <w:tabs>
          <w:tab w:leader="none" w:pos="203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Nonstatutory Stock Option. </w:t>
      </w:r>
      <w:r>
        <w:rPr>
          <w:rFonts w:ascii="Times New Roman" w:cs="Times New Roman" w:eastAsia="Times New Roman" w:hAnsi="Times New Roman"/>
          <w:sz w:val="17"/>
          <w:szCs w:val="17"/>
          <w:color w:val="auto"/>
        </w:rPr>
        <w:t>If the Notice of Grant so designates, this Option is intended to be a Nonstatutory Stock Option and shall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be treated as an Incentive Stock Option within the meaning of Section 422(b) of the Code.</w:t>
      </w:r>
    </w:p>
    <w:p>
      <w:pPr>
        <w:spacing w:after="0" w:line="115" w:lineRule="exact"/>
        <w:rPr>
          <w:sz w:val="20"/>
          <w:szCs w:val="20"/>
          <w:color w:val="auto"/>
        </w:rPr>
      </w:pPr>
    </w:p>
    <w:p>
      <w:pPr>
        <w:jc w:val="both"/>
        <w:ind w:firstLine="1019"/>
        <w:spacing w:after="0" w:line="21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b w:val="1"/>
          <w:bCs w:val="1"/>
          <w:color w:val="auto"/>
        </w:rPr>
        <w:t>ISO Fair Market Value Limitation.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21" w:lineRule="exact"/>
        <w:rPr>
          <w:sz w:val="20"/>
          <w:szCs w:val="20"/>
          <w:color w:val="auto"/>
        </w:rPr>
      </w:pPr>
    </w:p>
    <w:p>
      <w:pPr>
        <w:ind w:left="1020" w:hanging="506"/>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18" w:lineRule="exact"/>
        <w:rPr>
          <w:sz w:val="20"/>
          <w:szCs w:val="20"/>
          <w:color w:val="auto"/>
        </w:rPr>
      </w:pPr>
    </w:p>
    <w:p>
      <w:pPr>
        <w:ind w:left="1020" w:hanging="506"/>
        <w:spacing w:after="0"/>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 of the Option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Right to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3" w:right="319" w:bottom="1440" w:gutter="0" w:footer="0" w:header="0"/>
        </w:sectPr>
      </w:pPr>
    </w:p>
    <w:bookmarkStart w:id="87" w:name="page88"/>
    <w:bookmarkEnd w:id="87"/>
    <w:p>
      <w:pPr>
        <w:jc w:val="both"/>
        <w:ind w:firstLine="1019"/>
        <w:spacing w:after="0" w:line="214"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Method of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Exercise of the Option shall be by means of electronic or written notice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b w:val="1"/>
          <w:bCs w:val="1"/>
          <w:color w:val="auto"/>
        </w:rPr>
        <w:t>Payment of Exercise Price.</w:t>
      </w:r>
    </w:p>
    <w:p>
      <w:pPr>
        <w:spacing w:after="0" w:line="144" w:lineRule="exact"/>
        <w:rPr>
          <w:sz w:val="20"/>
          <w:szCs w:val="20"/>
          <w:color w:val="auto"/>
        </w:rPr>
      </w:pPr>
    </w:p>
    <w:p>
      <w:pPr>
        <w:jc w:val="both"/>
        <w:ind w:firstLine="1533"/>
        <w:spacing w:after="0" w:line="224" w:lineRule="auto"/>
        <w:tabs>
          <w:tab w:leader="none" w:pos="203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Forms of Consideration Authorized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provided below, payment of the aggregate Exercise Price for the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if permitted by the Committee, by any combination of the foregoing.</w:t>
      </w:r>
    </w:p>
    <w:p>
      <w:pPr>
        <w:spacing w:after="0" w:line="118" w:lineRule="exact"/>
        <w:rPr>
          <w:rFonts w:ascii="Times New Roman" w:cs="Times New Roman" w:eastAsia="Times New Roman" w:hAnsi="Times New Roman"/>
          <w:sz w:val="17"/>
          <w:szCs w:val="17"/>
          <w:color w:val="auto"/>
        </w:rPr>
      </w:pPr>
    </w:p>
    <w:p>
      <w:pPr>
        <w:jc w:val="both"/>
        <w:ind w:firstLine="1533"/>
        <w:spacing w:after="0" w:line="230" w:lineRule="auto"/>
        <w:tabs>
          <w:tab w:leader="none" w:pos="203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Limitations on Forms of Consideration. </w:t>
      </w:r>
      <w:r>
        <w:rPr>
          <w:rFonts w:ascii="Times New Roman" w:cs="Times New Roman" w:eastAsia="Times New Roman" w:hAnsi="Times New Roman"/>
          <w:sz w:val="17"/>
          <w:szCs w:val="17"/>
          <w:color w:val="auto"/>
        </w:rPr>
        <w:t>The Company reserves, at any and all times, the right, in its sole and absolute discretion,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17" w:lineRule="exact"/>
        <w:rPr>
          <w:rFonts w:ascii="Times New Roman" w:cs="Times New Roman" w:eastAsia="Times New Roman" w:hAnsi="Times New Roman"/>
          <w:sz w:val="17"/>
          <w:szCs w:val="17"/>
          <w:color w:val="auto"/>
        </w:rPr>
      </w:pPr>
    </w:p>
    <w:p>
      <w:pPr>
        <w:jc w:val="both"/>
        <w:ind w:firstLine="2042"/>
        <w:spacing w:after="0" w:line="224" w:lineRule="auto"/>
        <w:tabs>
          <w:tab w:leader="none" w:pos="253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Cashless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Cashless Exercise</w:t>
      </w:r>
      <w:r>
        <w:rPr>
          <w:rFonts w:ascii="Times New Roman" w:cs="Times New Roman" w:eastAsia="Times New Roman" w:hAnsi="Times New Roman"/>
          <w:sz w:val="17"/>
          <w:szCs w:val="17"/>
          <w:color w:val="auto"/>
        </w:rPr>
        <w:t>” means the delivery of a properly executed Exercise Notice together with irrevocable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18" w:lineRule="exact"/>
        <w:rPr>
          <w:rFonts w:ascii="Times New Roman" w:cs="Times New Roman" w:eastAsia="Times New Roman" w:hAnsi="Times New Roman"/>
          <w:sz w:val="17"/>
          <w:szCs w:val="17"/>
          <w:color w:val="auto"/>
        </w:rPr>
      </w:pPr>
    </w:p>
    <w:p>
      <w:pPr>
        <w:jc w:val="both"/>
        <w:ind w:firstLine="2042"/>
        <w:spacing w:after="0" w:line="219" w:lineRule="auto"/>
        <w:tabs>
          <w:tab w:leader="none" w:pos="2542"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Net-Exercise</w:t>
      </w:r>
      <w:r>
        <w:rPr>
          <w:rFonts w:ascii="Times New Roman" w:cs="Times New Roman" w:eastAsia="Times New Roman" w:hAnsi="Times New Roman"/>
          <w:sz w:val="17"/>
          <w:szCs w:val="17"/>
          <w:color w:val="auto"/>
        </w:rPr>
        <w:t>” means the delivery of a properly executed Exercise Notice electing a procedure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(1) 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3" w:right="319" w:bottom="1440" w:gutter="0" w:footer="0" w:header="0"/>
        </w:sectPr>
      </w:pPr>
    </w:p>
    <w:bookmarkStart w:id="88" w:name="page89"/>
    <w:bookmarkEnd w:id="88"/>
    <w:p>
      <w:pPr>
        <w:jc w:val="both"/>
        <w:ind w:firstLine="2042"/>
        <w:spacing w:after="0" w:line="216" w:lineRule="auto"/>
        <w:tabs>
          <w:tab w:leader="none" w:pos="254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Tender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Stock Tender Exercise</w:t>
      </w:r>
      <w:r>
        <w:rPr>
          <w:rFonts w:ascii="Times New Roman" w:cs="Times New Roman" w:eastAsia="Times New Roman" w:hAnsi="Times New Roman"/>
          <w:sz w:val="17"/>
          <w:szCs w:val="17"/>
          <w:color w:val="auto"/>
        </w:rPr>
        <w:t>” means the delivery of a properly executed Exercise Notice accompanied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b w:val="1"/>
          <w:bCs w:val="1"/>
          <w:color w:val="auto"/>
        </w:rPr>
        <w:t>Tax Withholding</w:t>
      </w:r>
      <w:r>
        <w:rPr>
          <w:rFonts w:ascii="Times New Roman" w:cs="Times New Roman" w:eastAsia="Times New Roman" w:hAnsi="Times New Roman"/>
          <w:sz w:val="16"/>
          <w:szCs w:val="16"/>
          <w:b w:val="1"/>
          <w:bCs w:val="1"/>
          <w:i w:val="1"/>
          <w:iCs w:val="1"/>
          <w:color w:val="auto"/>
        </w:rPr>
        <w:t>.</w:t>
      </w:r>
    </w:p>
    <w:p>
      <w:pPr>
        <w:spacing w:after="0" w:line="144" w:lineRule="exact"/>
        <w:rPr>
          <w:sz w:val="20"/>
          <w:szCs w:val="20"/>
          <w:color w:val="auto"/>
        </w:rPr>
      </w:pPr>
    </w:p>
    <w:p>
      <w:pPr>
        <w:jc w:val="both"/>
        <w:ind w:firstLine="1533"/>
        <w:spacing w:after="0" w:line="221" w:lineRule="auto"/>
        <w:tabs>
          <w:tab w:leader="none" w:pos="20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 General. </w:t>
      </w:r>
      <w:r>
        <w:rPr>
          <w:rFonts w:ascii="Times New Roman" w:cs="Times New Roman" w:eastAsia="Times New Roman" w:hAnsi="Times New Roman"/>
          <w:sz w:val="17"/>
          <w:szCs w:val="17"/>
          <w:color w:val="auto"/>
        </w:rPr>
        <w:t>At the time the Option is exercised, in whole or in part, or at any time thereafter as requested by a Participating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Withholding in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have the right, but not the obligation, to require the Participant to satisfy all or any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color w:val="auto"/>
        </w:rPr>
        <w:t>Restrictions on Grant of the Option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w:t>
      </w:r>
    </w:p>
    <w:p>
      <w:pPr>
        <w:spacing w:after="0" w:line="2" w:lineRule="exact"/>
        <w:rPr>
          <w:sz w:val="20"/>
          <w:szCs w:val="20"/>
          <w:color w:val="auto"/>
        </w:rPr>
      </w:pPr>
    </w:p>
    <w:p>
      <w:pPr>
        <w:jc w:val="both"/>
        <w:ind w:firstLine="5"/>
        <w:spacing w:after="0" w:line="218" w:lineRule="auto"/>
        <w:tabs>
          <w:tab w:leader="none" w:pos="2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3" w:right="319" w:bottom="1440" w:gutter="0" w:footer="0" w:header="0"/>
        </w:sectPr>
      </w:pPr>
    </w:p>
    <w:bookmarkStart w:id="89" w:name="page90"/>
    <w:bookmarkEnd w:id="89"/>
    <w:p>
      <w:pPr>
        <w:jc w:val="both"/>
        <w:spacing w:after="0" w:line="218" w:lineRule="auto"/>
        <w:rPr>
          <w:sz w:val="20"/>
          <w:szCs w:val="20"/>
          <w:color w:val="auto"/>
        </w:rPr>
      </w:pPr>
      <w:r>
        <w:rPr>
          <w:rFonts w:ascii="Times New Roman" w:cs="Times New Roman" w:eastAsia="Times New Roman" w:hAnsi="Times New Roman"/>
          <w:sz w:val="17"/>
          <w:szCs w:val="17"/>
          <w:color w:val="auto"/>
        </w:rPr>
        <w:t>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1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exercise of the Option.</w:t>
      </w:r>
    </w:p>
    <w:p>
      <w:pPr>
        <w:spacing w:after="0" w:line="144" w:lineRule="exact"/>
        <w:rPr>
          <w:sz w:val="20"/>
          <w:szCs w:val="20"/>
          <w:color w:val="auto"/>
        </w:rPr>
      </w:pPr>
    </w:p>
    <w:p>
      <w:pPr>
        <w:ind w:left="1020" w:hanging="506"/>
        <w:spacing w:after="0"/>
        <w:tabs>
          <w:tab w:leader="none" w:pos="10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 of the Option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8" w:lineRule="auto"/>
        <w:rPr>
          <w:sz w:val="20"/>
          <w:szCs w:val="20"/>
          <w:color w:val="auto"/>
        </w:rPr>
      </w:pPr>
      <w:r>
        <w:rPr>
          <w:rFonts w:ascii="Times New Roman" w:cs="Times New Roman" w:eastAsia="Times New Roman" w:hAnsi="Times New Roman"/>
          <w:sz w:val="17"/>
          <w:szCs w:val="17"/>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21" w:lineRule="exact"/>
        <w:rPr>
          <w:sz w:val="20"/>
          <w:szCs w:val="20"/>
          <w:color w:val="auto"/>
        </w:rPr>
      </w:pPr>
    </w:p>
    <w:p>
      <w:pPr>
        <w:ind w:left="1020" w:hanging="506"/>
        <w:spacing w:after="0"/>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of the Option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Except as provided in the Notice of Grant or a Superseding Agreement, 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120" w:lineRule="exact"/>
        <w:rPr>
          <w:sz w:val="20"/>
          <w:szCs w:val="20"/>
          <w:color w:val="auto"/>
        </w:rPr>
      </w:pPr>
    </w:p>
    <w:p>
      <w:pPr>
        <w:ind w:left="1020" w:hanging="506"/>
        <w:spacing w:after="0"/>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Termination of Service</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ind w:right="40"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Option Exercisability.</w:t>
      </w:r>
      <w:r>
        <w:rPr>
          <w:rFonts w:ascii="Times New Roman" w:cs="Times New Roman" w:eastAsia="Times New Roman" w:hAnsi="Times New Roman"/>
          <w:sz w:val="17"/>
          <w:szCs w:val="17"/>
          <w:color w:val="auto"/>
        </w:rPr>
        <w:t xml:space="preserve"> Except as provided in the Notice of Grant or a Superseding Agreement,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 The terms “Cause”, “Good Reason”, “Disability” and “Change of Control” in this Agreement shall have the meanings given to such terms in the Executive Severance Plan.</w:t>
      </w:r>
    </w:p>
    <w:p>
      <w:pPr>
        <w:spacing w:after="0" w:line="119" w:lineRule="exact"/>
        <w:rPr>
          <w:sz w:val="20"/>
          <w:szCs w:val="20"/>
          <w:color w:val="auto"/>
        </w:rPr>
      </w:pPr>
    </w:p>
    <w:p>
      <w:pPr>
        <w:ind w:right="20" w:firstLine="1533"/>
        <w:spacing w:after="0" w:line="224" w:lineRule="auto"/>
        <w:tabs>
          <w:tab w:leader="none" w:pos="20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Retirement. </w:t>
      </w:r>
      <w:r>
        <w:rPr>
          <w:rFonts w:ascii="Times New Roman" w:cs="Times New Roman" w:eastAsia="Times New Roman" w:hAnsi="Times New Roman"/>
          <w:sz w:val="17"/>
          <w:szCs w:val="17"/>
          <w:color w:val="auto"/>
        </w:rPr>
        <w:t>If the Participant’s Service terminates other than for Cause after the Participant has both (i) attained age sixty (60) and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completed ten (10) years of continuous Service to the Company (such combination of age and continuous Service, “</w:t>
      </w:r>
      <w:r>
        <w:rPr>
          <w:rFonts w:ascii="Times New Roman" w:cs="Times New Roman" w:eastAsia="Times New Roman" w:hAnsi="Times New Roman"/>
          <w:sz w:val="17"/>
          <w:szCs w:val="17"/>
          <w:b w:val="1"/>
          <w:bCs w:val="1"/>
          <w:i w:val="1"/>
          <w:iCs w:val="1"/>
          <w:color w:val="auto"/>
        </w:rPr>
        <w:t>Retirement Eligibility</w:t>
      </w:r>
      <w:r>
        <w:rPr>
          <w:rFonts w:ascii="Times New Roman" w:cs="Times New Roman" w:eastAsia="Times New Roman" w:hAnsi="Times New Roman"/>
          <w:sz w:val="17"/>
          <w:szCs w:val="17"/>
          <w:color w:val="auto"/>
        </w:rPr>
        <w:t>”), the Option, to the extent unexercised and exercisable for Vested Shares on the date on which the Participant’s Service terminated, may be exercised by the Participant (or the Participant’s guardian or legal representative) at any time prior to the Option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27" w:right="319" w:bottom="1440" w:gutter="0" w:footer="0" w:header="0"/>
        </w:sectPr>
      </w:pPr>
    </w:p>
    <w:bookmarkStart w:id="90" w:name="page91"/>
    <w:bookmarkEnd w:id="90"/>
    <w:p>
      <w:pPr>
        <w:jc w:val="both"/>
        <w:ind w:left="-140" w:firstLine="1533"/>
        <w:spacing w:after="0" w:line="224" w:lineRule="auto"/>
        <w:tabs>
          <w:tab w:leader="none" w:pos="189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Participant’s Service terminates because of the Disability of the Participant, the Option, to the extent unexercised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exercisable for Vested Shares on the date on which the Participant’s Service terminated, may be exercised by the Participant (or the Participant’s guardian or legal representative) at any time prior to the expiration of eighteen (18) months after the date on which the Participant’s Service terminated (provided that Participant may elect a shorter exercise period in order to maintain the Option’s ISO status), but in any event no later than the Option Expiration Date.</w:t>
      </w:r>
    </w:p>
    <w:p>
      <w:pPr>
        <w:spacing w:after="0" w:line="118" w:lineRule="exact"/>
        <w:rPr>
          <w:rFonts w:ascii="Times New Roman" w:cs="Times New Roman" w:eastAsia="Times New Roman" w:hAnsi="Times New Roman"/>
          <w:sz w:val="17"/>
          <w:szCs w:val="17"/>
          <w:color w:val="auto"/>
        </w:rPr>
      </w:pPr>
    </w:p>
    <w:p>
      <w:pPr>
        <w:jc w:val="both"/>
        <w:ind w:left="-140" w:firstLine="1533"/>
        <w:spacing w:after="0" w:line="213" w:lineRule="auto"/>
        <w:tabs>
          <w:tab w:leader="none" w:pos="189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Death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Participant’s Service terminates because of the death of the Participant, the Option, to the extent unexercised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eighteen (18) months after the date on which the Participant’s Service terminated (provided that Participant may elect a shorter exercise period in order to maintain the Option’s ISO status), but in any event no later than the Option Expiration Date. Notwithstanding the foregoing, (i) if the Participant dies during the three-month period provided by Section 7.1(f) or during the period provided by Section 7.1(b),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eighteen (18) months after the date of the Participant’s death (provided that Participant’s legal representative or other person may elect a shorter exercise period in order to maintain the Option’s ISO status), but in any event no later than the Option Expiration Date; or (ii) if the Participant’s Service terminates because of the death of the Participant after the Participant achieves Retirement Eligibility,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Option Expiration Date.</w:t>
      </w:r>
    </w:p>
    <w:p>
      <w:pPr>
        <w:spacing w:after="0" w:line="124" w:lineRule="exact"/>
        <w:rPr>
          <w:rFonts w:ascii="Times New Roman" w:cs="Times New Roman" w:eastAsia="Times New Roman" w:hAnsi="Times New Roman"/>
          <w:sz w:val="17"/>
          <w:szCs w:val="17"/>
          <w:color w:val="auto"/>
        </w:rPr>
      </w:pPr>
    </w:p>
    <w:p>
      <w:pPr>
        <w:ind w:left="-140" w:right="20" w:firstLine="1533"/>
        <w:spacing w:after="0" w:line="221" w:lineRule="auto"/>
        <w:tabs>
          <w:tab w:leader="none" w:pos="189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Termination for Cause. </w:t>
      </w:r>
      <w:r>
        <w:rPr>
          <w:rFonts w:ascii="Times New Roman" w:cs="Times New Roman" w:eastAsia="Times New Roman" w:hAnsi="Times New Roman"/>
          <w:sz w:val="17"/>
          <w:szCs w:val="17"/>
          <w:color w:val="auto"/>
        </w:rPr>
        <w:t>Except as provided in the Notice of Grant or a Superseding Agreement and notwithstanding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provision of this Option Agreement to the contrary and notwithstanding any other provision of this Option Agreement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18" w:lineRule="exact"/>
        <w:rPr>
          <w:rFonts w:ascii="Times New Roman" w:cs="Times New Roman" w:eastAsia="Times New Roman" w:hAnsi="Times New Roman"/>
          <w:sz w:val="17"/>
          <w:szCs w:val="17"/>
          <w:color w:val="auto"/>
        </w:rPr>
      </w:pPr>
    </w:p>
    <w:p>
      <w:pPr>
        <w:jc w:val="both"/>
        <w:ind w:left="-140" w:firstLine="1533"/>
        <w:spacing w:after="0" w:line="221" w:lineRule="auto"/>
        <w:tabs>
          <w:tab w:leader="none" w:pos="189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Termination Without Cause or for Good Reason</w:t>
      </w:r>
      <w:r>
        <w:rPr>
          <w:rFonts w:ascii="Times New Roman" w:cs="Times New Roman" w:eastAsia="Times New Roman" w:hAnsi="Times New Roman"/>
          <w:sz w:val="17"/>
          <w:szCs w:val="17"/>
          <w:color w:val="auto"/>
        </w:rPr>
        <w:t>. Except as provided in the Notice of Grant or a Superseding Agreement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notwithstanding any other provision of this Option Agreement to the contrary, if the Company terminates Participant’s Service without Cause or if Participant’s Service is terminated by the Participant for Good Reason, Participant may exercise those Vested Shares as of the date Participant’s Service is terminated at any time prior to the expiration of ninety (90) days after the date on which the Participant’s Service terminated (provided that Participant may elect a shorter exercise period in order to maintain the Option’s ISO status), but in any event no later than the Option Expiration Date.</w:t>
      </w:r>
    </w:p>
    <w:p>
      <w:pPr>
        <w:spacing w:after="0" w:line="118" w:lineRule="exact"/>
        <w:rPr>
          <w:rFonts w:ascii="Times New Roman" w:cs="Times New Roman" w:eastAsia="Times New Roman" w:hAnsi="Times New Roman"/>
          <w:sz w:val="17"/>
          <w:szCs w:val="17"/>
          <w:color w:val="auto"/>
        </w:rPr>
      </w:pPr>
    </w:p>
    <w:p>
      <w:pPr>
        <w:jc w:val="both"/>
        <w:ind w:left="-140" w:firstLine="1533"/>
        <w:spacing w:after="0" w:line="224" w:lineRule="auto"/>
        <w:tabs>
          <w:tab w:leader="none" w:pos="189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Other Termination of Service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provided in the Notice of Grant or a Superseding Agreement and notwithstanding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provision of this Option Agreement to the contrary, if the Participant’s Service terminates for any reason not covered by Sections 3(a), 3(b), 3(c) or 3(d), the Option, to the extent unexercised and exercisable for Vested Shares by the Participant on the date on which the Participant’s Service terminated, may be exercised by the Participant at any time prior to the expiration of ninety (90) days after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140"/>
          </w:cols>
          <w:pgMar w:left="440" w:top="1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on which the Participant’s Service terminated, but in any event no later than the Option Expiration Date.</w:t>
      </w:r>
    </w:p>
    <w:p>
      <w:pPr>
        <w:spacing w:after="0" w:line="140"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Extension if Exercise Prevented by Law</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Notwithstanding the foregoing, other than termination of the Participant’s Service for Cause, if the exercise of the Option within the applicable time periods set forth in Section 7.1 is prevented by (a) the provisions of Section 4.6 or other applicable law or (b) the Company’s Insider Trading Policy,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19" w:lineRule="exact"/>
        <w:rPr>
          <w:sz w:val="20"/>
          <w:szCs w:val="20"/>
          <w:color w:val="auto"/>
        </w:rPr>
      </w:pPr>
    </w:p>
    <w:p>
      <w:pPr>
        <w:ind w:left="1020" w:hanging="506"/>
        <w:spacing w:after="0"/>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or any Superseding Agreement, in the event of a Change in Control, except to the extent that the Committee determines to cash out the Option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Option or substitute for all or any portion of the Option a substantially equivalent option for the Acquiror’s stock. For purposes of this Section, the Option or any portion thereof shall be deemed assumed if, following the Change in Control, the Option confers the right to receive, subject to the terms and conditions of the Plan and this Option Agreement, for each share of Stock subject to such portion of the Option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of the Option, for each share of Stock subject to the Option, to consist solely of common stock of the Acquiror equal in Fair Market Value to the per share consideration received by holders of Stock pursuant to the Change in Control. The Option shall terminate and cease to be outstanding effective as of the time of consummation of the Change in Control to the extent that the Option is neither assumed or continued by the Acquiror in connection with the Change in Control nor exercised as of the time of the Change in Control.</w:t>
      </w:r>
    </w:p>
    <w:p>
      <w:pPr>
        <w:spacing w:after="0" w:line="118" w:lineRule="exact"/>
        <w:rPr>
          <w:sz w:val="20"/>
          <w:szCs w:val="20"/>
          <w:color w:val="auto"/>
        </w:rPr>
      </w:pPr>
    </w:p>
    <w:p>
      <w:pPr>
        <w:ind w:left="1020" w:hanging="506"/>
        <w:spacing w:after="0"/>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7" w:right="31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7"/>
          <w:szCs w:val="17"/>
          <w:color w:val="auto"/>
        </w:rPr>
        <w:t>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The Committee in its sole discretion, may also make such adjustments in the terms of the Option to reflect, or related to, such changes in the capital structure of the Company or distributions as it deems appropriate. All adjustments pursuant to this Section shall be determined by the Committee, and its determination shall be final, binding and conclusive.</w:t>
      </w:r>
    </w:p>
    <w:p>
      <w:pPr>
        <w:spacing w:after="0" w:line="118" w:lineRule="exact"/>
        <w:rPr>
          <w:sz w:val="20"/>
          <w:szCs w:val="20"/>
          <w:color w:val="auto"/>
        </w:rPr>
      </w:pPr>
    </w:p>
    <w:p>
      <w:pPr>
        <w:ind w:left="1020" w:hanging="506"/>
        <w:spacing w:after="0"/>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129" w:lineRule="exact"/>
        <w:rPr>
          <w:sz w:val="20"/>
          <w:szCs w:val="20"/>
          <w:color w:val="auto"/>
        </w:rPr>
      </w:pPr>
    </w:p>
    <w:p>
      <w:pPr>
        <w:ind w:left="1020" w:hanging="506"/>
        <w:spacing w:after="0"/>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 of Sales Upon Disqualifying Disposition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3" w:lineRule="auto"/>
        <w:rPr>
          <w:sz w:val="20"/>
          <w:szCs w:val="20"/>
          <w:color w:val="auto"/>
        </w:rPr>
      </w:pPr>
      <w:r>
        <w:rPr>
          <w:rFonts w:ascii="Times New Roman" w:cs="Times New Roman" w:eastAsia="Times New Roman" w:hAnsi="Times New Roman"/>
          <w:sz w:val="17"/>
          <w:szCs w:val="17"/>
          <w:color w:val="auto"/>
        </w:rPr>
        <w:t xml:space="preserve">The Participant shall dispose of the shares acquired pursuant to the Option only in accordance with the provisions of this Option Agreement. In addition,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48"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shall continue notwithstanding that a legend has been placed on the certificate pursuant to the preceding sentence.</w:t>
      </w:r>
    </w:p>
    <w:p>
      <w:pPr>
        <w:spacing w:after="0" w:line="151" w:lineRule="exact"/>
        <w:rPr>
          <w:sz w:val="20"/>
          <w:szCs w:val="20"/>
          <w:color w:val="auto"/>
        </w:rPr>
      </w:pPr>
    </w:p>
    <w:p>
      <w:pPr>
        <w:ind w:left="1020" w:hanging="506"/>
        <w:spacing w:after="0"/>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1"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36" w:lineRule="exact"/>
        <w:rPr>
          <w:sz w:val="20"/>
          <w:szCs w:val="20"/>
          <w:color w:val="auto"/>
        </w:rPr>
      </w:pPr>
    </w:p>
    <w:p>
      <w:pPr>
        <w:jc w:val="both"/>
        <w:ind w:left="1020" w:right="1020"/>
        <w:spacing w:after="0" w:line="254" w:lineRule="auto"/>
        <w:rPr>
          <w:sz w:val="20"/>
          <w:szCs w:val="20"/>
          <w:color w:val="auto"/>
        </w:rPr>
      </w:pPr>
      <w:r>
        <w:rPr>
          <w:rFonts w:ascii="Times New Roman" w:cs="Times New Roman" w:eastAsia="Times New Roman" w:hAnsi="Times New Roman"/>
          <w:sz w:val="17"/>
          <w:szCs w:val="17"/>
          <w:color w:val="auto"/>
        </w:rPr>
        <w:t>THE SHARES EVIDENCED BY THIS CERTIFICATE WERE ISSUED BY THE CORPORATION TO THE REGISTERED HOLDER UPON EXERCISE OF AN INCENTIVE STOCK OPTION AS DEFINED IN SECTION 422 OF THE INTERNAL REVENUE CODE OF 1986, AS AMENDED (“ISO”). IN ORDER TO OBTAIN THE PREFERENTIAL TAX TREATMENT AFFORDED TO ISOs, THE SHARES SHOULD NOT BE TRANSFERRED PRIOR TO [</w:t>
      </w:r>
      <w:r>
        <w:rPr>
          <w:rFonts w:ascii="Times New Roman" w:cs="Times New Roman" w:eastAsia="Times New Roman" w:hAnsi="Times New Roman"/>
          <w:sz w:val="17"/>
          <w:szCs w:val="17"/>
          <w:i w:val="1"/>
          <w:iCs w:val="1"/>
          <w:color w:val="auto"/>
        </w:rPr>
        <w:t>INSERT DISQUALIFYING DISPOSITION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DATE HERE</w:t>
      </w:r>
      <w:r>
        <w:rPr>
          <w:rFonts w:ascii="Times New Roman" w:cs="Times New Roman" w:eastAsia="Times New Roman" w:hAnsi="Times New Roman"/>
          <w:sz w:val="17"/>
          <w:szCs w:val="17"/>
          <w:color w:val="auto"/>
        </w:rPr>
        <w:t>]. SHOULD THE REGISTERED HOLDER ELECT TO TRANSFER ANY OF THE SHARES PRIOR TO THIS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FOREGO ISO TAX TREATMENT, THE TRANSFER AGENT FOR THE SHARES SHALL NOTIFY THE CORPORATION IMMEDIATELY. THE REGISTERED HOLDER SHALL HOLD ALL SHARES PURCHASED UNDER THE INCENTIVE STOCK OPTION IN THE REGISTERED HOLDER’S NAME (AND NOT IN THE NAME OF ANY NOMINEE) PRIOR TO THIS DATE OR UNTIL TRANSFERRED AS DESCRIBED ABOVE.</w:t>
      </w:r>
    </w:p>
    <w:p>
      <w:pPr>
        <w:spacing w:after="0" w:line="139" w:lineRule="exact"/>
        <w:rPr>
          <w:sz w:val="20"/>
          <w:szCs w:val="20"/>
          <w:color w:val="auto"/>
        </w:rPr>
      </w:pPr>
    </w:p>
    <w:p>
      <w:pPr>
        <w:ind w:left="1020" w:hanging="506"/>
        <w:spacing w:after="0"/>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the Option at any time; provided, however, that except as provided in Section 8 in connection with a Change in Control, no such termination or amendment may have an adverse effect on the Option or any unexercised portion hereof without the consent of the Participant unless such termination or amendment is deemed necessary, in the Committee’s sole and absolute discretion and without the consent of the Participant, to comply with any applicable law or government regulation. No amendment or addition to this Option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37" w:right="319" w:bottom="1440" w:gutter="0" w:footer="0" w:header="0"/>
        </w:sectPr>
      </w:pPr>
    </w:p>
    <w:bookmarkStart w:id="94" w:name="page95"/>
    <w:bookmarkEnd w:id="94"/>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Option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118" w:lineRule="exact"/>
        <w:rPr>
          <w:sz w:val="20"/>
          <w:szCs w:val="20"/>
          <w:color w:val="auto"/>
        </w:rPr>
      </w:pPr>
    </w:p>
    <w:p>
      <w:pPr>
        <w:jc w:val="both"/>
        <w:ind w:firstLine="1533"/>
        <w:spacing w:after="0" w:line="219" w:lineRule="auto"/>
        <w:tabs>
          <w:tab w:leader="none" w:pos="203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Option Agreement, the Plan Prospectus, and any reports of the Company provided generally to the Company’s stockholders, may be delivered to the Participant electronically. In addition, if permitted by the Company, the Participant may deliver electronically the Notice of Grant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if permitted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the delivery of the Notice of Grant and Exercise Notice, as described in Section 13.4(a). The Participant may change the electronic mail address to which such documents are to be delivered (if the Participant has provided an electronic mail address) at any time by notifying the Company of such revised e-mail address by telephone, postal service or electronic mail.</w:t>
      </w:r>
    </w:p>
    <w:p>
      <w:pPr>
        <w:spacing w:after="0" w:line="119"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In consideration for this Option, you hereby agree that all shares of Stock issued pursuant to this Option Agreement, and any other equity awards, annual bonus or short term incentives received by the Participant from the Company shall be subject to any clawback or recoupment policy adopted by the Company from time to time (including, but not limited to, any policy adopted in accordance with the Dodd-Frank Wall Street Reform and Consumer Protection Act or other Applicable Laws), regardless of whether the policy is adopted after the date on which this Option is granted, after all or a portion of the Option vests or after shares of Stock are issued pursuant to the exercise of this Option.</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color w:val="auto"/>
        </w:rPr>
        <w:t>herein, the provisions of the Notice of Grant, the Option Agreement and the Plan shall survive any exercise of the Option and shall remain in full force and effect.</w:t>
      </w:r>
    </w:p>
    <w:p>
      <w:pPr>
        <w:spacing w:after="0" w:line="140"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Option Agreement and the performance hereof shall be construed and governed in accordance with the laws of the State of New Jersey without giving effect to its conflicts or choice of law principles. Any and all legal claims and disputes arising out of or relating to this Option Agreement shall be litigated exclusively in the state or federal courts located in the State of New Jersey.</w:t>
      </w:r>
    </w:p>
    <w:p>
      <w:pPr>
        <w:spacing w:after="0" w:line="117"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13.8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27"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ANTERIX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GRANT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STOCK OPTION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Form)</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Anterix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that number of shares of the Company’s common stock set forth below (the “</w:t>
      </w: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on the following terms and conditions. All capitalization terms used herein that are not defined herein shall have the meaning ascribed to such term in the Plan, except as provided in a Superseding Agreement.</w:t>
      </w:r>
    </w:p>
    <w:p>
      <w:pPr>
        <w:sectPr>
          <w:pgSz w:w="11900" w:h="16838" w:orient="portrait"/>
          <w:cols w:equalWidth="0" w:num="1">
            <w:col w:w="11280"/>
          </w:cols>
          <w:pgMar w:left="300" w:top="1144" w:right="319" w:bottom="1440" w:gutter="0" w:footer="0" w:header="0"/>
        </w:sectPr>
      </w:pP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Number of Option Shares: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Exercise Price per Share: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Option Expiration Date: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Tax Status of Option: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Vesting Conditions:</w:t>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Superseding Agreement: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Award No.: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[_______]</w:t>
      </w:r>
      <w:r>
        <w:rPr>
          <w:rFonts w:ascii="Times New Roman" w:cs="Times New Roman" w:eastAsia="Times New Roman" w:hAnsi="Times New Roman"/>
          <w:sz w:val="17"/>
          <w:szCs w:val="17"/>
          <w:color w:val="auto"/>
        </w:rPr>
        <w:t>, subject to adjustment as provided by the Stock Option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$___</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tenth anniversary of the Date of Grant.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7"/>
          <w:szCs w:val="17"/>
          <w:color w:val="auto"/>
        </w:rPr>
        <w:t>In the event of a conflict, the vesting provisions set forth above shall supersede the terms of the Executive Severance Plan. Any employment agreement between the Company and Participant or any severance plan adopted by the Board after the date of this Award in which Participant agrees to participate, shall be deemed a Superseding Agreement, and the terms set forth in such employment agreement or severance plan shall supersede and replace the terms set forth herein, and in the accompanying executive Performance- Based Stock Option Agreement and the Plan.</w:t>
      </w:r>
    </w:p>
    <w:p>
      <w:pPr>
        <w:spacing w:after="0" w:line="200" w:lineRule="exact"/>
        <w:rPr>
          <w:sz w:val="20"/>
          <w:szCs w:val="20"/>
          <w:color w:val="auto"/>
        </w:rPr>
      </w:pPr>
    </w:p>
    <w:p>
      <w:pPr>
        <w:sectPr>
          <w:pgSz w:w="11900" w:h="16838" w:orient="portrait"/>
          <w:cols w:equalWidth="0" w:num="2">
            <w:col w:w="2440" w:space="720"/>
            <w:col w:w="8120"/>
          </w:cols>
          <w:pgMar w:left="300" w:top="1144" w:right="319" w:bottom="1440" w:gutter="0" w:footer="0" w:header="0"/>
          <w:type w:val="continuous"/>
        </w:sectPr>
      </w:pP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Option is governed by this Notice of Grant and by the provisions of the Performance-Based Stock Option Agreement and the Plan, both of which are made a part of this document, and by the Superseding Agreement, if any. The Participant acknowledges that copies of the Plan, the Performance-Based Stock Option Agreement and the prospectus for the Plan are available on the Company’s internal web site and</w:t>
      </w:r>
    </w:p>
    <w:p>
      <w:pPr>
        <w:sectPr>
          <w:pgSz w:w="11900" w:h="16838" w:orient="portrait"/>
          <w:cols w:equalWidth="0" w:num="1">
            <w:col w:w="11280"/>
          </w:cols>
          <w:pgMar w:left="300" w:top="1144" w:right="319" w:bottom="1440" w:gutter="0" w:footer="0" w:header="0"/>
          <w:type w:val="continuous"/>
        </w:sectPr>
      </w:pPr>
    </w:p>
    <w:bookmarkStart w:id="97" w:name="page98"/>
    <w:bookmarkEnd w:id="97"/>
    <w:p>
      <w:pPr>
        <w:jc w:val="both"/>
        <w:spacing w:after="0" w:line="262" w:lineRule="auto"/>
        <w:rPr>
          <w:sz w:val="20"/>
          <w:szCs w:val="20"/>
          <w:color w:val="auto"/>
        </w:rPr>
      </w:pPr>
      <w:r>
        <w:rPr>
          <w:rFonts w:ascii="Times New Roman" w:cs="Times New Roman" w:eastAsia="Times New Roman" w:hAnsi="Times New Roman"/>
          <w:sz w:val="17"/>
          <w:szCs w:val="17"/>
          <w:color w:val="auto"/>
        </w:rPr>
        <w:t>may be viewed and printed by the Participant for attachment to the Participant’s copy of this Notice of Grant. The Participant represents that the Participant has read and is familiar with the provisions of the Performance-Based Stock Option Agreement and the Plan, and hereby accepts the Option subject to all of their terms and conditions.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260" w:type="dxa"/>
            <w:vAlign w:val="bottom"/>
          </w:tcPr>
          <w:p>
            <w:pPr>
              <w:spacing w:after="0"/>
              <w:rPr>
                <w:sz w:val="19"/>
                <w:szCs w:val="19"/>
                <w:color w:val="auto"/>
              </w:rPr>
            </w:pPr>
          </w:p>
        </w:tc>
        <w:tc>
          <w:tcPr>
            <w:tcW w:w="6020" w:type="dxa"/>
            <w:vAlign w:val="bottom"/>
            <w:gridSpan w:val="3"/>
          </w:tcPr>
          <w:p>
            <w:pPr>
              <w:ind w:left="126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17"/>
        </w:trPr>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0" w:type="dxa"/>
            <w:vAlign w:val="bottom"/>
          </w:tcPr>
          <w:p>
            <w:pPr>
              <w:spacing w:after="0"/>
              <w:rPr>
                <w:sz w:val="24"/>
                <w:szCs w:val="24"/>
                <w:color w:val="auto"/>
              </w:rPr>
            </w:pPr>
          </w:p>
        </w:tc>
      </w:tr>
      <w:tr>
        <w:trPr>
          <w:trHeight w:val="263"/>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Name: Elena Marquez</w:t>
            </w:r>
          </w:p>
        </w:tc>
        <w:tc>
          <w:tcPr>
            <w:tcW w:w="602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Signature</w:t>
            </w:r>
          </w:p>
        </w:tc>
      </w:tr>
      <w:tr>
        <w:trPr>
          <w:trHeight w:val="205"/>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Title: Chief Financial Officer</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602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Date</w:t>
            </w:r>
          </w:p>
        </w:tc>
      </w:tr>
      <w:tr>
        <w:trPr>
          <w:trHeight w:val="20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Garret Mountain</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Suite 401</w:t>
            </w:r>
          </w:p>
        </w:tc>
        <w:tc>
          <w:tcPr>
            <w:tcW w:w="602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Address</w:t>
            </w:r>
          </w:p>
        </w:tc>
      </w:tr>
      <w:tr>
        <w:trPr>
          <w:trHeight w:val="205"/>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Woodland Park, NJ 07424</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Pr>
          <w:p>
            <w:pPr>
              <w:spacing w:after="0"/>
              <w:rPr>
                <w:sz w:val="17"/>
                <w:szCs w:val="17"/>
                <w:color w:val="auto"/>
              </w:rPr>
            </w:pPr>
          </w:p>
        </w:tc>
      </w:tr>
      <w:tr>
        <w:trPr>
          <w:trHeight w:val="497"/>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ATTACHMENTS:</w:t>
            </w:r>
          </w:p>
        </w:tc>
        <w:tc>
          <w:tcPr>
            <w:tcW w:w="92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2023 Stock Plan, as amended to the Date of Grant; Performance-Based Stock Option Agreement; Exercise Notice; and Plan Prospectus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48"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ANTERIX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PERFORMANCE-BASED 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Form)</w:t>
      </w:r>
    </w:p>
    <w:p>
      <w:pPr>
        <w:spacing w:after="0" w:line="16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Performance-Based Stock Option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to which this Performance-Based Stock Option Agreement (the “</w:t>
      </w:r>
      <w:r>
        <w:rPr>
          <w:rFonts w:ascii="Times New Roman" w:cs="Times New Roman" w:eastAsia="Times New Roman" w:hAnsi="Times New Roman"/>
          <w:sz w:val="17"/>
          <w:szCs w:val="17"/>
          <w:b w:val="1"/>
          <w:bCs w:val="1"/>
          <w:i w:val="1"/>
          <w:iCs w:val="1"/>
          <w:color w:val="auto"/>
        </w:rPr>
        <w:t>Option Agreement</w:t>
      </w:r>
      <w:r>
        <w:rPr>
          <w:rFonts w:ascii="Times New Roman" w:cs="Times New Roman" w:eastAsia="Times New Roman" w:hAnsi="Times New Roman"/>
          <w:sz w:val="17"/>
          <w:szCs w:val="17"/>
          <w:color w:val="auto"/>
        </w:rPr>
        <w:t>”) is attached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certain shares of the Company’s common stock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upon the terms and conditions set forth in the Notice of Grant and this Option Agreement. The Option has been granted pursuant to and shall in all respects be subject to the terms and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Option Agreement, the Plan and a prospectus for the Plan prepared in connection with the registration with the Securities and Exchange Commission of shares issuable pursuant to the Option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Option subject to all of the terms and conditions of the Notice of Grant, this Option Agreement and the Plan and (c) agrees to accept as binding, conclusive and final all decisions or interpretations of the Compensation Committee of the Board of Directors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upon any questions arising under the Notice of Grant, this Option Agreement or the Plan.</w:t>
      </w:r>
    </w:p>
    <w:p>
      <w:pPr>
        <w:spacing w:after="0" w:line="119" w:lineRule="exact"/>
        <w:rPr>
          <w:sz w:val="20"/>
          <w:szCs w:val="20"/>
          <w:color w:val="auto"/>
        </w:rPr>
      </w:pPr>
    </w:p>
    <w:p>
      <w:pPr>
        <w:ind w:left="1020" w:hanging="506"/>
        <w:spacing w:after="0"/>
        <w:tabs>
          <w:tab w:leader="none" w:pos="10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(including any Superseding Agreement) or the Plan.</w:t>
      </w:r>
    </w:p>
    <w:p>
      <w:pPr>
        <w:spacing w:after="0" w:line="115"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b w:val="1"/>
          <w:bCs w:val="1"/>
          <w:color w:val="auto"/>
        </w:rPr>
        <w:t>.</w:t>
      </w:r>
    </w:p>
    <w:p>
      <w:pPr>
        <w:spacing w:after="0" w:line="144"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b w:val="1"/>
          <w:bCs w:val="1"/>
          <w:color w:val="auto"/>
        </w:rPr>
        <w:t>Tax Status of Option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This Option is intended to have the tax status designated in the Notice of Grant.</w:t>
      </w:r>
    </w:p>
    <w:p>
      <w:pPr>
        <w:spacing w:after="0" w:line="144" w:lineRule="exact"/>
        <w:rPr>
          <w:rFonts w:ascii="Times New Roman" w:cs="Times New Roman" w:eastAsia="Times New Roman" w:hAnsi="Times New Roman"/>
          <w:sz w:val="17"/>
          <w:szCs w:val="17"/>
          <w:color w:val="auto"/>
        </w:rPr>
      </w:pPr>
    </w:p>
    <w:p>
      <w:pPr>
        <w:jc w:val="both"/>
        <w:ind w:firstLine="1533"/>
        <w:spacing w:after="0" w:line="219" w:lineRule="auto"/>
        <w:tabs>
          <w:tab w:leader="none" w:pos="203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Notice of Grant so designates, this Option is intended to be an Incentive Stock Option within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w:t>
      </w:r>
    </w:p>
    <w:p>
      <w:pPr>
        <w:sectPr>
          <w:pgSz w:w="11900" w:h="16838" w:orient="portrait"/>
          <w:cols w:equalWidth="0" w:num="1">
            <w:col w:w="11280"/>
          </w:cols>
          <w:pgMar w:left="300" w:top="1144" w:right="319" w:bottom="1440" w:gutter="0" w:footer="0" w:header="0"/>
        </w:sectPr>
      </w:pPr>
    </w:p>
    <w:bookmarkStart w:id="99" w:name="page100"/>
    <w:bookmarkEnd w:id="99"/>
    <w:p>
      <w:pPr>
        <w:ind w:firstLine="1533"/>
        <w:spacing w:after="0" w:line="242" w:lineRule="auto"/>
        <w:tabs>
          <w:tab w:leader="none" w:pos="203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Nonstatutory Stock Option. </w:t>
      </w:r>
      <w:r>
        <w:rPr>
          <w:rFonts w:ascii="Times New Roman" w:cs="Times New Roman" w:eastAsia="Times New Roman" w:hAnsi="Times New Roman"/>
          <w:sz w:val="17"/>
          <w:szCs w:val="17"/>
          <w:color w:val="auto"/>
        </w:rPr>
        <w:t>If the Notice of Grant so designates, this Option is intended to be a Nonstatutory Stock Option and shall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be treated as an Incentive Stock Option within the meaning of Section 422(b) of the Code.</w:t>
      </w:r>
    </w:p>
    <w:p>
      <w:pPr>
        <w:spacing w:after="0" w:line="115" w:lineRule="exact"/>
        <w:rPr>
          <w:sz w:val="20"/>
          <w:szCs w:val="20"/>
          <w:color w:val="auto"/>
        </w:rPr>
      </w:pPr>
    </w:p>
    <w:p>
      <w:pPr>
        <w:jc w:val="both"/>
        <w:ind w:firstLine="1019"/>
        <w:spacing w:after="0" w:line="21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b w:val="1"/>
          <w:bCs w:val="1"/>
          <w:color w:val="auto"/>
        </w:rPr>
        <w:t>ISO Fair Market Value Limitation.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21" w:lineRule="exact"/>
        <w:rPr>
          <w:sz w:val="20"/>
          <w:szCs w:val="20"/>
          <w:color w:val="auto"/>
        </w:rPr>
      </w:pPr>
    </w:p>
    <w:p>
      <w:pPr>
        <w:ind w:left="1020" w:hanging="506"/>
        <w:spacing w:after="0"/>
        <w:tabs>
          <w:tab w:leader="none" w:pos="10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18" w:lineRule="exact"/>
        <w:rPr>
          <w:sz w:val="20"/>
          <w:szCs w:val="20"/>
          <w:color w:val="auto"/>
        </w:rPr>
      </w:pPr>
    </w:p>
    <w:p>
      <w:pPr>
        <w:ind w:left="1020" w:hanging="506"/>
        <w:spacing w:after="0"/>
        <w:tabs>
          <w:tab w:leader="none" w:pos="10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 of the Option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Right to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3" w:right="319" w:bottom="1440" w:gutter="0" w:footer="0" w:header="0"/>
        </w:sectPr>
      </w:pPr>
    </w:p>
    <w:bookmarkStart w:id="100" w:name="page101"/>
    <w:bookmarkEnd w:id="100"/>
    <w:p>
      <w:pPr>
        <w:jc w:val="both"/>
        <w:ind w:firstLine="1019"/>
        <w:spacing w:after="0" w:line="214"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Method of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Exercise of the Option shall be by means of electronic or written notice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b w:val="1"/>
          <w:bCs w:val="1"/>
          <w:color w:val="auto"/>
        </w:rPr>
        <w:t>Payment of Exercise Price.</w:t>
      </w:r>
    </w:p>
    <w:p>
      <w:pPr>
        <w:spacing w:after="0" w:line="144" w:lineRule="exact"/>
        <w:rPr>
          <w:sz w:val="20"/>
          <w:szCs w:val="20"/>
          <w:color w:val="auto"/>
        </w:rPr>
      </w:pPr>
    </w:p>
    <w:p>
      <w:pPr>
        <w:jc w:val="both"/>
        <w:ind w:firstLine="1533"/>
        <w:spacing w:after="0" w:line="224" w:lineRule="auto"/>
        <w:tabs>
          <w:tab w:leader="none" w:pos="20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Forms of Consideration Authorized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provided below, payment of the aggregate Exercise Price for the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if permitted by the Committee, by any combination of the foregoing.</w:t>
      </w:r>
    </w:p>
    <w:p>
      <w:pPr>
        <w:spacing w:after="0" w:line="118" w:lineRule="exact"/>
        <w:rPr>
          <w:rFonts w:ascii="Times New Roman" w:cs="Times New Roman" w:eastAsia="Times New Roman" w:hAnsi="Times New Roman"/>
          <w:sz w:val="17"/>
          <w:szCs w:val="17"/>
          <w:color w:val="auto"/>
        </w:rPr>
      </w:pPr>
    </w:p>
    <w:p>
      <w:pPr>
        <w:jc w:val="both"/>
        <w:ind w:firstLine="1533"/>
        <w:spacing w:after="0" w:line="230" w:lineRule="auto"/>
        <w:tabs>
          <w:tab w:leader="none" w:pos="203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Limitations on Forms of Consideration. </w:t>
      </w:r>
      <w:r>
        <w:rPr>
          <w:rFonts w:ascii="Times New Roman" w:cs="Times New Roman" w:eastAsia="Times New Roman" w:hAnsi="Times New Roman"/>
          <w:sz w:val="17"/>
          <w:szCs w:val="17"/>
          <w:color w:val="auto"/>
        </w:rPr>
        <w:t>The Company reserves, at any and all times, the right, in its sole and absolute discretion,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17" w:lineRule="exact"/>
        <w:rPr>
          <w:rFonts w:ascii="Times New Roman" w:cs="Times New Roman" w:eastAsia="Times New Roman" w:hAnsi="Times New Roman"/>
          <w:sz w:val="17"/>
          <w:szCs w:val="17"/>
          <w:color w:val="auto"/>
        </w:rPr>
      </w:pPr>
    </w:p>
    <w:p>
      <w:pPr>
        <w:jc w:val="both"/>
        <w:ind w:firstLine="2042"/>
        <w:spacing w:after="0" w:line="224" w:lineRule="auto"/>
        <w:tabs>
          <w:tab w:leader="none" w:pos="2537"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Cashless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Cashless Exercise</w:t>
      </w:r>
      <w:r>
        <w:rPr>
          <w:rFonts w:ascii="Times New Roman" w:cs="Times New Roman" w:eastAsia="Times New Roman" w:hAnsi="Times New Roman"/>
          <w:sz w:val="17"/>
          <w:szCs w:val="17"/>
          <w:color w:val="auto"/>
        </w:rPr>
        <w:t>” means the delivery of a properly executed Exercise Notice together with irrevocable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18" w:lineRule="exact"/>
        <w:rPr>
          <w:rFonts w:ascii="Times New Roman" w:cs="Times New Roman" w:eastAsia="Times New Roman" w:hAnsi="Times New Roman"/>
          <w:sz w:val="17"/>
          <w:szCs w:val="17"/>
          <w:color w:val="auto"/>
        </w:rPr>
      </w:pPr>
    </w:p>
    <w:p>
      <w:pPr>
        <w:jc w:val="both"/>
        <w:ind w:firstLine="2042"/>
        <w:spacing w:after="0" w:line="219" w:lineRule="auto"/>
        <w:tabs>
          <w:tab w:leader="none" w:pos="2542"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Net-Exercise</w:t>
      </w:r>
      <w:r>
        <w:rPr>
          <w:rFonts w:ascii="Times New Roman" w:cs="Times New Roman" w:eastAsia="Times New Roman" w:hAnsi="Times New Roman"/>
          <w:sz w:val="17"/>
          <w:szCs w:val="17"/>
          <w:color w:val="auto"/>
        </w:rPr>
        <w:t>” means the delivery of a properly executed Exercise Notice electing a procedure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(1) 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3" w:right="319" w:bottom="1440" w:gutter="0" w:footer="0" w:header="0"/>
        </w:sectPr>
      </w:pPr>
    </w:p>
    <w:bookmarkStart w:id="101" w:name="page102"/>
    <w:bookmarkEnd w:id="101"/>
    <w:p>
      <w:pPr>
        <w:jc w:val="both"/>
        <w:ind w:firstLine="2042"/>
        <w:spacing w:after="0" w:line="216" w:lineRule="auto"/>
        <w:tabs>
          <w:tab w:leader="none" w:pos="254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Tender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Stock Tender Exercise</w:t>
      </w:r>
      <w:r>
        <w:rPr>
          <w:rFonts w:ascii="Times New Roman" w:cs="Times New Roman" w:eastAsia="Times New Roman" w:hAnsi="Times New Roman"/>
          <w:sz w:val="17"/>
          <w:szCs w:val="17"/>
          <w:color w:val="auto"/>
        </w:rPr>
        <w:t>” means the delivery of a properly executed Exercise Notice accompanied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b w:val="1"/>
          <w:bCs w:val="1"/>
          <w:color w:val="auto"/>
        </w:rPr>
        <w:t>Tax Withholding</w:t>
      </w:r>
      <w:r>
        <w:rPr>
          <w:rFonts w:ascii="Times New Roman" w:cs="Times New Roman" w:eastAsia="Times New Roman" w:hAnsi="Times New Roman"/>
          <w:sz w:val="16"/>
          <w:szCs w:val="16"/>
          <w:b w:val="1"/>
          <w:bCs w:val="1"/>
          <w:i w:val="1"/>
          <w:iCs w:val="1"/>
          <w:color w:val="auto"/>
        </w:rPr>
        <w:t>.</w:t>
      </w:r>
    </w:p>
    <w:p>
      <w:pPr>
        <w:spacing w:after="0" w:line="144" w:lineRule="exact"/>
        <w:rPr>
          <w:sz w:val="20"/>
          <w:szCs w:val="20"/>
          <w:color w:val="auto"/>
        </w:rPr>
      </w:pPr>
    </w:p>
    <w:p>
      <w:pPr>
        <w:jc w:val="both"/>
        <w:ind w:firstLine="1533"/>
        <w:spacing w:after="0" w:line="221" w:lineRule="auto"/>
        <w:tabs>
          <w:tab w:leader="none" w:pos="203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 General. </w:t>
      </w:r>
      <w:r>
        <w:rPr>
          <w:rFonts w:ascii="Times New Roman" w:cs="Times New Roman" w:eastAsia="Times New Roman" w:hAnsi="Times New Roman"/>
          <w:sz w:val="17"/>
          <w:szCs w:val="17"/>
          <w:color w:val="auto"/>
        </w:rPr>
        <w:t>At the time the Option is exercised, in whole or in part, or at any time thereafter as requested by a Participating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Withholding in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have the right, but not the obligation, to require the Participant to satisfy all or any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color w:val="auto"/>
        </w:rPr>
        <w:t>Restrictions on Grant of the Option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w:t>
      </w:r>
    </w:p>
    <w:p>
      <w:pPr>
        <w:spacing w:after="0" w:line="2" w:lineRule="exact"/>
        <w:rPr>
          <w:sz w:val="20"/>
          <w:szCs w:val="20"/>
          <w:color w:val="auto"/>
        </w:rPr>
      </w:pPr>
    </w:p>
    <w:p>
      <w:pPr>
        <w:jc w:val="both"/>
        <w:ind w:firstLine="5"/>
        <w:spacing w:after="0" w:line="218" w:lineRule="auto"/>
        <w:tabs>
          <w:tab w:leader="none" w:pos="2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3" w:right="319" w:bottom="1440" w:gutter="0" w:footer="0" w:header="0"/>
        </w:sectPr>
      </w:pPr>
    </w:p>
    <w:bookmarkStart w:id="102" w:name="page103"/>
    <w:bookmarkEnd w:id="102"/>
    <w:p>
      <w:pPr>
        <w:jc w:val="both"/>
        <w:spacing w:after="0" w:line="218" w:lineRule="auto"/>
        <w:rPr>
          <w:sz w:val="20"/>
          <w:szCs w:val="20"/>
          <w:color w:val="auto"/>
        </w:rPr>
      </w:pPr>
      <w:r>
        <w:rPr>
          <w:rFonts w:ascii="Times New Roman" w:cs="Times New Roman" w:eastAsia="Times New Roman" w:hAnsi="Times New Roman"/>
          <w:sz w:val="17"/>
          <w:szCs w:val="17"/>
          <w:color w:val="auto"/>
        </w:rPr>
        <w:t>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1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exercise of the Option.</w:t>
      </w:r>
    </w:p>
    <w:p>
      <w:pPr>
        <w:spacing w:after="0" w:line="144" w:lineRule="exact"/>
        <w:rPr>
          <w:sz w:val="20"/>
          <w:szCs w:val="20"/>
          <w:color w:val="auto"/>
        </w:rPr>
      </w:pPr>
    </w:p>
    <w:p>
      <w:pPr>
        <w:ind w:left="1020" w:hanging="506"/>
        <w:spacing w:after="0"/>
        <w:tabs>
          <w:tab w:leader="none" w:pos="10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 of the Option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8" w:lineRule="auto"/>
        <w:rPr>
          <w:sz w:val="20"/>
          <w:szCs w:val="20"/>
          <w:color w:val="auto"/>
        </w:rPr>
      </w:pPr>
      <w:r>
        <w:rPr>
          <w:rFonts w:ascii="Times New Roman" w:cs="Times New Roman" w:eastAsia="Times New Roman" w:hAnsi="Times New Roman"/>
          <w:sz w:val="17"/>
          <w:szCs w:val="17"/>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21" w:lineRule="exact"/>
        <w:rPr>
          <w:sz w:val="20"/>
          <w:szCs w:val="20"/>
          <w:color w:val="auto"/>
        </w:rPr>
      </w:pPr>
    </w:p>
    <w:p>
      <w:pPr>
        <w:ind w:left="1020" w:hanging="506"/>
        <w:spacing w:after="0"/>
        <w:tabs>
          <w:tab w:leader="none" w:pos="10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of the Option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color w:val="auto"/>
        </w:rPr>
        <w:t>Except as provided in the Notice of Grant or a Superseding Agreement, 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 In addition, the Option will expire on the date that the Company’s Board of Directors or its Compensation Committee determines that the Vesting Conditions set forth in the Notice of Grant were not satisfied, unless the Board or Compensation Committee decides to permit vesting on an alternate basis.</w:t>
      </w:r>
    </w:p>
    <w:p>
      <w:pPr>
        <w:spacing w:after="0" w:line="112" w:lineRule="exact"/>
        <w:rPr>
          <w:sz w:val="20"/>
          <w:szCs w:val="20"/>
          <w:color w:val="auto"/>
        </w:rPr>
      </w:pPr>
    </w:p>
    <w:p>
      <w:pPr>
        <w:ind w:left="1020" w:hanging="506"/>
        <w:spacing w:after="0"/>
        <w:tabs>
          <w:tab w:leader="none" w:pos="10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Termination of Service</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ind w:right="40"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Option Exercisability.</w:t>
      </w:r>
      <w:r>
        <w:rPr>
          <w:rFonts w:ascii="Times New Roman" w:cs="Times New Roman" w:eastAsia="Times New Roman" w:hAnsi="Times New Roman"/>
          <w:sz w:val="17"/>
          <w:szCs w:val="17"/>
          <w:color w:val="auto"/>
        </w:rPr>
        <w:t xml:space="preserve"> Except as provided in the Notice of Grant or a Superseding Agreement,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 The terms “Cause”, “Good Reason”, “Disability” and “Change of Control” in this Agreement shall have the meanings given to such terms in the Executive Severance Plan.</w:t>
      </w:r>
    </w:p>
    <w:p>
      <w:pPr>
        <w:spacing w:after="0" w:line="119" w:lineRule="exact"/>
        <w:rPr>
          <w:sz w:val="20"/>
          <w:szCs w:val="20"/>
          <w:color w:val="auto"/>
        </w:rPr>
      </w:pPr>
    </w:p>
    <w:p>
      <w:pPr>
        <w:ind w:right="20" w:firstLine="1533"/>
        <w:spacing w:after="0" w:line="230" w:lineRule="auto"/>
        <w:tabs>
          <w:tab w:leader="none" w:pos="203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Retirement. </w:t>
      </w:r>
      <w:r>
        <w:rPr>
          <w:rFonts w:ascii="Times New Roman" w:cs="Times New Roman" w:eastAsia="Times New Roman" w:hAnsi="Times New Roman"/>
          <w:sz w:val="17"/>
          <w:szCs w:val="17"/>
          <w:color w:val="auto"/>
        </w:rPr>
        <w:t>If the Participant’s Service terminates other than for Cause after the Participant has both (i) attained age sixty (60) and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completed ten (10) years of continuous Service to the Company (such combination of age and continuous Service, “</w:t>
      </w:r>
      <w:r>
        <w:rPr>
          <w:rFonts w:ascii="Times New Roman" w:cs="Times New Roman" w:eastAsia="Times New Roman" w:hAnsi="Times New Roman"/>
          <w:sz w:val="17"/>
          <w:szCs w:val="17"/>
          <w:b w:val="1"/>
          <w:bCs w:val="1"/>
          <w:i w:val="1"/>
          <w:iCs w:val="1"/>
          <w:color w:val="auto"/>
        </w:rPr>
        <w:t>Retirement Eligibility</w:t>
      </w:r>
      <w:r>
        <w:rPr>
          <w:rFonts w:ascii="Times New Roman" w:cs="Times New Roman" w:eastAsia="Times New Roman" w:hAnsi="Times New Roman"/>
          <w:sz w:val="17"/>
          <w:szCs w:val="17"/>
          <w:color w:val="auto"/>
        </w:rPr>
        <w:t>”), the Option, to the extent unexercised and exercisable for Vested Shares on the date on which the Participant’s Service terminated, may be exercised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2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Participant (or the Participant’s guardian or legal representative) at any time prior to the Option Expiration Date.</w:t>
      </w:r>
    </w:p>
    <w:p>
      <w:pPr>
        <w:spacing w:after="0" w:line="140" w:lineRule="exact"/>
        <w:rPr>
          <w:sz w:val="20"/>
          <w:szCs w:val="20"/>
          <w:color w:val="auto"/>
        </w:rPr>
      </w:pPr>
    </w:p>
    <w:p>
      <w:pPr>
        <w:jc w:val="both"/>
        <w:ind w:firstLine="1533"/>
        <w:spacing w:after="0" w:line="224" w:lineRule="auto"/>
        <w:tabs>
          <w:tab w:leader="none" w:pos="20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Participant’s Service terminates because of the Disability of the Participant, the Option, to the extent unexercised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exercisable for Vested Shares on the date on which the Participant’s Service terminated, may be exercised by the Participant (or the Participant’s guardian or legal representative) at any time prior to the expiration of eighteen (18) months after the date on which the Participant’s Service terminated (provided that Participant may elect a shorter exercise period in order to maintain the Option’s ISO status), but in any event no later than the Option Expiration Date.</w:t>
      </w:r>
    </w:p>
    <w:p>
      <w:pPr>
        <w:spacing w:after="0" w:line="118" w:lineRule="exact"/>
        <w:rPr>
          <w:rFonts w:ascii="Times New Roman" w:cs="Times New Roman" w:eastAsia="Times New Roman" w:hAnsi="Times New Roman"/>
          <w:sz w:val="17"/>
          <w:szCs w:val="17"/>
          <w:color w:val="auto"/>
        </w:rPr>
      </w:pPr>
    </w:p>
    <w:p>
      <w:pPr>
        <w:jc w:val="both"/>
        <w:ind w:firstLine="1533"/>
        <w:spacing w:after="0" w:line="213" w:lineRule="auto"/>
        <w:tabs>
          <w:tab w:leader="none" w:pos="203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Death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Participant’s Service terminates because of the death of the Participant, the Option, to the extent unexercised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eighteen (18) months after the date on which the Participant’s Service terminated (provided that Participant may elect a shorter exercise period in order to maintain the Option’s ISO status), but in any event no later than the Option Expiration Date. Notwithstanding the foregoing, (i) if the Participant dies during the three-month period provided by Section 7.1(f) or during the period provided by Section 7.1(b),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eighteen (18) months after the date of the Participant’s death (provided that Participant’s legal representative or other person may elect a shorter exercise period in order to maintain the Option’s ISO status), but in any event no later than the Option Expiration Date; or (ii) if the Participant’s Service terminates because of the death of the Participant after the Participant achieves Retirement Eligibility,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Option Expiration Date.</w:t>
      </w:r>
    </w:p>
    <w:p>
      <w:pPr>
        <w:spacing w:after="0" w:line="124" w:lineRule="exact"/>
        <w:rPr>
          <w:rFonts w:ascii="Times New Roman" w:cs="Times New Roman" w:eastAsia="Times New Roman" w:hAnsi="Times New Roman"/>
          <w:sz w:val="17"/>
          <w:szCs w:val="17"/>
          <w:color w:val="auto"/>
        </w:rPr>
      </w:pPr>
    </w:p>
    <w:p>
      <w:pPr>
        <w:ind w:right="20" w:firstLine="1533"/>
        <w:spacing w:after="0" w:line="221" w:lineRule="auto"/>
        <w:tabs>
          <w:tab w:leader="none" w:pos="20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Termination for Cause. </w:t>
      </w:r>
      <w:r>
        <w:rPr>
          <w:rFonts w:ascii="Times New Roman" w:cs="Times New Roman" w:eastAsia="Times New Roman" w:hAnsi="Times New Roman"/>
          <w:sz w:val="17"/>
          <w:szCs w:val="17"/>
          <w:color w:val="auto"/>
        </w:rPr>
        <w:t>Except as provided in the Notice of Grant or a Superseding Agreement and notwithstanding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provision of this Option Agreement to the contrary and notwithstanding any other provision of this Option Agreement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18" w:lineRule="exact"/>
        <w:rPr>
          <w:rFonts w:ascii="Times New Roman" w:cs="Times New Roman" w:eastAsia="Times New Roman" w:hAnsi="Times New Roman"/>
          <w:sz w:val="17"/>
          <w:szCs w:val="17"/>
          <w:color w:val="auto"/>
        </w:rPr>
      </w:pPr>
    </w:p>
    <w:p>
      <w:pPr>
        <w:jc w:val="both"/>
        <w:ind w:firstLine="1533"/>
        <w:spacing w:after="0" w:line="221" w:lineRule="auto"/>
        <w:tabs>
          <w:tab w:leader="none" w:pos="203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Termination Without Cause or for Good Reason</w:t>
      </w:r>
      <w:r>
        <w:rPr>
          <w:rFonts w:ascii="Times New Roman" w:cs="Times New Roman" w:eastAsia="Times New Roman" w:hAnsi="Times New Roman"/>
          <w:sz w:val="17"/>
          <w:szCs w:val="17"/>
          <w:color w:val="auto"/>
        </w:rPr>
        <w:t>. Except as provided in the Notice of Grant or a Superseding Agreement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notwithstanding any other provision of this Option Agreement to the contrary, if the Company terminates Participant’s Service without Cause or if Participant’s Service is terminated by the Participant for Good Reason, Participant may exercise those Vested Shares as of the date Participant’s Service is terminated at any time prior to the expiration of ninety (90) days after the date on which the Participant’s Service terminated (provided that Participant may elect a shorter exercise period in order to maintain the Option’s ISO status), but in any event no later than the Option Expiration Date.</w:t>
      </w:r>
    </w:p>
    <w:p>
      <w:pPr>
        <w:spacing w:after="0" w:line="118" w:lineRule="exact"/>
        <w:rPr>
          <w:rFonts w:ascii="Times New Roman" w:cs="Times New Roman" w:eastAsia="Times New Roman" w:hAnsi="Times New Roman"/>
          <w:sz w:val="17"/>
          <w:szCs w:val="17"/>
          <w:color w:val="auto"/>
        </w:rPr>
      </w:pPr>
    </w:p>
    <w:p>
      <w:pPr>
        <w:ind w:firstLine="1533"/>
        <w:spacing w:after="0" w:line="242" w:lineRule="auto"/>
        <w:tabs>
          <w:tab w:leader="none" w:pos="203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Other Termination of Service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provided in the Notice of Grant or a Superseding Agreement and notwithstanding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provision of this Option Agreement to the contrary, if the Participant’s Service terminates for any reason not covered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27" w:right="319" w:bottom="1440" w:gutter="0" w:footer="0" w:header="0"/>
        </w:sectPr>
      </w:pPr>
    </w:p>
    <w:bookmarkStart w:id="104" w:name="page105"/>
    <w:bookmarkEnd w:id="104"/>
    <w:p>
      <w:pPr>
        <w:jc w:val="both"/>
        <w:spacing w:after="0" w:line="228" w:lineRule="auto"/>
        <w:rPr>
          <w:sz w:val="20"/>
          <w:szCs w:val="20"/>
          <w:color w:val="auto"/>
        </w:rPr>
      </w:pPr>
      <w:r>
        <w:rPr>
          <w:rFonts w:ascii="Times New Roman" w:cs="Times New Roman" w:eastAsia="Times New Roman" w:hAnsi="Times New Roman"/>
          <w:sz w:val="17"/>
          <w:szCs w:val="17"/>
          <w:color w:val="auto"/>
        </w:rPr>
        <w:t>Sections 3(a), 3(b), 3(c) or 3(d), the Option, to the extent unexercised and exercisable for Vested Shares by the Participant on the date on which the Participant’s Service terminated, may be exercised by the Participant at any time prior to the expiration of ninety (90) days after the date on which the Participant’s Service terminated, but in any event no later than the Option Expiration Date.</w:t>
      </w:r>
    </w:p>
    <w:p>
      <w:pPr>
        <w:spacing w:after="0" w:line="118"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Extension if Exercise Prevented by Law</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Notwithstanding the foregoing, other than termination of the Participant’s Service for Cause, if the exercise of the Option within the applicable time periods set forth in Section 7.1 is prevented by (a) the provisions of Section 4.6 or other applicable law or (b) the Company’s Insider Trading Policy,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19" w:lineRule="exact"/>
        <w:rPr>
          <w:sz w:val="20"/>
          <w:szCs w:val="20"/>
          <w:color w:val="auto"/>
        </w:rPr>
      </w:pPr>
    </w:p>
    <w:p>
      <w:pPr>
        <w:ind w:left="1020" w:hanging="506"/>
        <w:spacing w:after="0"/>
        <w:tabs>
          <w:tab w:leader="none" w:pos="10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or any Superseding Agreement, in the event of a Change in Control, except to the extent that the Committee determines to cash out the Option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Option or substitute for all or any portion of the Option a substantially equivalent option for the Acquiror’s stock. For purposes of this Section, the Option or any portion thereof shall be deemed assumed if, following the Change in Control, the Option confers the right to receive, subject to the terms and conditions of the Plan and this Option Agreement, for each share of Stock subject to such portion of the Option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of the Option, for each share of Stock subject to the Option, to consist solely of common stock of the Acquiror equal in Fair Market Value to the per share consideration received by holders of Stock pursuant to the Change in Control. The Option shall terminate and cease to be outstanding effective as of the time of consummation of the Change in Control to the extent that the Option is neither assumed or continued by the Acquiror in connection with the Change in Control nor exercised as of the time of the Change in Control.</w:t>
      </w:r>
    </w:p>
    <w:p>
      <w:pPr>
        <w:spacing w:after="0" w:line="118" w:lineRule="exact"/>
        <w:rPr>
          <w:sz w:val="20"/>
          <w:szCs w:val="20"/>
          <w:color w:val="auto"/>
        </w:rPr>
      </w:pPr>
    </w:p>
    <w:p>
      <w:pPr>
        <w:ind w:left="1020" w:hanging="506"/>
        <w:spacing w:after="0"/>
        <w:tabs>
          <w:tab w:leader="none" w:pos="10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1"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7" w:right="31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17"/>
          <w:szCs w:val="17"/>
          <w:color w:val="auto"/>
        </w:rPr>
        <w:t>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The Committee in its sole discretion, may also make such adjustments in the terms of the Option to reflect, or related to, such changes in the capital structure of the Company or distributions as it deems appropriate. All adjustments pursuant to this Section shall be determined by the Committee, and its determination shall be final, binding and conclusive.</w:t>
      </w:r>
    </w:p>
    <w:p>
      <w:pPr>
        <w:spacing w:after="0" w:line="130" w:lineRule="exact"/>
        <w:rPr>
          <w:sz w:val="20"/>
          <w:szCs w:val="20"/>
          <w:color w:val="auto"/>
        </w:rPr>
      </w:pPr>
    </w:p>
    <w:p>
      <w:pPr>
        <w:ind w:left="1020" w:hanging="506"/>
        <w:spacing w:after="0"/>
        <w:tabs>
          <w:tab w:leader="none" w:pos="10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118" w:lineRule="exact"/>
        <w:rPr>
          <w:sz w:val="20"/>
          <w:szCs w:val="20"/>
          <w:color w:val="auto"/>
        </w:rPr>
      </w:pPr>
    </w:p>
    <w:p>
      <w:pPr>
        <w:ind w:left="1020" w:hanging="506"/>
        <w:spacing w:after="0"/>
        <w:tabs>
          <w:tab w:leader="none" w:pos="10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 of Sales Upon Disqualifying Disposition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3" w:lineRule="auto"/>
        <w:rPr>
          <w:sz w:val="20"/>
          <w:szCs w:val="20"/>
          <w:color w:val="auto"/>
        </w:rPr>
      </w:pPr>
      <w:r>
        <w:rPr>
          <w:rFonts w:ascii="Times New Roman" w:cs="Times New Roman" w:eastAsia="Times New Roman" w:hAnsi="Times New Roman"/>
          <w:sz w:val="17"/>
          <w:szCs w:val="17"/>
          <w:color w:val="auto"/>
        </w:rPr>
        <w:t xml:space="preserve">The Participant shall dispose of the shares acquired pursuant to the Option only in accordance with the provisions of this Option Agreement. In addition,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48" w:right="319" w:bottom="1440" w:gutter="0" w:footer="0" w:header="0"/>
        </w:sectPr>
      </w:pPr>
    </w:p>
    <w:bookmarkStart w:id="106" w:name="page107"/>
    <w:bookmarkEnd w:id="106"/>
    <w:p>
      <w:pPr>
        <w:spacing w:after="0" w:line="263" w:lineRule="auto"/>
        <w:rPr>
          <w:sz w:val="20"/>
          <w:szCs w:val="20"/>
          <w:color w:val="auto"/>
        </w:rPr>
      </w:pPr>
      <w:r>
        <w:rPr>
          <w:rFonts w:ascii="Times New Roman" w:cs="Times New Roman" w:eastAsia="Times New Roman" w:hAnsi="Times New Roman"/>
          <w:sz w:val="17"/>
          <w:szCs w:val="17"/>
          <w:color w:val="auto"/>
        </w:rPr>
        <w:t>any such transfers. The obligation of the Participant to notify the Company of any such transfer shall continue notwithstanding that a legend has been placed on the certificate pursuant to the preceding sentence.</w:t>
      </w:r>
    </w:p>
    <w:p>
      <w:pPr>
        <w:spacing w:after="0" w:line="119" w:lineRule="exact"/>
        <w:rPr>
          <w:sz w:val="20"/>
          <w:szCs w:val="20"/>
          <w:color w:val="auto"/>
        </w:rPr>
      </w:pPr>
    </w:p>
    <w:p>
      <w:pPr>
        <w:ind w:left="1020" w:hanging="506"/>
        <w:spacing w:after="0"/>
        <w:tabs>
          <w:tab w:leader="none" w:pos="10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49" w:lineRule="exact"/>
        <w:rPr>
          <w:sz w:val="20"/>
          <w:szCs w:val="20"/>
          <w:color w:val="auto"/>
        </w:rPr>
      </w:pPr>
    </w:p>
    <w:p>
      <w:pPr>
        <w:jc w:val="both"/>
        <w:ind w:left="1020" w:right="1020"/>
        <w:spacing w:after="0" w:line="252" w:lineRule="auto"/>
        <w:rPr>
          <w:sz w:val="20"/>
          <w:szCs w:val="20"/>
          <w:color w:val="auto"/>
        </w:rPr>
      </w:pPr>
      <w:r>
        <w:rPr>
          <w:rFonts w:ascii="Times New Roman" w:cs="Times New Roman" w:eastAsia="Times New Roman" w:hAnsi="Times New Roman"/>
          <w:sz w:val="17"/>
          <w:szCs w:val="17"/>
          <w:color w:val="auto"/>
        </w:rPr>
        <w:t>THE SHARES EVIDENCED BY THIS CERTIFICATE WERE ISSUED BY THE CORPORATION TO THE REGISTERED HOLDER UPON EXERCISE OF AN INCENTIVE STOCK OPTION AS DEFINED IN SECTION 422 OF THE INTERNAL REVENUE CODE OF 1986, AS AMENDED (“ISO”). IN ORDER TO OBTAIN THE PREFERENTIAL TAX TREATMENT AFFORDED TO ISOs, THE SHARES SHOULD NOT BE TRANSFERRED PRIOR TO [</w:t>
      </w:r>
      <w:r>
        <w:rPr>
          <w:rFonts w:ascii="Times New Roman" w:cs="Times New Roman" w:eastAsia="Times New Roman" w:hAnsi="Times New Roman"/>
          <w:sz w:val="17"/>
          <w:szCs w:val="17"/>
          <w:i w:val="1"/>
          <w:iCs w:val="1"/>
          <w:color w:val="auto"/>
        </w:rPr>
        <w:t>INSERT DISQUALIFYING DISPOSITION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DATE HERE</w:t>
      </w:r>
      <w:r>
        <w:rPr>
          <w:rFonts w:ascii="Times New Roman" w:cs="Times New Roman" w:eastAsia="Times New Roman" w:hAnsi="Times New Roman"/>
          <w:sz w:val="17"/>
          <w:szCs w:val="17"/>
          <w:color w:val="auto"/>
        </w:rPr>
        <w:t>]. SHOULD THE REGISTERED HOLDER ELECT TO TRANSFER ANY OF THE SHARES PRIOR TO THIS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FOREGO ISO TAX TREATMENT, THE TRANSFER AGENT FOR THE SHARES SHALL NOTIFY THE CORPORATION IMMEDIATELY. THE REGISTERED HOLDER SHALL HOLD ALL SHARES PURCHASED UNDER THE INCENTIVE STOCK OPTION IN THE REGISTERED HOLDER’S NAME (AND NOT IN THE NAME OF ANY NOMINEE) PRIOR TO THIS DATE OR UNTIL TRANSFERRED AS DESCRIBED ABOVE.</w:t>
      </w:r>
    </w:p>
    <w:p>
      <w:pPr>
        <w:spacing w:after="0" w:line="143" w:lineRule="exact"/>
        <w:rPr>
          <w:sz w:val="20"/>
          <w:szCs w:val="20"/>
          <w:color w:val="auto"/>
        </w:rPr>
      </w:pPr>
    </w:p>
    <w:p>
      <w:pPr>
        <w:ind w:left="1020" w:hanging="506"/>
        <w:spacing w:after="0"/>
        <w:tabs>
          <w:tab w:leader="none" w:pos="10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the Option at any time; provided, however, that except as provided in Section 8 in connection with a Change in Control, no such termination or amendment may have an adverse effect on the Option or any unexercised portion hereof without the consent of the Participant unless such termination or amendment is deemed necessary, in the Committee’s sole and absolute discretion and without the consent of the Participant, to comply with any applicable law or government regulation. No amendment or addition to this Option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37" w:right="319" w:bottom="1440" w:gutter="0" w:footer="0" w:header="0"/>
        </w:sectPr>
      </w:pPr>
    </w:p>
    <w:bookmarkStart w:id="107" w:name="page108"/>
    <w:bookmarkEnd w:id="107"/>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Option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118" w:lineRule="exact"/>
        <w:rPr>
          <w:sz w:val="20"/>
          <w:szCs w:val="20"/>
          <w:color w:val="auto"/>
        </w:rPr>
      </w:pPr>
    </w:p>
    <w:p>
      <w:pPr>
        <w:jc w:val="both"/>
        <w:ind w:firstLine="1533"/>
        <w:spacing w:after="0" w:line="219" w:lineRule="auto"/>
        <w:tabs>
          <w:tab w:leader="none" w:pos="203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Option Agreement, the Plan Prospectus, and any reports of the Company provided generally to the Company’s stockholders, may be delivered to the Participant electronically. In addition, if permitted by the Company, the Participant may deliver electronically the Notice of Grant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if permitted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the delivery of the Notice of Grant and Exercise Notice, as described in Section 13.4(a). The Participant may change the electronic mail address to which such documents are to be delivered (if the Participant has provided an electronic mail address) at any time by notifying the Company of such revised e-mail address by telephone, postal service or electronic mail.</w:t>
      </w:r>
    </w:p>
    <w:p>
      <w:pPr>
        <w:spacing w:after="0" w:line="119"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In consideration for this Option, you hereby agree that all shares of Stock issued pursuant to this Option Agreement, and any other equity awards, annual bonus or short term incentives received by the Participant from the Company shall be subject to any clawback or recoupment policy adopted by the Company from time to time (including, but not limited to, any policy adopted in accordance with the Dodd-Frank Wall Street Reform and Consumer Protection Act or other Applicable Laws), regardless of whether the policy is adopted after the date on which this Option is granted, after all or a portion of the Option vests or after shares of Stock are issued pursuant to the exercise of this Option.</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2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herein, the provisions of the Notice of Grant, the Option Agreement and the Plan shall survive any exercise of the Option and shall remain in full force and effect.</w:t>
      </w:r>
    </w:p>
    <w:p>
      <w:pPr>
        <w:spacing w:after="0" w:line="140"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Option Agreement and the performance hereof shall be construed and governed in accordance with the laws of the State of New Jersey without giving effect to its conflicts or choice of law principles. Any and all legal claims and disputes arising out of or relating to this Option Agreement shall be litigated exclusively in the state or federal courts located in the State of New Jersey.</w:t>
      </w:r>
    </w:p>
    <w:p>
      <w:pPr>
        <w:spacing w:after="0" w:line="117"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13.8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27"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RESTRICTED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Form)</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award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of certain restricted 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of which represents the right to receive on the applicable Settlement Date one (1) share of common stock of the Company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2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___________</w:t>
            </w:r>
          </w:p>
        </w:tc>
        <w:tc>
          <w:tcPr>
            <w:tcW w:w="5920" w:type="dxa"/>
            <w:vAlign w:val="bottom"/>
            <w:gridSpan w:val="3"/>
          </w:tcPr>
          <w:p>
            <w:pPr>
              <w:ind w:left="1540"/>
              <w:spacing w:after="0"/>
              <w:rPr>
                <w:sz w:val="20"/>
                <w:szCs w:val="20"/>
                <w:color w:val="auto"/>
              </w:rPr>
            </w:pPr>
            <w:r>
              <w:rPr>
                <w:rFonts w:ascii="Times New Roman" w:cs="Times New Roman" w:eastAsia="Times New Roman" w:hAnsi="Times New Roman"/>
                <w:sz w:val="17"/>
                <w:szCs w:val="17"/>
                <w:b w:val="1"/>
                <w:bCs w:val="1"/>
                <w:color w:val="auto"/>
              </w:rPr>
              <w:t xml:space="preserve">Employee ID: </w:t>
            </w:r>
            <w:r>
              <w:rPr>
                <w:rFonts w:ascii="Times New Roman" w:cs="Times New Roman" w:eastAsia="Times New Roman" w:hAnsi="Times New Roman"/>
                <w:sz w:val="17"/>
                <w:szCs w:val="17"/>
                <w:color w:val="auto"/>
              </w:rPr>
              <w:t>_________</w:t>
            </w:r>
          </w:p>
        </w:tc>
        <w:tc>
          <w:tcPr>
            <w:tcW w:w="0" w:type="dxa"/>
            <w:vAlign w:val="bottom"/>
          </w:tcPr>
          <w:p>
            <w:pPr>
              <w:spacing w:after="0"/>
              <w:rPr>
                <w:sz w:val="1"/>
                <w:szCs w:val="1"/>
                <w:color w:val="auto"/>
              </w:rPr>
            </w:pPr>
          </w:p>
        </w:tc>
      </w:tr>
      <w:tr>
        <w:trPr>
          <w:trHeight w:val="309"/>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7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________</w:t>
            </w:r>
          </w:p>
        </w:tc>
        <w:tc>
          <w:tcPr>
            <w:tcW w:w="2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Number of Units:</w:t>
            </w: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________, restricted stock units, subject to adjustment as provided by the Restricted Stock Units Agreement.</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Settlement Date:</w:t>
            </w:r>
          </w:p>
        </w:tc>
        <w:tc>
          <w:tcPr>
            <w:tcW w:w="680" w:type="dxa"/>
            <w:vAlign w:val="bottom"/>
            <w:shd w:val="clear" w:color="auto" w:fill="000000"/>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780" w:type="dxa"/>
            <w:vAlign w:val="bottom"/>
            <w:vMerge w:val="continue"/>
          </w:tcPr>
          <w:p>
            <w:pPr>
              <w:spacing w:after="0"/>
              <w:rPr>
                <w:sz w:val="24"/>
                <w:szCs w:val="24"/>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Except as provided by the Restricted Stock Units Agreement, the date on which a Unit becomes a Vested Unit.</w:t>
            </w:r>
          </w:p>
        </w:tc>
        <w:tc>
          <w:tcPr>
            <w:tcW w:w="0" w:type="dxa"/>
            <w:vAlign w:val="bottom"/>
          </w:tcPr>
          <w:p>
            <w:pPr>
              <w:spacing w:after="0"/>
              <w:rPr>
                <w:sz w:val="1"/>
                <w:szCs w:val="1"/>
                <w:color w:val="auto"/>
              </w:rPr>
            </w:pPr>
          </w:p>
        </w:tc>
      </w:tr>
      <w:tr>
        <w:trPr>
          <w:trHeight w:val="290"/>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Start Date:</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________</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Conditions:</w:t>
            </w: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9"/>
              </w:rPr>
              <w:t xml:space="preserve">Except as otherwise specified below or in the Restricted Stock Unit Agreement, [VEST SCHEDULE] </w:t>
            </w: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auto"/>
                <w:w w:val="99"/>
              </w:rPr>
              <w:t xml:space="preserve">the </w:t>
            </w:r>
            <w:r>
              <w:rPr>
                <w:rFonts w:ascii="Times New Roman" w:cs="Times New Roman" w:eastAsia="Times New Roman" w:hAnsi="Times New Roman"/>
                <w:sz w:val="17"/>
                <w:szCs w:val="17"/>
                <w:b w:val="1"/>
                <w:bCs w:val="1"/>
                <w:color w:val="auto"/>
                <w:w w:val="99"/>
              </w:rPr>
              <w:t>“Initial Vesting</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so long as Participant’s Service (as defined in the Restricted Stock Units Agreement) is continuous from the Date</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of Grant through the applicable vesting date. Units that have vested shall be referred to herein as “</w:t>
            </w:r>
            <w:r>
              <w:rPr>
                <w:rFonts w:ascii="Times New Roman" w:cs="Times New Roman" w:eastAsia="Times New Roman" w:hAnsi="Times New Roman"/>
                <w:sz w:val="17"/>
                <w:szCs w:val="17"/>
                <w:b w:val="1"/>
                <w:bCs w:val="1"/>
                <w:i w:val="1"/>
                <w:iCs w:val="1"/>
                <w:color w:val="auto"/>
              </w:rPr>
              <w:t>Vested Units</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22"/>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Accelerated Vesting:</w:t>
            </w: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Any accelerated Vesting shall be subject to the Company’s Executive Severance Plan and the applicable Executive</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Severance Plan Participation Agreement entered into with the Participant.</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Superseding Agreement:</w:t>
            </w: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Any employment agreement between the Company and Participant or any severance plan adopted by the Board in which</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Participant agrees to participate in, including the Company’s Executive Severance Plan, shall be deemed a Superseding</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Agreement, and the terms set forth in such employment agreement or severance plan, including an Executive Severance</w:t>
            </w:r>
          </w:p>
        </w:tc>
        <w:tc>
          <w:tcPr>
            <w:tcW w:w="0" w:type="dxa"/>
            <w:vAlign w:val="bottom"/>
          </w:tcPr>
          <w:p>
            <w:pPr>
              <w:spacing w:after="0"/>
              <w:rPr>
                <w:sz w:val="1"/>
                <w:szCs w:val="1"/>
                <w:color w:val="auto"/>
              </w:rPr>
            </w:pPr>
          </w:p>
        </w:tc>
      </w:tr>
    </w:tbl>
    <w:p>
      <w:pPr>
        <w:ind w:left="2840" w:right="60"/>
        <w:spacing w:after="0" w:line="254" w:lineRule="auto"/>
        <w:rPr>
          <w:sz w:val="20"/>
          <w:szCs w:val="20"/>
          <w:color w:val="auto"/>
        </w:rPr>
      </w:pPr>
      <w:r>
        <w:rPr>
          <w:rFonts w:ascii="Times New Roman" w:cs="Times New Roman" w:eastAsia="Times New Roman" w:hAnsi="Times New Roman"/>
          <w:sz w:val="17"/>
          <w:szCs w:val="17"/>
          <w:color w:val="auto"/>
        </w:rPr>
        <w:t>Plan Participation Agreement, shall supersede and replace the terms set forth in this Notice of Grant, the accompanying Restricted Stock Units Agreement and the Plan.</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Notice of Grant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w:t>
      </w:r>
    </w:p>
    <w:p>
      <w:pPr>
        <w:sectPr>
          <w:pgSz w:w="11900" w:h="16838" w:orient="portrait"/>
          <w:cols w:equalWidth="0" w:num="1">
            <w:col w:w="11280"/>
          </w:cols>
          <w:pgMar w:left="300" w:top="1136" w:right="319" w:bottom="1440" w:gutter="0" w:footer="0" w:header="0"/>
        </w:sectPr>
      </w:pPr>
    </w:p>
    <w:bookmarkStart w:id="110" w:name="page111"/>
    <w:bookmarkEnd w:id="110"/>
    <w:p>
      <w:pPr>
        <w:spacing w:after="0" w:line="276" w:lineRule="auto"/>
        <w:rPr>
          <w:sz w:val="20"/>
          <w:szCs w:val="20"/>
          <w:color w:val="auto"/>
        </w:rPr>
      </w:pPr>
      <w:r>
        <w:rPr>
          <w:rFonts w:ascii="Times New Roman" w:cs="Times New Roman" w:eastAsia="Times New Roman" w:hAnsi="Times New Roman"/>
          <w:sz w:val="17"/>
          <w:szCs w:val="17"/>
          <w:color w:val="auto"/>
        </w:rPr>
        <w:t>printed by the Participant for attachment to the Participant’s copy of this Notice of Grant. The Participant represents that the Participant has read and is familiar with the provisions of the Restricted Stock Units Agreement and the Plan, and hereby accepts the Award subject to all of their terms and conditions.</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120" w:type="dxa"/>
            <w:vAlign w:val="bottom"/>
          </w:tcPr>
          <w:p>
            <w:pPr>
              <w:spacing w:after="0"/>
              <w:rPr>
                <w:sz w:val="19"/>
                <w:szCs w:val="19"/>
                <w:color w:val="auto"/>
              </w:rPr>
            </w:pPr>
          </w:p>
        </w:tc>
        <w:tc>
          <w:tcPr>
            <w:tcW w:w="2360" w:type="dxa"/>
            <w:vAlign w:val="bottom"/>
            <w:gridSpan w:val="3"/>
          </w:tcPr>
          <w:p>
            <w:pPr>
              <w:ind w:left="1220"/>
              <w:spacing w:after="0"/>
              <w:rPr>
                <w:sz w:val="20"/>
                <w:szCs w:val="20"/>
                <w:color w:val="auto"/>
              </w:rPr>
            </w:pPr>
            <w:r>
              <w:rPr>
                <w:rFonts w:ascii="Times New Roman" w:cs="Times New Roman" w:eastAsia="Times New Roman" w:hAnsi="Times New Roman"/>
                <w:sz w:val="17"/>
                <w:szCs w:val="17"/>
                <w:b w:val="1"/>
                <w:bCs w:val="1"/>
                <w:color w:val="auto"/>
                <w:w w:val="94"/>
              </w:rPr>
              <w:t>PARTICIPANT</w:t>
            </w:r>
          </w:p>
        </w:tc>
      </w:tr>
      <w:tr>
        <w:trPr>
          <w:trHeight w:val="417"/>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28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Elena Marquez</w:t>
            </w:r>
          </w:p>
        </w:tc>
        <w:tc>
          <w:tcPr>
            <w:tcW w:w="3120" w:type="dxa"/>
            <w:vAlign w:val="bottom"/>
          </w:tcPr>
          <w:p>
            <w:pPr>
              <w:spacing w:after="0"/>
              <w:rPr>
                <w:sz w:val="22"/>
                <w:szCs w:val="22"/>
                <w:color w:val="auto"/>
              </w:rPr>
            </w:pPr>
          </w:p>
        </w:tc>
        <w:tc>
          <w:tcPr>
            <w:tcW w:w="236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Signature</w:t>
            </w:r>
          </w:p>
        </w:tc>
      </w:tr>
      <w:tr>
        <w:trPr>
          <w:trHeight w:val="205"/>
        </w:trPr>
        <w:tc>
          <w:tcPr>
            <w:tcW w:w="280" w:type="dxa"/>
            <w:vAlign w:val="bottom"/>
          </w:tcPr>
          <w:p>
            <w:pPr>
              <w:spacing w:after="0"/>
              <w:rPr>
                <w:sz w:val="17"/>
                <w:szCs w:val="17"/>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63"/>
        </w:trPr>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36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Date</w:t>
            </w:r>
          </w:p>
        </w:tc>
      </w:tr>
      <w:tr>
        <w:trPr>
          <w:trHeight w:val="205"/>
        </w:trPr>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Address:</w:t>
            </w:r>
          </w:p>
        </w:tc>
        <w:tc>
          <w:tcPr>
            <w:tcW w:w="3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 Garret Mountain</w:t>
            </w:r>
          </w:p>
        </w:tc>
        <w:tc>
          <w:tcPr>
            <w:tcW w:w="1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63"/>
        </w:trPr>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Suite 401</w:t>
            </w:r>
          </w:p>
        </w:tc>
        <w:tc>
          <w:tcPr>
            <w:tcW w:w="236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Address</w:t>
            </w:r>
          </w:p>
        </w:tc>
      </w:tr>
      <w:tr>
        <w:trPr>
          <w:trHeight w:val="205"/>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Woodland Park, NJ 07424</w:t>
            </w:r>
          </w:p>
        </w:tc>
        <w:tc>
          <w:tcPr>
            <w:tcW w:w="1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7"/>
          <w:szCs w:val="17"/>
          <w:color w:val="auto"/>
        </w:rPr>
        <w:t>ATTACHMENTS:</w:t>
      </w:r>
      <w:r>
        <w:rPr>
          <w:sz w:val="20"/>
          <w:szCs w:val="20"/>
          <w:color w:val="auto"/>
        </w:rPr>
        <w:tab/>
      </w:r>
      <w:r>
        <w:rPr>
          <w:rFonts w:ascii="Times New Roman" w:cs="Times New Roman" w:eastAsia="Times New Roman" w:hAnsi="Times New Roman"/>
          <w:sz w:val="16"/>
          <w:szCs w:val="16"/>
          <w:color w:val="auto"/>
        </w:rPr>
        <w:t>2023 Stock Plan, as amended to the Date of Grant; Restricted Stock Units Agreement and Plan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48"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3"/>
          <w:szCs w:val="23"/>
          <w:b w:val="1"/>
          <w:bCs w:val="1"/>
          <w:color w:val="auto"/>
        </w:rPr>
        <w:t>ANTERIX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RESTRICTED STOCK UNITS AGREEMENT</w:t>
      </w:r>
    </w:p>
    <w:p>
      <w:pPr>
        <w:spacing w:after="0" w:line="1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Restricted Stock Units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to which this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an Award consisting of Restricted 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subject to the terms and conditions set forth in the Notice of Grant and this Agreement. The Award has been granted pursuant to and shall in all respects be subject to the terms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Award subject to all of the terms and conditions of the Notice of Grant, this Agreement and the Plan and (c) agrees to accept as binding, conclusive and final all decisions or interpretations of the Committee upon any questions arising under the Notice of Grant, this Agreement or the Plan.</w:t>
      </w:r>
    </w:p>
    <w:p>
      <w:pPr>
        <w:spacing w:after="0" w:line="114" w:lineRule="exact"/>
        <w:rPr>
          <w:sz w:val="20"/>
          <w:szCs w:val="20"/>
          <w:color w:val="auto"/>
        </w:rPr>
      </w:pPr>
    </w:p>
    <w:p>
      <w:pPr>
        <w:ind w:left="1020" w:hanging="506"/>
        <w:spacing w:after="0"/>
        <w:tabs>
          <w:tab w:leader="none" w:pos="10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r>
        <w:rPr>
          <w:rFonts w:ascii="Times New Roman" w:cs="Times New Roman" w:eastAsia="Times New Roman" w:hAnsi="Times New Roman"/>
          <w:sz w:val="17"/>
          <w:szCs w:val="17"/>
          <w:b w:val="1"/>
          <w:bCs w:val="1"/>
          <w:color w:val="auto"/>
        </w:rPr>
        <w:t>.</w:t>
      </w:r>
    </w:p>
    <w:p>
      <w:pPr>
        <w:spacing w:after="0" w:line="140"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or the</w:t>
      </w: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22"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ectPr>
          <w:pgSz w:w="11900" w:h="16838" w:orient="portrait"/>
          <w:cols w:equalWidth="0" w:num="1">
            <w:col w:w="11280"/>
          </w:cols>
          <w:pgMar w:left="300" w:top="1128" w:right="319" w:bottom="1440" w:gutter="0" w:footer="0" w:header="0"/>
        </w:sectPr>
      </w:pPr>
    </w:p>
    <w:bookmarkStart w:id="112" w:name="page113"/>
    <w:bookmarkEnd w:id="112"/>
    <w:p>
      <w:pPr>
        <w:ind w:left="1020" w:hanging="506"/>
        <w:spacing w:after="0"/>
        <w:tabs>
          <w:tab w:leader="none" w:pos="10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Award</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Grant of Units.</w:t>
      </w:r>
      <w:r>
        <w:rPr>
          <w:rFonts w:ascii="Times New Roman" w:cs="Times New Roman" w:eastAsia="Times New Roman" w:hAnsi="Times New Roman"/>
          <w:sz w:val="17"/>
          <w:szCs w:val="17"/>
          <w:color w:val="auto"/>
        </w:rPr>
        <w:t xml:space="preserve"> On the Date of Grant, the Participant shall acquire, subject to the provisions of this Agreement, the Total Number of Units set forth in the Notice of Grant, subject to adjustment as provided in Section 9. Each Unit represents a right to receive on a date determined in accordance with the Notice of Grant and this Agreement one (1) share of Stock.</w:t>
      </w:r>
    </w:p>
    <w:p>
      <w:pPr>
        <w:spacing w:after="0" w:line="117"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No Monetary Payment Required.</w:t>
      </w:r>
      <w:r>
        <w:rPr>
          <w:rFonts w:ascii="Times New Roman" w:cs="Times New Roman" w:eastAsia="Times New Roman" w:hAnsi="Times New Roman"/>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19" w:lineRule="exact"/>
        <w:rPr>
          <w:sz w:val="20"/>
          <w:szCs w:val="20"/>
          <w:color w:val="auto"/>
        </w:rPr>
      </w:pPr>
    </w:p>
    <w:p>
      <w:pPr>
        <w:ind w:left="1020" w:hanging="506"/>
        <w:spacing w:after="0"/>
        <w:tabs>
          <w:tab w:leader="none" w:pos="10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 of Units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Units acquired pursuant to this Agreement shall become Vested Units as provided in the Notice of Grant.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20" w:lineRule="exact"/>
        <w:rPr>
          <w:sz w:val="20"/>
          <w:szCs w:val="20"/>
          <w:color w:val="auto"/>
        </w:rPr>
      </w:pPr>
    </w:p>
    <w:p>
      <w:pPr>
        <w:ind w:left="1020" w:hanging="506"/>
        <w:spacing w:after="0"/>
        <w:tabs>
          <w:tab w:leader="none" w:pos="10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 Reacquisition Right</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Grant of Company Reacquisition Right.</w:t>
      </w:r>
      <w:r>
        <w:rPr>
          <w:rFonts w:ascii="Times New Roman" w:cs="Times New Roman" w:eastAsia="Times New Roman" w:hAnsi="Times New Roman"/>
          <w:sz w:val="17"/>
          <w:szCs w:val="17"/>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Unvested Units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the Participant shall not be entitled to any payment therefor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Company Reacquisition Right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Ownership Change Event, Non-Cash Dividends, Distributions and Adjustments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3" w:right="319" w:bottom="1440" w:gutter="0" w:footer="0" w:header="0"/>
        </w:sectPr>
      </w:pPr>
    </w:p>
    <w:bookmarkStart w:id="113" w:name="page114"/>
    <w:bookmarkEnd w:id="113"/>
    <w:p>
      <w:pPr>
        <w:ind w:left="1020" w:hanging="506"/>
        <w:spacing w:after="0"/>
        <w:tabs>
          <w:tab w:leader="none" w:pos="10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 of the Award</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Issuance of Shares of Stock</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Notice of Grant (an “</w:t>
      </w:r>
      <w:r>
        <w:rPr>
          <w:rFonts w:ascii="Times New Roman" w:cs="Times New Roman" w:eastAsia="Times New Roman" w:hAnsi="Times New Roman"/>
          <w:sz w:val="17"/>
          <w:szCs w:val="17"/>
          <w:b w:val="1"/>
          <w:bCs w:val="1"/>
          <w:i w:val="1"/>
          <w:iCs w:val="1"/>
          <w:color w:val="auto"/>
        </w:rPr>
        <w:t>Original Settlement Date</w:t>
      </w:r>
      <w:r>
        <w:rPr>
          <w:rFonts w:ascii="Times New Roman" w:cs="Times New Roman" w:eastAsia="Times New Roman" w:hAnsi="Times New Roman"/>
          <w:sz w:val="17"/>
          <w:szCs w:val="17"/>
          <w:color w:val="auto"/>
        </w:rPr>
        <w:t>”); provided, however, that if the Original Settlement Date would occur on (i) a date which is not a business day, the Settlement Date shall occur on the next business day or (ii) a date on which a sale by the Participant of the shares to be issued in settlement of the Vested Units would violate the then applicable Insider Trading Policy of the Company or on a date which a sale is not otherwise not permitted, the Settlement Date for such Vested Units shall be deferred until the next day on which the sale of such shares by the Participant would not violate the then applicable Insider Trading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Section 18.12 of the Plan or the Company’s then applicable Insider Trading Policy.</w:t>
      </w:r>
    </w:p>
    <w:p>
      <w:pPr>
        <w:spacing w:after="0" w:line="121"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Restrictions on Grant of the Award and Issuance of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settlement of the Award.</w:t>
      </w:r>
    </w:p>
    <w:p>
      <w:pPr>
        <w:spacing w:after="0" w:line="144" w:lineRule="exact"/>
        <w:rPr>
          <w:sz w:val="20"/>
          <w:szCs w:val="20"/>
          <w:color w:val="auto"/>
        </w:rPr>
      </w:pPr>
    </w:p>
    <w:p>
      <w:pPr>
        <w:ind w:left="1020" w:hanging="506"/>
        <w:spacing w:after="0"/>
        <w:tabs>
          <w:tab w:leader="none" w:pos="10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Withholding</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In General.</w:t>
      </w:r>
      <w:r>
        <w:rPr>
          <w:rFonts w:ascii="Times New Roman" w:cs="Times New Roman" w:eastAsia="Times New Roman" w:hAnsi="Times New Roman"/>
          <w:sz w:val="17"/>
          <w:szCs w:val="17"/>
          <w:color w:val="auto"/>
        </w:rPr>
        <w:t xml:space="preserve"> At the time the Notice of Grant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until the tax withholding obligations of the Participating Company have been satisfied by the Participant.</w:t>
      </w:r>
    </w:p>
    <w:p>
      <w:pPr>
        <w:spacing w:after="0" w:line="140"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Assignment of Sale Proceeds.</w:t>
      </w:r>
      <w:r>
        <w:rPr>
          <w:rFonts w:ascii="Times New Roman" w:cs="Times New Roman" w:eastAsia="Times New Roman" w:hAnsi="Times New Roman"/>
          <w:sz w:val="17"/>
          <w:szCs w:val="17"/>
          <w:color w:val="auto"/>
        </w:rPr>
        <w:t xml:space="preserve"> Subject to compliance with applicable law and the Company’s Insider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b w:val="1"/>
          <w:bCs w:val="1"/>
          <w:color w:val="auto"/>
        </w:rPr>
        <w:t>Withholding in Shares.</w:t>
      </w:r>
      <w:r>
        <w:rPr>
          <w:rFonts w:ascii="Times New Roman" w:cs="Times New Roman" w:eastAsia="Times New Roman" w:hAnsi="Times New Roman"/>
          <w:sz w:val="17"/>
          <w:szCs w:val="17"/>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19" w:lineRule="exact"/>
        <w:rPr>
          <w:sz w:val="20"/>
          <w:szCs w:val="20"/>
          <w:color w:val="auto"/>
        </w:rPr>
      </w:pPr>
    </w:p>
    <w:p>
      <w:pPr>
        <w:ind w:left="1020" w:hanging="506"/>
        <w:spacing w:after="0"/>
        <w:tabs>
          <w:tab w:leader="none" w:pos="10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i w:val="1"/>
          <w:iCs w:val="1"/>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and any Superseding Agreement, in the event of a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118" w:lineRule="exact"/>
        <w:rPr>
          <w:sz w:val="20"/>
          <w:szCs w:val="20"/>
          <w:color w:val="auto"/>
        </w:rPr>
      </w:pPr>
    </w:p>
    <w:p>
      <w:pPr>
        <w:ind w:left="1020" w:hanging="506"/>
        <w:spacing w:after="0"/>
        <w:tabs>
          <w:tab w:leader="none" w:pos="10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7" w:right="319" w:bottom="1440" w:gutter="0" w:footer="0" w:header="0"/>
        </w:sectPr>
      </w:pPr>
    </w:p>
    <w:bookmarkStart w:id="115" w:name="page116"/>
    <w:bookmarkEnd w:id="115"/>
    <w:p>
      <w:pPr>
        <w:jc w:val="both"/>
        <w:spacing w:after="0" w:line="253" w:lineRule="auto"/>
        <w:rPr>
          <w:sz w:val="20"/>
          <w:szCs w:val="20"/>
          <w:color w:val="auto"/>
        </w:rPr>
      </w:pPr>
      <w:r>
        <w:rPr>
          <w:rFonts w:ascii="Times New Roman" w:cs="Times New Roman" w:eastAsia="Times New Roman" w:hAnsi="Times New Roman"/>
          <w:sz w:val="17"/>
          <w:szCs w:val="17"/>
          <w:color w:val="auto"/>
        </w:rPr>
        <w:t>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21" w:lineRule="exact"/>
        <w:rPr>
          <w:sz w:val="20"/>
          <w:szCs w:val="20"/>
          <w:color w:val="auto"/>
        </w:rPr>
      </w:pPr>
    </w:p>
    <w:p>
      <w:pPr>
        <w:ind w:left="1020" w:hanging="506"/>
        <w:spacing w:after="0"/>
        <w:tabs>
          <w:tab w:leader="none" w:pos="10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18" w:lineRule="exact"/>
        <w:rPr>
          <w:sz w:val="20"/>
          <w:szCs w:val="20"/>
          <w:color w:val="auto"/>
        </w:rPr>
      </w:pPr>
    </w:p>
    <w:p>
      <w:pPr>
        <w:ind w:left="1020" w:hanging="506"/>
        <w:spacing w:after="0"/>
        <w:tabs>
          <w:tab w:leader="none" w:pos="10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05" w:lineRule="exact"/>
        <w:rPr>
          <w:sz w:val="20"/>
          <w:szCs w:val="20"/>
          <w:color w:val="auto"/>
        </w:rPr>
      </w:pPr>
    </w:p>
    <w:p>
      <w:pPr>
        <w:ind w:left="1020" w:hanging="506"/>
        <w:spacing w:after="0"/>
        <w:tabs>
          <w:tab w:leader="none" w:pos="10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48"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the Committee in good faith) to avoid the unfavorable tax consequences provided therein for non-compliance. In connection with effecting such compliance with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409A, the following shall apply:</w:t>
      </w:r>
    </w:p>
    <w:p>
      <w:pPr>
        <w:spacing w:after="0" w:line="133"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b w:val="1"/>
          <w:bCs w:val="1"/>
          <w:color w:val="auto"/>
        </w:rPr>
        <w:t>Separation from Service; Required Delay in Payment to Specified Employee.</w:t>
      </w:r>
      <w:r>
        <w:rPr>
          <w:rFonts w:ascii="Times New Roman" w:cs="Times New Roman" w:eastAsia="Times New Roman" w:hAnsi="Times New Roman"/>
          <w:sz w:val="17"/>
          <w:szCs w:val="17"/>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(the “</w:t>
      </w:r>
      <w:r>
        <w:rPr>
          <w:rFonts w:ascii="Times New Roman" w:cs="Times New Roman" w:eastAsia="Times New Roman" w:hAnsi="Times New Roman"/>
          <w:sz w:val="17"/>
          <w:szCs w:val="17"/>
          <w:b w:val="1"/>
          <w:bCs w:val="1"/>
          <w:i w:val="1"/>
          <w:iCs w:val="1"/>
          <w:color w:val="auto"/>
        </w:rPr>
        <w:t>Section 409A Regulations</w:t>
      </w:r>
      <w:r>
        <w:rPr>
          <w:rFonts w:ascii="Times New Roman" w:cs="Times New Roman" w:eastAsia="Times New Roman" w:hAnsi="Times New Roman"/>
          <w:sz w:val="17"/>
          <w:szCs w:val="17"/>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7"/>
          <w:szCs w:val="17"/>
          <w:b w:val="1"/>
          <w:bCs w:val="1"/>
          <w:i w:val="1"/>
          <w:iCs w:val="1"/>
          <w:color w:val="auto"/>
        </w:rPr>
        <w:t>Delayed Payment Date</w:t>
      </w:r>
      <w:r>
        <w:rPr>
          <w:rFonts w:ascii="Times New Roman" w:cs="Times New Roman" w:eastAsia="Times New Roman" w:hAnsi="Times New Roman"/>
          <w:sz w:val="17"/>
          <w:szCs w:val="17"/>
          <w:color w:val="auto"/>
        </w:rPr>
        <w:t>”) that is six (6) months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20"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Other Changes in Time of Payment.</w:t>
      </w:r>
      <w:r>
        <w:rPr>
          <w:rFonts w:ascii="Times New Roman" w:cs="Times New Roman" w:eastAsia="Times New Roman" w:hAnsi="Times New Roman"/>
          <w:sz w:val="17"/>
          <w:szCs w:val="17"/>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b w:val="1"/>
          <w:bCs w:val="1"/>
          <w:color w:val="auto"/>
        </w:rPr>
        <w:t>Amendments to Comply with Section 409A; Indemnification.</w:t>
      </w:r>
      <w:r>
        <w:rPr>
          <w:rFonts w:ascii="Times New Roman" w:cs="Times New Roman" w:eastAsia="Times New Roman" w:hAnsi="Times New Roman"/>
          <w:sz w:val="17"/>
          <w:szCs w:val="17"/>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18"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b w:val="1"/>
          <w:bCs w:val="1"/>
          <w:color w:val="auto"/>
        </w:rPr>
        <w:t>Advice of Independent Tax Advisor.</w:t>
      </w:r>
      <w:r>
        <w:rPr>
          <w:rFonts w:ascii="Times New Roman" w:cs="Times New Roman" w:eastAsia="Times New Roman" w:hAnsi="Times New Roman"/>
          <w:sz w:val="17"/>
          <w:szCs w:val="17"/>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19" w:lineRule="exact"/>
        <w:rPr>
          <w:sz w:val="20"/>
          <w:szCs w:val="20"/>
          <w:color w:val="auto"/>
        </w:rPr>
      </w:pPr>
    </w:p>
    <w:p>
      <w:pPr>
        <w:ind w:left="1020" w:hanging="506"/>
        <w:spacing w:after="0"/>
        <w:tabs>
          <w:tab w:leader="none" w:pos="10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this Agreement at any time; provided, however, that except as provided in Section 8 in connection with a Change in Control, no such termination or amendment may have an adverse effect on the Participant’s rights under this Agreement without the consent of the Participant unless such termination or amendment is deemed necessary, in the Committee’s sole and absolute discretion and without the consent of the Participant, to comply with applicable law or government regulation, including, but not limited to, Section 409A. No amendment or addition to this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48" w:right="319" w:bottom="1440" w:gutter="0" w:footer="0" w:header="0"/>
        </w:sectPr>
      </w:pPr>
    </w:p>
    <w:bookmarkStart w:id="117" w:name="page118"/>
    <w:bookmarkEnd w:id="117"/>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Nontransferability of the Award.</w:t>
      </w:r>
      <w:r>
        <w:rPr>
          <w:rFonts w:ascii="Times New Roman" w:cs="Times New Roman" w:eastAsia="Times New Roman" w:hAnsi="Times New Roman"/>
          <w:sz w:val="17"/>
          <w:szCs w:val="17"/>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118" w:lineRule="exact"/>
        <w:rPr>
          <w:sz w:val="20"/>
          <w:szCs w:val="20"/>
          <w:color w:val="auto"/>
        </w:rPr>
      </w:pPr>
    </w:p>
    <w:p>
      <w:pPr>
        <w:jc w:val="both"/>
        <w:ind w:firstLine="1533"/>
        <w:spacing w:after="0" w:line="219" w:lineRule="auto"/>
        <w:tabs>
          <w:tab w:leader="none" w:pos="203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Agreement, the Plan Prospectus, and any reports of the Company provided generally to the Company’s stockholders, may be delivered to the Participant electronically. In addition, if permitted by the Company, the Participant may deliver electronically the Notice of Grant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the delivery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Notice of Grant, as described in Section 13.5(a). The Participant may change the electronic mail address to which such documents are to be delivered (if Participant has provided an electronic mail address) at any time by notifying the Company of such revised e-mail address by telephone, postal service or electronic mail.</w:t>
      </w:r>
    </w:p>
    <w:p>
      <w:pPr>
        <w:spacing w:after="0" w:line="119"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xml:space="preserve"> In consideration for this Award, you hereby agree that all Units payable or shares of Stock issued in settlement of this Award, and any other equity awards, annual bonus or other short term incentives received by the Participant from the Company shall be subject to any clawback or recoupment policy adopted by the Company from time to time (including, but not limited to, any policy adopted in accordance with the Dodd-Frank Wall Street Reform and Consumer Protection Act or other Applicable Laws), regardless of whether the policy is adopted after the date on which the Units are granted, vest, or are settled by the issuance of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2" w:right="319" w:bottom="1440" w:gutter="0" w:footer="0" w:header="0"/>
        </w:sectPr>
      </w:pPr>
    </w:p>
    <w:bookmarkStart w:id="118" w:name="page119"/>
    <w:bookmarkEnd w:id="118"/>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Notice of Grant, this Agreement and the Plan shall survive any settlement of the Award and shall remain in full force and effect.</w:t>
      </w:r>
    </w:p>
    <w:p>
      <w:pPr>
        <w:spacing w:after="0" w:line="119"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13.8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Agreement and the performance hereof shall be construed and governed in accordance with the laws of the State of New Jersey without giving effect to its conflicts or choice of law principles. Any and all legal claims and disputes arising out of or relating to this Agreement shall be litigated exclusively in the state or federal courts located in the State of New Jersey.</w:t>
      </w:r>
    </w:p>
    <w:p>
      <w:pPr>
        <w:spacing w:after="0" w:line="117"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3"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ANTERIX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GRANT OF PERFORMANCE-BASED RESTRICTED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Form)</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 performance-based award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for restricted 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of which represents the right to receive upon vesting one (1) share of common stock of the Company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60" w:type="dxa"/>
            <w:vAlign w:val="bottom"/>
          </w:tcPr>
          <w:p>
            <w:pPr>
              <w:spacing w:after="0"/>
              <w:rPr>
                <w:sz w:val="17"/>
                <w:szCs w:val="17"/>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______________</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Employee ID:</w:t>
            </w:r>
          </w:p>
        </w:tc>
        <w:tc>
          <w:tcPr>
            <w:tcW w:w="2340" w:type="dxa"/>
            <w:vAlign w:val="bottom"/>
            <w:gridSpan w:val="2"/>
          </w:tcPr>
          <w:p>
            <w:pPr>
              <w:jc w:val="right"/>
              <w:ind w:right="1660"/>
              <w:spacing w:after="0"/>
              <w:rPr>
                <w:sz w:val="20"/>
                <w:szCs w:val="20"/>
                <w:color w:val="auto"/>
              </w:rPr>
            </w:pPr>
            <w:r>
              <w:rPr>
                <w:rFonts w:ascii="Times New Roman" w:cs="Times New Roman" w:eastAsia="Times New Roman" w:hAnsi="Times New Roman"/>
                <w:sz w:val="17"/>
                <w:szCs w:val="17"/>
                <w:color w:val="auto"/>
                <w:w w:val="96"/>
              </w:rPr>
              <w:t>________</w:t>
            </w:r>
          </w:p>
        </w:tc>
        <w:tc>
          <w:tcPr>
            <w:tcW w:w="0" w:type="dxa"/>
            <w:vAlign w:val="bottom"/>
          </w:tcPr>
          <w:p>
            <w:pPr>
              <w:spacing w:after="0"/>
              <w:rPr>
                <w:sz w:val="1"/>
                <w:szCs w:val="1"/>
                <w:color w:val="auto"/>
              </w:rPr>
            </w:pPr>
          </w:p>
        </w:tc>
      </w:tr>
      <w:tr>
        <w:trPr>
          <w:trHeight w:val="32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60" w:type="dxa"/>
            <w:vAlign w:val="bottom"/>
          </w:tcPr>
          <w:p>
            <w:pPr>
              <w:spacing w:after="0"/>
              <w:rPr>
                <w:sz w:val="24"/>
                <w:szCs w:val="24"/>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4"/>
              </w:rPr>
              <w:t>_____</w:t>
            </w:r>
          </w:p>
        </w:tc>
        <w:tc>
          <w:tcPr>
            <w:tcW w:w="7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Target Number of Units:</w:t>
            </w:r>
          </w:p>
        </w:tc>
        <w:tc>
          <w:tcPr>
            <w:tcW w:w="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____ [100%]</w:t>
            </w:r>
          </w:p>
        </w:tc>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Maximum Number of Units:</w:t>
            </w: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____ [150%]</w:t>
            </w:r>
          </w:p>
        </w:tc>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942"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9"/>
        </w:trPr>
        <w:tc>
          <w:tcPr>
            <w:tcW w:w="3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Vesting Conditions:</w:t>
            </w:r>
          </w:p>
        </w:tc>
        <w:tc>
          <w:tcPr>
            <w:tcW w:w="80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The Units shall vest based on the achievement of the Performance Criteria set forth below as determined following</w:t>
            </w:r>
          </w:p>
        </w:tc>
      </w:tr>
      <w:tr>
        <w:trPr>
          <w:trHeight w:val="223"/>
        </w:trPr>
        <w:tc>
          <w:tcPr>
            <w:tcW w:w="3140" w:type="dxa"/>
            <w:vAlign w:val="bottom"/>
            <w:tcBorders>
              <w:right w:val="single" w:sz="8" w:color="auto"/>
            </w:tcBorders>
          </w:tcPr>
          <w:p>
            <w:pPr>
              <w:spacing w:after="0"/>
              <w:rPr>
                <w:sz w:val="19"/>
                <w:szCs w:val="19"/>
                <w:color w:val="auto"/>
              </w:rPr>
            </w:pPr>
          </w:p>
        </w:tc>
        <w:tc>
          <w:tcPr>
            <w:tcW w:w="5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the close of the Company’s fiscal year ending March 31, 202X (“</w:t>
            </w:r>
            <w:r>
              <w:rPr>
                <w:rFonts w:ascii="Times New Roman" w:cs="Times New Roman" w:eastAsia="Times New Roman" w:hAnsi="Times New Roman"/>
                <w:sz w:val="17"/>
                <w:szCs w:val="17"/>
                <w:b w:val="1"/>
                <w:bCs w:val="1"/>
                <w:i w:val="1"/>
                <w:iCs w:val="1"/>
                <w:color w:val="auto"/>
              </w:rPr>
              <w:t>FY 202X</w:t>
            </w:r>
            <w:r>
              <w:rPr>
                <w:rFonts w:ascii="Times New Roman" w:cs="Times New Roman" w:eastAsia="Times New Roman" w:hAnsi="Times New Roman"/>
                <w:sz w:val="17"/>
                <w:szCs w:val="17"/>
                <w:color w:val="auto"/>
              </w:rPr>
              <w:t>”).</w:t>
            </w:r>
          </w:p>
        </w:tc>
        <w:tc>
          <w:tcPr>
            <w:tcW w:w="2520" w:type="dxa"/>
            <w:vAlign w:val="bottom"/>
          </w:tcPr>
          <w:p>
            <w:pPr>
              <w:spacing w:after="0"/>
              <w:rPr>
                <w:sz w:val="19"/>
                <w:szCs w:val="19"/>
                <w:color w:val="auto"/>
              </w:rPr>
            </w:pPr>
          </w:p>
        </w:tc>
      </w:tr>
      <w:tr>
        <w:trPr>
          <w:trHeight w:val="354"/>
        </w:trPr>
        <w:tc>
          <w:tcPr>
            <w:tcW w:w="3140" w:type="dxa"/>
            <w:vAlign w:val="bottom"/>
            <w:tcBorders>
              <w:right w:val="single" w:sz="8" w:color="auto"/>
            </w:tcBorders>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and the Units allocated to such criteria, shall be as follows for the Target Number of</w:t>
            </w:r>
          </w:p>
        </w:tc>
      </w:tr>
      <w:tr>
        <w:trPr>
          <w:trHeight w:val="219"/>
        </w:trPr>
        <w:tc>
          <w:tcPr>
            <w:tcW w:w="3140" w:type="dxa"/>
            <w:vAlign w:val="bottom"/>
            <w:tcBorders>
              <w:right w:val="single" w:sz="8" w:color="auto"/>
            </w:tcBorders>
          </w:tcPr>
          <w:p>
            <w:pPr>
              <w:spacing w:after="0"/>
              <w:rPr>
                <w:sz w:val="19"/>
                <w:szCs w:val="19"/>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Shares:</w:t>
            </w:r>
          </w:p>
        </w:tc>
        <w:tc>
          <w:tcPr>
            <w:tcW w:w="23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11"/>
        </w:trPr>
        <w:tc>
          <w:tcPr>
            <w:tcW w:w="3140" w:type="dxa"/>
            <w:vAlign w:val="bottom"/>
            <w:tcBorders>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4"/>
        </w:trPr>
        <w:tc>
          <w:tcPr>
            <w:tcW w:w="3140" w:type="dxa"/>
            <w:vAlign w:val="bottom"/>
            <w:tcBorders>
              <w:right w:val="single" w:sz="8" w:color="auto"/>
            </w:tcBorders>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Performance Criteria</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Percentage of Units at Target</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Percentage of Units at Stretch</w:t>
            </w:r>
          </w:p>
        </w:tc>
      </w:tr>
      <w:tr>
        <w:trPr>
          <w:trHeight w:val="477"/>
        </w:trPr>
        <w:tc>
          <w:tcPr>
            <w:tcW w:w="3140" w:type="dxa"/>
            <w:vAlign w:val="bottom"/>
            <w:tcBorders>
              <w:right w:val="single" w:sz="8" w:color="auto"/>
            </w:tcBorders>
          </w:tcPr>
          <w:p>
            <w:pPr>
              <w:spacing w:after="0"/>
              <w:rPr>
                <w:sz w:val="24"/>
                <w:szCs w:val="24"/>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Functional Performance (quantitative and</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w:t>
            </w:r>
          </w:p>
        </w:tc>
      </w:tr>
      <w:tr>
        <w:trPr>
          <w:trHeight w:val="219"/>
        </w:trPr>
        <w:tc>
          <w:tcPr>
            <w:tcW w:w="3140" w:type="dxa"/>
            <w:vAlign w:val="bottom"/>
            <w:tcBorders>
              <w:right w:val="single" w:sz="8" w:color="auto"/>
            </w:tcBorders>
          </w:tcPr>
          <w:p>
            <w:pPr>
              <w:spacing w:after="0"/>
              <w:rPr>
                <w:sz w:val="19"/>
                <w:szCs w:val="19"/>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qualitative)</w:t>
            </w:r>
          </w:p>
        </w:tc>
        <w:tc>
          <w:tcPr>
            <w:tcW w:w="23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594"/>
        </w:trPr>
        <w:tc>
          <w:tcPr>
            <w:tcW w:w="3140" w:type="dxa"/>
            <w:vAlign w:val="bottom"/>
            <w:tcBorders>
              <w:right w:val="single" w:sz="8" w:color="auto"/>
            </w:tcBorders>
          </w:tcPr>
          <w:p>
            <w:pPr>
              <w:spacing w:after="0"/>
              <w:rPr>
                <w:sz w:val="24"/>
                <w:szCs w:val="24"/>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Individual Performance (qualitative)</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w:t>
            </w:r>
          </w:p>
        </w:tc>
      </w:tr>
      <w:tr>
        <w:trPr>
          <w:trHeight w:val="552"/>
        </w:trPr>
        <w:tc>
          <w:tcPr>
            <w:tcW w:w="3140" w:type="dxa"/>
            <w:vAlign w:val="bottom"/>
            <w:tcBorders>
              <w:right w:val="single" w:sz="8" w:color="auto"/>
            </w:tcBorders>
          </w:tcPr>
          <w:p>
            <w:pPr>
              <w:spacing w:after="0"/>
              <w:rPr>
                <w:sz w:val="24"/>
                <w:szCs w:val="24"/>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Company Cash Burn v. Budget (quantitative)</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w:t>
            </w:r>
          </w:p>
        </w:tc>
      </w:tr>
      <w:tr>
        <w:trPr>
          <w:trHeight w:val="502"/>
        </w:trPr>
        <w:tc>
          <w:tcPr>
            <w:tcW w:w="3140" w:type="dxa"/>
            <w:vAlign w:val="bottom"/>
            <w:tcBorders>
              <w:right w:val="single" w:sz="8" w:color="auto"/>
            </w:tcBorders>
          </w:tcPr>
          <w:p>
            <w:pPr>
              <w:spacing w:after="0"/>
              <w:rPr>
                <w:sz w:val="24"/>
                <w:szCs w:val="24"/>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Company Adjusted EBITDA v. Budget</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w:t>
            </w:r>
          </w:p>
        </w:tc>
      </w:tr>
      <w:tr>
        <w:trPr>
          <w:trHeight w:val="219"/>
        </w:trPr>
        <w:tc>
          <w:tcPr>
            <w:tcW w:w="3140" w:type="dxa"/>
            <w:vAlign w:val="bottom"/>
            <w:tcBorders>
              <w:right w:val="single" w:sz="8" w:color="auto"/>
            </w:tcBorders>
          </w:tcPr>
          <w:p>
            <w:pPr>
              <w:spacing w:after="0"/>
              <w:rPr>
                <w:sz w:val="19"/>
                <w:szCs w:val="19"/>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(quantitative)</w:t>
            </w:r>
          </w:p>
        </w:tc>
        <w:tc>
          <w:tcPr>
            <w:tcW w:w="23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594"/>
        </w:trPr>
        <w:tc>
          <w:tcPr>
            <w:tcW w:w="3140" w:type="dxa"/>
            <w:vAlign w:val="bottom"/>
            <w:tcBorders>
              <w:right w:val="single" w:sz="8" w:color="auto"/>
            </w:tcBorders>
          </w:tcPr>
          <w:p>
            <w:pPr>
              <w:spacing w:after="0"/>
              <w:rPr>
                <w:sz w:val="24"/>
                <w:szCs w:val="24"/>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2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100%</w:t>
            </w: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150%</w:t>
            </w:r>
          </w:p>
        </w:tc>
      </w:tr>
      <w:tr>
        <w:trPr>
          <w:trHeight w:val="173"/>
        </w:trPr>
        <w:tc>
          <w:tcPr>
            <w:tcW w:w="3140" w:type="dxa"/>
            <w:vAlign w:val="bottom"/>
            <w:tcBorders>
              <w:right w:val="single" w:sz="8" w:color="auto"/>
            </w:tcBorders>
          </w:tcPr>
          <w:p>
            <w:pPr>
              <w:spacing w:after="0"/>
              <w:rPr>
                <w:sz w:val="15"/>
                <w:szCs w:val="15"/>
                <w:color w:val="auto"/>
              </w:rPr>
            </w:pPr>
          </w:p>
        </w:tc>
        <w:tc>
          <w:tcPr>
            <w:tcW w:w="8080" w:type="dxa"/>
            <w:vAlign w:val="bottom"/>
            <w:tcBorders>
              <w:bottom w:val="single" w:sz="8" w:color="auto"/>
            </w:tcBorders>
            <w:gridSpan w:val="3"/>
          </w:tcPr>
          <w:p>
            <w:pPr>
              <w:spacing w:after="0"/>
              <w:rPr>
                <w:sz w:val="15"/>
                <w:szCs w:val="15"/>
                <w:color w:val="auto"/>
              </w:rPr>
            </w:pPr>
          </w:p>
        </w:tc>
      </w:tr>
      <w:tr>
        <w:trPr>
          <w:trHeight w:val="203"/>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The Award and Units are being issued to Participant in lieu of a cash bonus payment under the Company’s Short-</w:t>
            </w:r>
          </w:p>
        </w:tc>
      </w:tr>
      <w:tr>
        <w:trPr>
          <w:trHeight w:val="198"/>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Term Incentive Plan for Participant’s service during the fiscal year ended March 31, 202X. The Compensation</w:t>
            </w:r>
          </w:p>
        </w:tc>
      </w:tr>
      <w:tr>
        <w:trPr>
          <w:trHeight w:val="206"/>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Committee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will be responsible for determining the number of Vested Units to be issued to the</w:t>
            </w:r>
          </w:p>
        </w:tc>
      </w:tr>
      <w:tr>
        <w:trPr>
          <w:trHeight w:val="212"/>
        </w:trPr>
        <w:tc>
          <w:tcPr>
            <w:tcW w:w="3140" w:type="dxa"/>
            <w:vAlign w:val="bottom"/>
            <w:tcBorders>
              <w:right w:val="single" w:sz="8" w:color="auto"/>
            </w:tcBorders>
          </w:tcPr>
          <w:p>
            <w:pPr>
              <w:spacing w:after="0"/>
              <w:rPr>
                <w:sz w:val="18"/>
                <w:szCs w:val="18"/>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Participant following the close of FY 202X, including determination of the achievement of the Performance Criteria</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and the percentage of Units that have vested, and its decisions will be final and binding on all parties. The</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Company’s management team will be responsible for establishing the final qualitative factors for the Company</w:t>
            </w:r>
          </w:p>
        </w:tc>
      </w:tr>
      <w:tr>
        <w:trPr>
          <w:trHeight w:val="219"/>
        </w:trPr>
        <w:tc>
          <w:tcPr>
            <w:tcW w:w="3140" w:type="dxa"/>
            <w:vAlign w:val="bottom"/>
            <w:tcBorders>
              <w:right w:val="single" w:sz="8" w:color="auto"/>
            </w:tcBorders>
          </w:tcPr>
          <w:p>
            <w:pPr>
              <w:spacing w:after="0"/>
              <w:rPr>
                <w:sz w:val="19"/>
                <w:szCs w:val="19"/>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Performance and the Individual Performance.</w:t>
            </w:r>
          </w:p>
        </w:tc>
        <w:tc>
          <w:tcPr>
            <w:tcW w:w="234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54"/>
        </w:trPr>
        <w:tc>
          <w:tcPr>
            <w:tcW w:w="3140" w:type="dxa"/>
            <w:vAlign w:val="bottom"/>
            <w:tcBorders>
              <w:right w:val="single" w:sz="8" w:color="auto"/>
            </w:tcBorders>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The Participant is eligible to vest in up to 150% of his or her Target units based on the achievement of “stretch”</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Performance Criteria related to the Company’s performance and discretionary credit for individual performance</w:t>
            </w:r>
          </w:p>
        </w:tc>
      </w:tr>
      <w:tr>
        <w:trPr>
          <w:trHeight w:val="212"/>
        </w:trPr>
        <w:tc>
          <w:tcPr>
            <w:tcW w:w="3140" w:type="dxa"/>
            <w:vAlign w:val="bottom"/>
            <w:tcBorders>
              <w:right w:val="single" w:sz="8" w:color="auto"/>
            </w:tcBorders>
          </w:tcPr>
          <w:p>
            <w:pPr>
              <w:spacing w:after="0"/>
              <w:rPr>
                <w:sz w:val="18"/>
                <w:szCs w:val="18"/>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evaluated and approved by the Committee. For the achievement of the Performance Criteria at performance levels</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between the levels specified above (including for achievement above zero or the minimum base performance level</w:t>
            </w:r>
          </w:p>
        </w:tc>
      </w:tr>
      <w:tr>
        <w:trPr>
          <w:trHeight w:val="219"/>
        </w:trPr>
        <w:tc>
          <w:tcPr>
            <w:tcW w:w="3140" w:type="dxa"/>
            <w:vAlign w:val="bottom"/>
            <w:tcBorders>
              <w:right w:val="single" w:sz="8" w:color="auto"/>
            </w:tcBorders>
          </w:tcPr>
          <w:p>
            <w:pPr>
              <w:spacing w:after="0"/>
              <w:rPr>
                <w:sz w:val="19"/>
                <w:szCs w:val="19"/>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for any of the Performance Criteria), straight-line interpolation shall be applied for the vesting of the units.</w:t>
            </w:r>
          </w:p>
        </w:tc>
      </w:tr>
      <w:tr>
        <w:trPr>
          <w:trHeight w:val="354"/>
        </w:trPr>
        <w:tc>
          <w:tcPr>
            <w:tcW w:w="3140" w:type="dxa"/>
            <w:vAlign w:val="bottom"/>
            <w:tcBorders>
              <w:right w:val="single" w:sz="8" w:color="auto"/>
            </w:tcBorders>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For purposes of clarification, in no event will the number of Units eligible to vest exceed the Maximum Number of</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Units set forth above. The Committee shall determine achievement of the Performance Criteria by no later than 90</w:t>
            </w:r>
          </w:p>
        </w:tc>
      </w:tr>
      <w:tr>
        <w:trPr>
          <w:trHeight w:val="208"/>
        </w:trPr>
        <w:tc>
          <w:tcPr>
            <w:tcW w:w="3140" w:type="dxa"/>
            <w:vAlign w:val="bottom"/>
            <w:tcBorders>
              <w:right w:val="single" w:sz="8" w:color="auto"/>
            </w:tcBorders>
          </w:tcPr>
          <w:p>
            <w:pPr>
              <w:spacing w:after="0"/>
              <w:rPr>
                <w:sz w:val="18"/>
                <w:szCs w:val="18"/>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days following the close of the applicable fiscal year. The date the Committee determines that the Vesting Conditions</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have been satisfied will be the “</w:t>
            </w:r>
            <w:r>
              <w:rPr>
                <w:rFonts w:ascii="Times New Roman" w:cs="Times New Roman" w:eastAsia="Times New Roman" w:hAnsi="Times New Roman"/>
                <w:sz w:val="17"/>
                <w:szCs w:val="17"/>
                <w:b w:val="1"/>
                <w:bCs w:val="1"/>
                <w:i w:val="1"/>
                <w:iCs w:val="1"/>
                <w:color w:val="auto"/>
              </w:rPr>
              <w:t>Vesting Date</w:t>
            </w:r>
            <w:r>
              <w:rPr>
                <w:rFonts w:ascii="Times New Roman" w:cs="Times New Roman" w:eastAsia="Times New Roman" w:hAnsi="Times New Roman"/>
                <w:sz w:val="17"/>
                <w:szCs w:val="17"/>
                <w:color w:val="auto"/>
              </w:rPr>
              <w:t>” with respect to the related Units. Units that have vested shall be</w:t>
            </w:r>
          </w:p>
        </w:tc>
      </w:tr>
      <w:tr>
        <w:trPr>
          <w:trHeight w:val="202"/>
        </w:trPr>
        <w:tc>
          <w:tcPr>
            <w:tcW w:w="3140" w:type="dxa"/>
            <w:vAlign w:val="bottom"/>
            <w:tcBorders>
              <w:right w:val="single" w:sz="8" w:color="auto"/>
            </w:tcBorders>
          </w:tcPr>
          <w:p>
            <w:pPr>
              <w:spacing w:after="0"/>
              <w:rPr>
                <w:sz w:val="17"/>
                <w:szCs w:val="17"/>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referred to herein as “</w:t>
            </w:r>
            <w:r>
              <w:rPr>
                <w:rFonts w:ascii="Times New Roman" w:cs="Times New Roman" w:eastAsia="Times New Roman" w:hAnsi="Times New Roman"/>
                <w:sz w:val="17"/>
                <w:szCs w:val="17"/>
                <w:b w:val="1"/>
                <w:bCs w:val="1"/>
                <w:i w:val="1"/>
                <w:iCs w:val="1"/>
                <w:color w:val="auto"/>
              </w:rPr>
              <w:t>Vested Units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Units that do not become Vested Units based on satisfaction of the Performance</w:t>
            </w:r>
          </w:p>
        </w:tc>
      </w:tr>
      <w:tr>
        <w:trPr>
          <w:trHeight w:val="223"/>
        </w:trPr>
        <w:tc>
          <w:tcPr>
            <w:tcW w:w="3140" w:type="dxa"/>
            <w:vAlign w:val="bottom"/>
            <w:tcBorders>
              <w:right w:val="single" w:sz="8" w:color="auto"/>
            </w:tcBorders>
          </w:tcPr>
          <w:p>
            <w:pPr>
              <w:spacing w:after="0"/>
              <w:rPr>
                <w:sz w:val="19"/>
                <w:szCs w:val="19"/>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Criteria as of the close of the applicable fiscal year shall be referred to herein as “</w:t>
            </w:r>
            <w:r>
              <w:rPr>
                <w:rFonts w:ascii="Times New Roman" w:cs="Times New Roman" w:eastAsia="Times New Roman" w:hAnsi="Times New Roman"/>
                <w:sz w:val="17"/>
                <w:szCs w:val="17"/>
                <w:b w:val="1"/>
                <w:bCs w:val="1"/>
                <w:i w:val="1"/>
                <w:iCs w:val="1"/>
                <w:color w:val="auto"/>
              </w:rPr>
              <w:t>Unvested Units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tc>
      </w:tr>
      <w:tr>
        <w:trPr>
          <w:trHeight w:val="354"/>
        </w:trPr>
        <w:tc>
          <w:tcPr>
            <w:tcW w:w="3140" w:type="dxa"/>
            <w:vAlign w:val="bottom"/>
            <w:tcBorders>
              <w:right w:val="single" w:sz="8" w:color="auto"/>
            </w:tcBorders>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Except as otherwise provided below, vesting in the Units is subject to the Participant’s continued Service through the</w:t>
            </w:r>
          </w:p>
        </w:tc>
      </w:tr>
      <w:tr>
        <w:trPr>
          <w:trHeight w:val="219"/>
        </w:trPr>
        <w:tc>
          <w:tcPr>
            <w:tcW w:w="3140" w:type="dxa"/>
            <w:vAlign w:val="bottom"/>
            <w:tcBorders>
              <w:right w:val="single" w:sz="8" w:color="auto"/>
            </w:tcBorders>
          </w:tcPr>
          <w:p>
            <w:pPr>
              <w:spacing w:after="0"/>
              <w:rPr>
                <w:sz w:val="19"/>
                <w:szCs w:val="19"/>
                <w:color w:val="auto"/>
              </w:rPr>
            </w:pPr>
          </w:p>
        </w:tc>
        <w:tc>
          <w:tcPr>
            <w:tcW w:w="8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Vesting Date and no vesting will occur after the date the Participant’s Service terminates for any reason.</w:t>
            </w:r>
          </w:p>
        </w:tc>
      </w:tr>
      <w:tr>
        <w:trPr>
          <w:trHeight w:val="2846"/>
        </w:trPr>
        <w:tc>
          <w:tcPr>
            <w:tcW w:w="3140" w:type="dxa"/>
            <w:vAlign w:val="bottom"/>
            <w:tcBorders>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20"/>
          </w:cols>
          <w:pgMar w:left="360" w:top="957" w:right="31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60" w:top="957" w:right="319"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7"/>
          <w:szCs w:val="17"/>
          <w:b w:val="1"/>
          <w:bCs w:val="1"/>
          <w:color w:val="auto"/>
        </w:rPr>
        <w:t>Accelerated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Superseding Agreement:</w:t>
      </w:r>
    </w:p>
    <w:p>
      <w:pPr>
        <w:spacing w:after="0" w:line="20" w:lineRule="exact"/>
        <w:rPr>
          <w:sz w:val="20"/>
          <w:szCs w:val="20"/>
          <w:color w:val="auto"/>
        </w:rPr>
      </w:pPr>
      <w:r>
        <w:rPr>
          <w:sz w:val="20"/>
          <w:szCs w:val="20"/>
          <w:color w:val="auto"/>
        </w:rPr>
        <w:br w:type="column"/>
      </w:r>
    </w:p>
    <w:p>
      <w:pPr>
        <w:jc w:val="both"/>
        <w:ind w:left="40" w:right="40"/>
        <w:spacing w:after="0" w:line="253" w:lineRule="auto"/>
        <w:rPr>
          <w:sz w:val="20"/>
          <w:szCs w:val="20"/>
          <w:color w:val="auto"/>
        </w:rPr>
      </w:pPr>
      <w:r>
        <w:rPr>
          <w:rFonts w:ascii="Times New Roman" w:cs="Times New Roman" w:eastAsia="Times New Roman" w:hAnsi="Times New Roman"/>
          <w:sz w:val="17"/>
          <w:szCs w:val="17"/>
          <w:color w:val="auto"/>
        </w:rPr>
        <w:t>In the event of a Change of Control prior to the close of FY 202X and during Participant’s continued service to the Company, the Committee shall determine the achievement of the Performance Criteria set forth above as of the date of consummation of the Change of Control (the “</w:t>
      </w:r>
      <w:r>
        <w:rPr>
          <w:rFonts w:ascii="Times New Roman" w:cs="Times New Roman" w:eastAsia="Times New Roman" w:hAnsi="Times New Roman"/>
          <w:sz w:val="17"/>
          <w:szCs w:val="17"/>
          <w:b w:val="1"/>
          <w:bCs w:val="1"/>
          <w:i w:val="1"/>
          <w:iCs w:val="1"/>
          <w:color w:val="auto"/>
        </w:rPr>
        <w:t>Change of Control Date</w:t>
      </w:r>
      <w:r>
        <w:rPr>
          <w:rFonts w:ascii="Times New Roman" w:cs="Times New Roman" w:eastAsia="Times New Roman" w:hAnsi="Times New Roman"/>
          <w:sz w:val="17"/>
          <w:szCs w:val="17"/>
          <w:color w:val="auto"/>
        </w:rPr>
        <w:t>”) and once the Committee determines the achievement of the Performance Criteria, the vesting of the Units subject to this Award shall accelerate as of the Change of Control Date at the greater of (i) 100% Target achievement or (ii) the level determined by the actual achievement of the applicable Performance Criteria, subject to the Participant’s continued Service through the Change of Control Date and subject to Participant executing (and the effectiveness of) a release and waiver in the form contemplated by the Company’s Executive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51403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5140325" cy="6985"/>
                    </a:xfrm>
                    <a:prstGeom prst="rect">
                      <a:avLst/>
                    </a:prstGeom>
                    <a:noFill/>
                  </pic:spPr>
                </pic:pic>
              </a:graphicData>
            </a:graphic>
          </wp:anchor>
        </w:drawing>
      </w:r>
    </w:p>
    <w:p>
      <w:pPr>
        <w:spacing w:after="0" w:line="124" w:lineRule="exact"/>
        <w:rPr>
          <w:sz w:val="20"/>
          <w:szCs w:val="20"/>
          <w:color w:val="auto"/>
        </w:rPr>
      </w:pPr>
    </w:p>
    <w:p>
      <w:pPr>
        <w:jc w:val="both"/>
        <w:ind w:left="40" w:right="60"/>
        <w:spacing w:after="0" w:line="255" w:lineRule="auto"/>
        <w:rPr>
          <w:sz w:val="20"/>
          <w:szCs w:val="20"/>
          <w:color w:val="auto"/>
        </w:rPr>
      </w:pPr>
      <w:r>
        <w:rPr>
          <w:rFonts w:ascii="Times New Roman" w:cs="Times New Roman" w:eastAsia="Times New Roman" w:hAnsi="Times New Roman"/>
          <w:sz w:val="17"/>
          <w:szCs w:val="17"/>
          <w:color w:val="auto"/>
        </w:rPr>
        <w:t>In addition, if the Participant’s employment with the Company is terminated by the Company for reasons other than Cause, death or Disability or by the Participant for Good Reason prior to both a Change of Control and the close of FY 202X, then the vesting of this Award shall accelerate for that number of Units equal to the greater of (i) the 100% Target achievement or (ii) actual achievement of the Performance Criteria, with such determination by the Committee to be as of the date Participant’s employment with the Company terminates and based on the same principles set forth above for calculating achievement of the Performance Criteria. The issuance of the Vested Units will be conditioned upon the Participant executing (and the effectiveness of) a release and waiver in the form contemplated by the Company’s Executive Severance Plan.</w:t>
      </w:r>
    </w:p>
    <w:p>
      <w:pPr>
        <w:spacing w:after="0" w:line="138" w:lineRule="exact"/>
        <w:rPr>
          <w:sz w:val="20"/>
          <w:szCs w:val="20"/>
          <w:color w:val="auto"/>
        </w:rPr>
      </w:pPr>
    </w:p>
    <w:p>
      <w:pPr>
        <w:jc w:val="both"/>
        <w:ind w:left="40" w:right="60"/>
        <w:spacing w:after="0" w:line="281" w:lineRule="auto"/>
        <w:rPr>
          <w:sz w:val="20"/>
          <w:szCs w:val="20"/>
          <w:color w:val="auto"/>
        </w:rPr>
      </w:pPr>
      <w:r>
        <w:rPr>
          <w:rFonts w:ascii="Times New Roman" w:cs="Times New Roman" w:eastAsia="Times New Roman" w:hAnsi="Times New Roman"/>
          <w:sz w:val="17"/>
          <w:szCs w:val="17"/>
          <w:color w:val="auto"/>
        </w:rPr>
        <w:t>The terms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in this section shall have the meanings given to such terms in the Company’s Executive Severance Plan.</w:t>
      </w:r>
    </w:p>
    <w:p>
      <w:pPr>
        <w:spacing w:after="0" w:line="140"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Any employment agreement between the Company and Participant or any severance plan adopted by the Board in which Participant agrees to participate in, including the Company’s Executive Severance Plan, shall be deemed a Superseding Agreement, and the terms set forth in such employment agreement or severance plan, including an Executive Severance Plan Participation Agreement, shall supersede and replace the terms set forth in this Notice of Grant, the accompanying Performance-Based Restricted Stock Units Agreement and the Plan.</w:t>
      </w:r>
    </w:p>
    <w:p>
      <w:pPr>
        <w:spacing w:after="0" w:line="200" w:lineRule="exact"/>
        <w:rPr>
          <w:sz w:val="20"/>
          <w:szCs w:val="20"/>
          <w:color w:val="auto"/>
        </w:rPr>
      </w:pPr>
    </w:p>
    <w:p>
      <w:pPr>
        <w:sectPr>
          <w:pgSz w:w="11900" w:h="16838" w:orient="portrait"/>
          <w:cols w:equalWidth="0" w:num="2">
            <w:col w:w="2480" w:space="720"/>
            <w:col w:w="8080"/>
          </w:cols>
          <w:pgMar w:left="300" w:top="985" w:right="319" w:bottom="1440" w:gutter="0" w:footer="0" w:header="0"/>
        </w:sectPr>
      </w:pP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Notice of Grant and by the provisions of the Performance-Based Restricted Stock Units Agreement and the Plan, both of which are made a part of this document, and by the Superseding Agreement, if any. The Participant acknowledges that copies of the Plan, the Performance-Based Restricted Stock Units Agreement and the prospectus for the Plan are available on the Company’s internal web site and may be viewed and printed by the Participant for attachment to the Participant’s copy of this Notice of Grant. The Participant represents that the Participant has read and is familiar with the provisions of the Performance-Based Restricted Stock Units Agreement and the Plan, and hereby accepts the Award subject to all of their terms and conditions.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000" w:type="dxa"/>
            <w:vAlign w:val="bottom"/>
          </w:tcPr>
          <w:p>
            <w:pPr>
              <w:spacing w:after="0"/>
              <w:rPr>
                <w:sz w:val="19"/>
                <w:szCs w:val="19"/>
                <w:color w:val="auto"/>
              </w:rPr>
            </w:pPr>
          </w:p>
        </w:tc>
        <w:tc>
          <w:tcPr>
            <w:tcW w:w="5660" w:type="dxa"/>
            <w:vAlign w:val="bottom"/>
            <w:gridSpan w:val="3"/>
          </w:tcPr>
          <w:p>
            <w:pPr>
              <w:ind w:left="116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27"/>
        </w:trPr>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274"/>
        </w:trPr>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Elena Marquez</w:t>
            </w:r>
          </w:p>
        </w:tc>
        <w:tc>
          <w:tcPr>
            <w:tcW w:w="3000" w:type="dxa"/>
            <w:vAlign w:val="bottom"/>
          </w:tcPr>
          <w:p>
            <w:pPr>
              <w:spacing w:after="0"/>
              <w:rPr>
                <w:sz w:val="23"/>
                <w:szCs w:val="23"/>
                <w:color w:val="auto"/>
              </w:rPr>
            </w:pPr>
          </w:p>
        </w:tc>
        <w:tc>
          <w:tcPr>
            <w:tcW w:w="566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rPr>
              <w:t>Signature</w:t>
            </w:r>
          </w:p>
        </w:tc>
      </w:tr>
      <w:tr>
        <w:trPr>
          <w:trHeight w:val="215"/>
        </w:trPr>
        <w:tc>
          <w:tcPr>
            <w:tcW w:w="444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r>
      <w:tr>
        <w:trPr>
          <w:trHeight w:val="274"/>
        </w:trPr>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566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rPr>
              <w:t>Date</w:t>
            </w:r>
          </w:p>
        </w:tc>
      </w:tr>
      <w:tr>
        <w:trPr>
          <w:trHeight w:val="215"/>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30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 Garret Mountain</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r>
      <w:tr>
        <w:trPr>
          <w:trHeight w:val="274"/>
        </w:trPr>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Suite 401</w:t>
            </w:r>
          </w:p>
        </w:tc>
        <w:tc>
          <w:tcPr>
            <w:tcW w:w="566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rPr>
              <w:t>Address:</w:t>
            </w:r>
          </w:p>
        </w:tc>
      </w:tr>
      <w:tr>
        <w:trPr>
          <w:trHeight w:val="215"/>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Woodland Park, NJ 07424</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r>
      <w:tr>
        <w:trPr>
          <w:trHeight w:val="507"/>
        </w:trPr>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ATTACHMENTS:</w:t>
            </w:r>
          </w:p>
        </w:tc>
        <w:tc>
          <w:tcPr>
            <w:tcW w:w="8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w w:val="99"/>
              </w:rPr>
              <w:t>2023 Stock Plan, as amended to the Date of Grant; Performance-Based Restricted Stock Units Agreement and Plan Prospectus</w:t>
            </w:r>
          </w:p>
        </w:tc>
      </w:tr>
      <w:tr>
        <w:trPr>
          <w:trHeight w:val="817"/>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3</w:t>
            </w:r>
          </w:p>
        </w:tc>
        <w:tc>
          <w:tcPr>
            <w:tcW w:w="4340" w:type="dxa"/>
            <w:vAlign w:val="bottom"/>
          </w:tcPr>
          <w:p>
            <w:pPr>
              <w:spacing w:after="0"/>
              <w:rPr>
                <w:sz w:val="24"/>
                <w:szCs w:val="24"/>
                <w:color w:val="auto"/>
              </w:rPr>
            </w:pPr>
          </w:p>
        </w:tc>
      </w:tr>
    </w:tbl>
    <w:p>
      <w:pPr>
        <w:sectPr>
          <w:pgSz w:w="11900" w:h="16838" w:orient="portrait"/>
          <w:cols w:equalWidth="0" w:num="1">
            <w:col w:w="11280"/>
          </w:cols>
          <w:pgMar w:left="300" w:top="985" w:right="31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3"/>
          <w:szCs w:val="23"/>
          <w:b w:val="1"/>
          <w:bCs w:val="1"/>
          <w:color w:val="auto"/>
        </w:rPr>
        <w:t>ANTERIX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PERFORMANCE-BASED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RESTRICTED STOCK UNITS AGREEMENT</w:t>
      </w:r>
    </w:p>
    <w:p>
      <w:pPr>
        <w:spacing w:after="0" w:line="17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Performance-Based Restricted Stock Units (the “</w:t>
      </w:r>
      <w:r>
        <w:rPr>
          <w:rFonts w:ascii="Times New Roman" w:cs="Times New Roman" w:eastAsia="Times New Roman" w:hAnsi="Times New Roman"/>
          <w:sz w:val="17"/>
          <w:szCs w:val="17"/>
          <w:b w:val="1"/>
          <w:bCs w:val="1"/>
          <w:i w:val="1"/>
          <w:iCs w:val="1"/>
          <w:color w:val="auto"/>
        </w:rPr>
        <w:t>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 to which this Performance-Based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an Award consisting of Performance-Based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subject to the terms and conditions set forth in the Notice of Grant and this Agreement. The Award has been granted pursuant to and shall in all respects be subject to the terms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Award subject to all of the terms and conditions of the Notice of Grant, this Agreement and the Plan and (c) agrees to accept as binding, conclusive and final all decisions or interpretations of the Committee upon any questions arising under the Notice of Grant, this Agreement or the Plan.</w:t>
      </w:r>
    </w:p>
    <w:p>
      <w:pPr>
        <w:spacing w:after="0" w:line="119" w:lineRule="exact"/>
        <w:rPr>
          <w:sz w:val="20"/>
          <w:szCs w:val="20"/>
          <w:color w:val="auto"/>
        </w:rPr>
      </w:pPr>
    </w:p>
    <w:p>
      <w:pPr>
        <w:ind w:left="1020" w:hanging="506"/>
        <w:spacing w:after="0"/>
        <w:tabs>
          <w:tab w:leader="none" w:pos="10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p>
    <w:p>
      <w:pPr>
        <w:spacing w:after="0" w:line="140"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or the</w:t>
      </w: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22"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29" w:lineRule="exact"/>
        <w:rPr>
          <w:sz w:val="20"/>
          <w:szCs w:val="20"/>
          <w:color w:val="auto"/>
        </w:rPr>
      </w:pPr>
    </w:p>
    <w:p>
      <w:pPr>
        <w:ind w:left="1020" w:hanging="506"/>
        <w:spacing w:after="0"/>
        <w:tabs>
          <w:tab w:leader="none" w:pos="10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Award.</w:t>
      </w:r>
    </w:p>
    <w:p>
      <w:pPr>
        <w:spacing w:after="0" w:line="144" w:lineRule="exact"/>
        <w:rPr>
          <w:sz w:val="20"/>
          <w:szCs w:val="20"/>
          <w:color w:val="auto"/>
        </w:rPr>
      </w:pPr>
    </w:p>
    <w:p>
      <w:pPr>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Grant of Units.</w:t>
      </w:r>
      <w:r>
        <w:rPr>
          <w:rFonts w:ascii="Times New Roman" w:cs="Times New Roman" w:eastAsia="Times New Roman" w:hAnsi="Times New Roman"/>
          <w:sz w:val="17"/>
          <w:szCs w:val="17"/>
          <w:color w:val="auto"/>
        </w:rPr>
        <w:t xml:space="preserve"> On the Date of Grant, the Participant shall acquire, subject to the provisions of this Agreement, the Total Number of Units set forth in the Notice of Grant, subject 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926" w:right="319" w:bottom="1440" w:gutter="0" w:footer="0" w:header="0"/>
        </w:sectPr>
      </w:pPr>
    </w:p>
    <w:bookmarkStart w:id="123" w:name="page124"/>
    <w:bookmarkEnd w:id="123"/>
    <w:p>
      <w:pPr>
        <w:jc w:val="both"/>
        <w:spacing w:after="0" w:line="238" w:lineRule="auto"/>
        <w:rPr>
          <w:sz w:val="20"/>
          <w:szCs w:val="20"/>
          <w:color w:val="auto"/>
        </w:rPr>
      </w:pPr>
      <w:r>
        <w:rPr>
          <w:rFonts w:ascii="Times New Roman" w:cs="Times New Roman" w:eastAsia="Times New Roman" w:hAnsi="Times New Roman"/>
          <w:sz w:val="17"/>
          <w:szCs w:val="17"/>
          <w:color w:val="auto"/>
        </w:rPr>
        <w:t>adjustment as provided in Section 9. Each Unit represents a right to receive on a date determined in accordance with the Notice of Grant and this Agreement one (1) share of Stock.</w:t>
      </w:r>
    </w:p>
    <w:p>
      <w:pPr>
        <w:spacing w:after="0" w:line="118"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No Monetary Payment Required.</w:t>
      </w:r>
      <w:r>
        <w:rPr>
          <w:rFonts w:ascii="Times New Roman" w:cs="Times New Roman" w:eastAsia="Times New Roman" w:hAnsi="Times New Roman"/>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19" w:lineRule="exact"/>
        <w:rPr>
          <w:sz w:val="20"/>
          <w:szCs w:val="20"/>
          <w:color w:val="auto"/>
        </w:rPr>
      </w:pPr>
    </w:p>
    <w:p>
      <w:pPr>
        <w:ind w:left="1020" w:hanging="506"/>
        <w:spacing w:after="0"/>
        <w:tabs>
          <w:tab w:leader="none" w:pos="10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 of Units.</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Units acquired pursuant to this Agreement shall become Vested Units as provided in the Notice of Grant.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09" w:lineRule="exact"/>
        <w:rPr>
          <w:sz w:val="20"/>
          <w:szCs w:val="20"/>
          <w:color w:val="auto"/>
        </w:rPr>
      </w:pPr>
    </w:p>
    <w:p>
      <w:pPr>
        <w:ind w:left="1020" w:hanging="506"/>
        <w:spacing w:after="0"/>
        <w:tabs>
          <w:tab w:leader="none" w:pos="10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 Reacquisition Right.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Grant of Company Reacquisition Right.</w:t>
      </w:r>
      <w:r>
        <w:rPr>
          <w:rFonts w:ascii="Times New Roman" w:cs="Times New Roman" w:eastAsia="Times New Roman" w:hAnsi="Times New Roman"/>
          <w:sz w:val="17"/>
          <w:szCs w:val="17"/>
          <w:color w:val="auto"/>
        </w:rPr>
        <w:t xml:space="preserve"> Except to the extent otherwise provided by the Superseding Agreement, if any, in the event that the Participant’s Service terminates for any reason other than death or Disability, the Participant shall forfeit and the Company shall automatically reacquire all Units which are not, as of the time of such termination, Vested Units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Unvested Units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the Participant shall not be entitled to any payment therefor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Reacquisition Right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provided, however, that in the event of an involuntary termination of the Participant’s Service, the Committee, in its discretion, may waive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automatic forfeiture of all Units and determine the final value of the Awards in the manner provided in Section 10.7(a) of the Plan.</w:t>
      </w:r>
    </w:p>
    <w:p>
      <w:pPr>
        <w:spacing w:after="0" w:line="119"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Ownership Change Event, Non-Cash Dividends, Distributions and Adjustments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21" w:lineRule="exact"/>
        <w:rPr>
          <w:sz w:val="20"/>
          <w:szCs w:val="20"/>
          <w:color w:val="auto"/>
        </w:rPr>
      </w:pPr>
    </w:p>
    <w:p>
      <w:pPr>
        <w:ind w:left="1020" w:hanging="506"/>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 of the Award.</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Issuance of Shares of Stock</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Subject to the provisions of Section 6, the Company shall issue to the Participant on the Settlement Date with respect to each Vested Unit to be settled on such date one (1) share of Stock. The Settlement Date with respect to a Unit shall be the date on which such Unit becomes a Vested Unit as provided by the Notice of Grant (an “</w:t>
      </w:r>
      <w:r>
        <w:rPr>
          <w:rFonts w:ascii="Times New Roman" w:cs="Times New Roman" w:eastAsia="Times New Roman" w:hAnsi="Times New Roman"/>
          <w:sz w:val="17"/>
          <w:szCs w:val="17"/>
          <w:b w:val="1"/>
          <w:bCs w:val="1"/>
          <w:i w:val="1"/>
          <w:iCs w:val="1"/>
          <w:color w:val="auto"/>
        </w:rPr>
        <w:t>Original Settlement Date</w:t>
      </w:r>
      <w:r>
        <w:rPr>
          <w:rFonts w:ascii="Times New Roman" w:cs="Times New Roman" w:eastAsia="Times New Roman" w:hAnsi="Times New Roman"/>
          <w:sz w:val="17"/>
          <w:szCs w:val="17"/>
          <w:color w:val="auto"/>
        </w:rPr>
        <w:t>”); provided, however, that if the Original Settlement Date would occur on (i) a date which is not a business day, the Settlement Date shall occur on the next business day or (ii) a date on which a sale by the Participant of the shares to be issued in settlement of the Vested Units would violate the then applicable Insider Trading Policy of the Company or on a date which a sale is not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925" w:right="319" w:bottom="1440" w:gutter="0" w:footer="0" w:header="0"/>
        </w:sectPr>
      </w:pPr>
    </w:p>
    <w:bookmarkStart w:id="124" w:name="page125"/>
    <w:bookmarkEnd w:id="124"/>
    <w:p>
      <w:pPr>
        <w:jc w:val="both"/>
        <w:spacing w:after="0" w:line="223" w:lineRule="auto"/>
        <w:rPr>
          <w:sz w:val="20"/>
          <w:szCs w:val="20"/>
          <w:color w:val="auto"/>
        </w:rPr>
      </w:pPr>
      <w:r>
        <w:rPr>
          <w:rFonts w:ascii="Times New Roman" w:cs="Times New Roman" w:eastAsia="Times New Roman" w:hAnsi="Times New Roman"/>
          <w:sz w:val="17"/>
          <w:szCs w:val="17"/>
          <w:color w:val="auto"/>
        </w:rPr>
        <w:t>otherwise not permitted, the Settlement Date for such Vested Units shall be deferred until the next day on which the sale of such shares by the Participant would not violate the then applicable Insider Trading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Section 18.12 of the Plan or the Company’s then applicable Insider Trading Policy.</w:t>
      </w:r>
    </w:p>
    <w:p>
      <w:pPr>
        <w:spacing w:after="0" w:line="118"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Restrictions on Grant of the Award and Issuance of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settlement of the Award.</w:t>
      </w:r>
    </w:p>
    <w:p>
      <w:pPr>
        <w:spacing w:after="0" w:line="144" w:lineRule="exact"/>
        <w:rPr>
          <w:sz w:val="20"/>
          <w:szCs w:val="20"/>
          <w:color w:val="auto"/>
        </w:rPr>
      </w:pPr>
    </w:p>
    <w:p>
      <w:pPr>
        <w:ind w:left="1020" w:hanging="506"/>
        <w:spacing w:after="0"/>
        <w:tabs>
          <w:tab w:leader="none" w:pos="10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Withholding.</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In General.</w:t>
      </w:r>
      <w:r>
        <w:rPr>
          <w:rFonts w:ascii="Times New Roman" w:cs="Times New Roman" w:eastAsia="Times New Roman" w:hAnsi="Times New Roman"/>
          <w:sz w:val="17"/>
          <w:szCs w:val="17"/>
          <w:color w:val="auto"/>
        </w:rPr>
        <w:t xml:space="preserve"> At the time the Notice of Grant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Assignment of Sale Proceeds.</w:t>
      </w:r>
      <w:r>
        <w:rPr>
          <w:rFonts w:ascii="Times New Roman" w:cs="Times New Roman" w:eastAsia="Times New Roman" w:hAnsi="Times New Roman"/>
          <w:sz w:val="17"/>
          <w:szCs w:val="17"/>
          <w:color w:val="auto"/>
        </w:rPr>
        <w:t xml:space="preserve"> Subject to compliance with applicable law and the Company’s Insider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b w:val="1"/>
          <w:bCs w:val="1"/>
          <w:color w:val="auto"/>
        </w:rPr>
        <w:t>Withholding in Shares.</w:t>
      </w:r>
      <w:r>
        <w:rPr>
          <w:rFonts w:ascii="Times New Roman" w:cs="Times New Roman" w:eastAsia="Times New Roman" w:hAnsi="Times New Roman"/>
          <w:sz w:val="17"/>
          <w:szCs w:val="17"/>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925" w:right="319" w:bottom="1440" w:gutter="0" w:footer="0" w:header="0"/>
        </w:sectPr>
      </w:pPr>
    </w:p>
    <w:bookmarkStart w:id="125" w:name="page126"/>
    <w:bookmarkEnd w:id="125"/>
    <w:p>
      <w:pPr>
        <w:spacing w:after="0" w:line="238" w:lineRule="auto"/>
        <w:rPr>
          <w:sz w:val="20"/>
          <w:szCs w:val="20"/>
          <w:color w:val="auto"/>
        </w:rPr>
      </w:pPr>
      <w:r>
        <w:rPr>
          <w:rFonts w:ascii="Times New Roman" w:cs="Times New Roman" w:eastAsia="Times New Roman" w:hAnsi="Times New Roman"/>
          <w:sz w:val="17"/>
          <w:szCs w:val="17"/>
          <w:color w:val="auto"/>
        </w:rPr>
        <w:t>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18" w:lineRule="exact"/>
        <w:rPr>
          <w:sz w:val="20"/>
          <w:szCs w:val="20"/>
          <w:color w:val="auto"/>
        </w:rPr>
      </w:pPr>
    </w:p>
    <w:p>
      <w:pPr>
        <w:ind w:left="1020" w:hanging="506"/>
        <w:spacing w:after="0"/>
        <w:tabs>
          <w:tab w:leader="none" w:pos="10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i w:val="1"/>
          <w:iCs w:val="1"/>
          <w:u w:val="single" w:color="auto"/>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and any Superseding Agreement, in the event of a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118" w:lineRule="exact"/>
        <w:rPr>
          <w:sz w:val="20"/>
          <w:szCs w:val="20"/>
          <w:color w:val="auto"/>
        </w:rPr>
      </w:pPr>
    </w:p>
    <w:p>
      <w:pPr>
        <w:ind w:left="1020" w:hanging="506"/>
        <w:spacing w:after="0"/>
        <w:tabs>
          <w:tab w:leader="none" w:pos="10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9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adjustments shall be determined by the Committee, and its determination shall be final, binding and conclusive.</w:t>
      </w:r>
    </w:p>
    <w:p>
      <w:pPr>
        <w:spacing w:after="0" w:line="151" w:lineRule="exact"/>
        <w:rPr>
          <w:sz w:val="20"/>
          <w:szCs w:val="20"/>
          <w:color w:val="auto"/>
        </w:rPr>
      </w:pPr>
    </w:p>
    <w:p>
      <w:pPr>
        <w:ind w:left="1020" w:hanging="506"/>
        <w:spacing w:after="0"/>
        <w:tabs>
          <w:tab w:leader="none" w:pos="10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18" w:lineRule="exact"/>
        <w:rPr>
          <w:sz w:val="20"/>
          <w:szCs w:val="20"/>
          <w:color w:val="auto"/>
        </w:rPr>
      </w:pPr>
    </w:p>
    <w:p>
      <w:pPr>
        <w:ind w:left="1020" w:hanging="506"/>
        <w:spacing w:after="0"/>
        <w:tabs>
          <w:tab w:leader="none" w:pos="10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p>
    <w:p>
      <w:pPr>
        <w:spacing w:after="0" w:line="169"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05" w:lineRule="exact"/>
        <w:rPr>
          <w:sz w:val="20"/>
          <w:szCs w:val="20"/>
          <w:color w:val="auto"/>
        </w:rPr>
      </w:pPr>
    </w:p>
    <w:p>
      <w:pPr>
        <w:ind w:left="1020" w:hanging="506"/>
        <w:spacing w:after="0"/>
        <w:tabs>
          <w:tab w:leader="none" w:pos="10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w:t>
      </w:r>
    </w:p>
    <w:p>
      <w:pPr>
        <w:spacing w:after="0" w:line="169"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24"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b w:val="1"/>
          <w:bCs w:val="1"/>
          <w:color w:val="auto"/>
        </w:rPr>
        <w:t>Separation from Service; Required Delay in Payment to Specified Employee.</w:t>
      </w:r>
      <w:r>
        <w:rPr>
          <w:rFonts w:ascii="Times New Roman" w:cs="Times New Roman" w:eastAsia="Times New Roman" w:hAnsi="Times New Roman"/>
          <w:sz w:val="17"/>
          <w:szCs w:val="17"/>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(the “</w:t>
      </w:r>
      <w:r>
        <w:rPr>
          <w:rFonts w:ascii="Times New Roman" w:cs="Times New Roman" w:eastAsia="Times New Roman" w:hAnsi="Times New Roman"/>
          <w:sz w:val="17"/>
          <w:szCs w:val="17"/>
          <w:b w:val="1"/>
          <w:bCs w:val="1"/>
          <w:i w:val="1"/>
          <w:iCs w:val="1"/>
          <w:color w:val="auto"/>
        </w:rPr>
        <w:t>Section 409A Regulations</w:t>
      </w:r>
      <w:r>
        <w:rPr>
          <w:rFonts w:ascii="Times New Roman" w:cs="Times New Roman" w:eastAsia="Times New Roman" w:hAnsi="Times New Roman"/>
          <w:sz w:val="17"/>
          <w:szCs w:val="17"/>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7"/>
          <w:szCs w:val="17"/>
          <w:b w:val="1"/>
          <w:bCs w:val="1"/>
          <w:i w:val="1"/>
          <w:iCs w:val="1"/>
          <w:color w:val="auto"/>
        </w:rPr>
        <w:t>Delayed Payment Date</w:t>
      </w:r>
      <w:r>
        <w:rPr>
          <w:rFonts w:ascii="Times New Roman" w:cs="Times New Roman" w:eastAsia="Times New Roman" w:hAnsi="Times New Roman"/>
          <w:sz w:val="17"/>
          <w:szCs w:val="17"/>
          <w:color w:val="auto"/>
        </w:rPr>
        <w:t>”) that is six (6) months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20"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Other Changes in Time of Payment.</w:t>
      </w:r>
      <w:r>
        <w:rPr>
          <w:rFonts w:ascii="Times New Roman" w:cs="Times New Roman" w:eastAsia="Times New Roman" w:hAnsi="Times New Roman"/>
          <w:sz w:val="17"/>
          <w:szCs w:val="17"/>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946" w:right="319" w:bottom="1440" w:gutter="0" w:footer="0" w:header="0"/>
        </w:sectPr>
      </w:pPr>
    </w:p>
    <w:bookmarkStart w:id="127" w:name="page128"/>
    <w:bookmarkEnd w:id="127"/>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b w:val="1"/>
          <w:bCs w:val="1"/>
          <w:color w:val="auto"/>
        </w:rPr>
        <w:t>Amendments to Comply with Section 409A; Indemnification.</w:t>
      </w:r>
      <w:r>
        <w:rPr>
          <w:rFonts w:ascii="Times New Roman" w:cs="Times New Roman" w:eastAsia="Times New Roman" w:hAnsi="Times New Roman"/>
          <w:sz w:val="17"/>
          <w:szCs w:val="17"/>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18"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b w:val="1"/>
          <w:bCs w:val="1"/>
          <w:color w:val="auto"/>
        </w:rPr>
        <w:t>Advice of Independent Tax Advisor.</w:t>
      </w:r>
      <w:r>
        <w:rPr>
          <w:rFonts w:ascii="Times New Roman" w:cs="Times New Roman" w:eastAsia="Times New Roman" w:hAnsi="Times New Roman"/>
          <w:sz w:val="17"/>
          <w:szCs w:val="17"/>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19" w:lineRule="exact"/>
        <w:rPr>
          <w:sz w:val="20"/>
          <w:szCs w:val="20"/>
          <w:color w:val="auto"/>
        </w:rPr>
      </w:pPr>
    </w:p>
    <w:p>
      <w:pPr>
        <w:ind w:left="1020" w:hanging="506"/>
        <w:spacing w:after="0"/>
        <w:tabs>
          <w:tab w:leader="none" w:pos="10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this Agreement at any time; provided, however, that except as provided in Section 8 in connection with a Change in Control, no such termination or amendment may have an adverse effect on the Participant’s rights under this Agreement without the consent of the Participant unless such termination or amendment is deemed necessary, in the Committee’s sole and absolute discretion and without the consent of the Participant, to comply with applicable law or government regulation, including, but not limited to, Section 409A. No amendment or addition to this Agreement shall be effective unless in writing.</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Nontransferability of the Award.</w:t>
      </w:r>
      <w:r>
        <w:rPr>
          <w:rFonts w:ascii="Times New Roman" w:cs="Times New Roman" w:eastAsia="Times New Roman" w:hAnsi="Times New Roman"/>
          <w:sz w:val="17"/>
          <w:szCs w:val="17"/>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921" w:right="319" w:bottom="1440" w:gutter="0" w:footer="0" w:header="0"/>
        </w:sectPr>
      </w:pPr>
    </w:p>
    <w:bookmarkStart w:id="128" w:name="page129"/>
    <w:bookmarkEnd w:id="128"/>
    <w:p>
      <w:pPr>
        <w:jc w:val="both"/>
        <w:ind w:firstLine="1533"/>
        <w:spacing w:after="0" w:line="219" w:lineRule="auto"/>
        <w:tabs>
          <w:tab w:leader="none" w:pos="203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Agreement, the Plan Prospectus, and any reports of the Company provided generally to the Company’s stockholders, may be delivered to the Participant electronically. In addition, if permitted by the Company, the Participant may deliver electronically the Notice of Grant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the delivery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Notice of Grant, as described in Section 13.5(a). The Participant may change the electronic mail address to which such documents are to be delivered (if Participant has provided an electronic mail address) at any time by notifying the Company of such revised e-mail address by telephone, postal service or electronic mail.</w:t>
      </w:r>
    </w:p>
    <w:p>
      <w:pPr>
        <w:spacing w:after="0" w:line="119"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xml:space="preserve"> In consideration for this Award, you hereby agree that all Units payable or shares of Stock issued in settlement of this Award, and any other equity awards, annual bonus or other short term incentives received by the Participant from the Company shall be subject to any clawback or recoupment policy adopted by the Company from time to time (including, but not limited to, any policy adopted in accordance with the Dodd-Frank Wall Street Reform and Consumer Protection Act or other Applicable Laws), regardless of whether the policy is adopted after the date on which the Units are granted, vest, or are settled by the issuance of shares of Stock.</w:t>
      </w:r>
    </w:p>
    <w:p>
      <w:pPr>
        <w:spacing w:after="0" w:line="119"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Notice of Grant, this Agreement and the Plan shall survive any settlement of the Award and shall remain in full force and effect.</w:t>
      </w:r>
    </w:p>
    <w:p>
      <w:pPr>
        <w:spacing w:after="0" w:line="119"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13.8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Agreement and the performance hereof shall be construed and governed in accordance with the laws of the State of New Jersey without giving effect to its conflicts or choice of law principles. Any and all legal claims and disputes arising out of or relating to this Agreement shall be litigated exclusively in the state or federal courts located in the State of New Jersey.</w:t>
      </w:r>
    </w:p>
    <w:p>
      <w:pPr>
        <w:spacing w:after="0" w:line="117"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921"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ANTERIX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GRANT OF RESTRICTED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(Non-Employee Director)</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The Participant has been granted a Restricted Stock Award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pursuant to the Anterix Inc. 2023 Stock Plan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for the number of shares listed below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of the common stock (the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xml:space="preserve">”) of Anterix Inc.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as follows:</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w w:val="95"/>
              </w:rPr>
              <w:t>__________________</w:t>
            </w:r>
          </w:p>
        </w:tc>
        <w:tc>
          <w:tcPr>
            <w:tcW w:w="6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3"/>
              </w:rPr>
              <w:t>________</w:t>
            </w:r>
          </w:p>
        </w:tc>
        <w:tc>
          <w:tcPr>
            <w:tcW w:w="7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______ shares of Stock, subject to adjustment as provided by the Restricted Stock Agreement.</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Market Value per Share on Grant</w:t>
            </w: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900" w:type="dxa"/>
            <w:vAlign w:val="bottom"/>
            <w:vMerge w:val="continue"/>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2"/>
              </w:rPr>
              <w:t>_______</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Vested Conditions:</w:t>
            </w: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The Shares will vest on the earlier of the 202X Annual Meeting of shareholders and ______ X, 202X, subject to the terms of the</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Restricted Stock Agreement.</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Accelerated Vesting:</w:t>
            </w: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The Shares shall be subject to accelerated vesting in the event of (a) a Change in Control of the Company or (b) the non-employee</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director’s removal from the Board without cause. If the non-employee director dies or resigns prior to the award vesting in full,</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8220" w:type="dxa"/>
            <w:vAlign w:val="bottom"/>
            <w:gridSpan w:val="5"/>
          </w:tcPr>
          <w:p>
            <w:pPr>
              <w:spacing w:after="0" w:line="181" w:lineRule="exact"/>
              <w:rPr>
                <w:sz w:val="20"/>
                <w:szCs w:val="20"/>
                <w:color w:val="auto"/>
              </w:rPr>
            </w:pPr>
            <w:r>
              <w:rPr>
                <w:rFonts w:ascii="Times New Roman" w:cs="Times New Roman" w:eastAsia="Times New Roman" w:hAnsi="Times New Roman"/>
                <w:sz w:val="16"/>
                <w:szCs w:val="16"/>
                <w:color w:val="auto"/>
              </w:rPr>
              <w:t>he/she will receive monthly vesting credit for the actual number of months such non-employee director has served since the</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commencement date through the date of his/her death or resignation.</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Superseding Agreement:</w:t>
            </w: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terms and conditions of a Superseding Agreement (if any) to which the Participant is a party shall, notwithstanding any</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provision of the Restricted Stock Agreement to the contrary, supersede any inconsistent term or condition set forth in the Restricted</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 Agreement to the extent intended by such Superseding Agreement.</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By their signatures below or by electronic acceptance or authentication in a form authorized by the Company, the Company and the Participant agree that the Award is governed by this Grant Notice and by the provisions of the Plan and the Restricted Stock Agreement, both of which are made part of this document. The Participant represents that the Participant has read and is familiar with the provisions of the Plan and the Restricted Stock Agreement, and hereby accepts the Award subject to all of their terms and conditions.</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1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ANTERIX INC.</w:t>
            </w:r>
          </w:p>
        </w:tc>
        <w:tc>
          <w:tcPr>
            <w:tcW w:w="3120" w:type="dxa"/>
            <w:vAlign w:val="bottom"/>
          </w:tcPr>
          <w:p>
            <w:pPr>
              <w:spacing w:after="0"/>
              <w:rPr>
                <w:sz w:val="17"/>
                <w:szCs w:val="17"/>
                <w:color w:val="auto"/>
              </w:rPr>
            </w:pPr>
          </w:p>
        </w:tc>
        <w:tc>
          <w:tcPr>
            <w:tcW w:w="408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PARTICIPANT</w:t>
            </w:r>
          </w:p>
        </w:tc>
      </w:tr>
      <w:tr>
        <w:trPr>
          <w:trHeight w:val="410"/>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____________________________________</w:t>
            </w:r>
          </w:p>
        </w:tc>
        <w:tc>
          <w:tcPr>
            <w:tcW w:w="40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w w:val="95"/>
              </w:rPr>
              <w:t>____________________________________</w:t>
            </w:r>
          </w:p>
        </w:tc>
      </w:tr>
      <w:tr>
        <w:trPr>
          <w:trHeight w:val="249"/>
        </w:trPr>
        <w:tc>
          <w:tcPr>
            <w:tcW w:w="43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Elena Marquez</w:t>
            </w:r>
          </w:p>
        </w:tc>
        <w:tc>
          <w:tcPr>
            <w:tcW w:w="1300" w:type="dxa"/>
            <w:vAlign w:val="bottom"/>
          </w:tcPr>
          <w:p>
            <w:pPr>
              <w:spacing w:after="0"/>
              <w:rPr>
                <w:sz w:val="21"/>
                <w:szCs w:val="21"/>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Signature</w:t>
            </w:r>
          </w:p>
        </w:tc>
      </w:tr>
      <w:tr>
        <w:trPr>
          <w:trHeight w:val="233"/>
        </w:trPr>
        <w:tc>
          <w:tcPr>
            <w:tcW w:w="43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Chief Financial Officer</w:t>
            </w:r>
          </w:p>
        </w:tc>
        <w:tc>
          <w:tcPr>
            <w:tcW w:w="40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w w:val="95"/>
              </w:rPr>
              <w:t>____________________________________</w:t>
            </w:r>
          </w:p>
        </w:tc>
      </w:tr>
      <w:tr>
        <w:trPr>
          <w:trHeight w:val="233"/>
        </w:trPr>
        <w:tc>
          <w:tcPr>
            <w:tcW w:w="1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19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 Garret Mountain Plaza</w:t>
            </w:r>
          </w:p>
        </w:tc>
        <w:tc>
          <w:tcPr>
            <w:tcW w:w="40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w w:val="95"/>
              </w:rPr>
              <w:t>____________________________________</w:t>
            </w:r>
          </w:p>
        </w:tc>
      </w:tr>
      <w:tr>
        <w:trPr>
          <w:trHeight w:val="249"/>
        </w:trPr>
        <w:tc>
          <w:tcPr>
            <w:tcW w:w="1200" w:type="dxa"/>
            <w:vAlign w:val="bottom"/>
          </w:tcPr>
          <w:p>
            <w:pPr>
              <w:spacing w:after="0"/>
              <w:rPr>
                <w:sz w:val="21"/>
                <w:szCs w:val="21"/>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Suite 401</w:t>
            </w:r>
          </w:p>
        </w:tc>
        <w:tc>
          <w:tcPr>
            <w:tcW w:w="1300" w:type="dxa"/>
            <w:vAlign w:val="bottom"/>
          </w:tcPr>
          <w:p>
            <w:pPr>
              <w:spacing w:after="0"/>
              <w:rPr>
                <w:sz w:val="21"/>
                <w:szCs w:val="21"/>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Address</w:t>
            </w:r>
          </w:p>
        </w:tc>
      </w:tr>
      <w:tr>
        <w:trPr>
          <w:trHeight w:val="233"/>
        </w:trPr>
        <w:tc>
          <w:tcPr>
            <w:tcW w:w="120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Woodland Park, NJ 07424</w:t>
            </w:r>
          </w:p>
        </w:tc>
        <w:tc>
          <w:tcPr>
            <w:tcW w:w="40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w w:val="95"/>
              </w:rPr>
              <w:t>____________________________________</w:t>
            </w:r>
          </w:p>
        </w:tc>
      </w:tr>
    </w:tbl>
    <w:p>
      <w:pPr>
        <w:sectPr>
          <w:pgSz w:w="11900" w:h="16838" w:orient="portrait"/>
          <w:cols w:equalWidth="0" w:num="1">
            <w:col w:w="11280"/>
          </w:cols>
          <w:pgMar w:left="300" w:top="1010"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ANTERIX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AGREEMENT</w:t>
      </w:r>
    </w:p>
    <w:p>
      <w:pPr>
        <w:spacing w:after="0" w:line="365" w:lineRule="exact"/>
        <w:rPr>
          <w:sz w:val="20"/>
          <w:szCs w:val="20"/>
          <w:color w:val="auto"/>
        </w:rPr>
      </w:pPr>
    </w:p>
    <w:p>
      <w:pPr>
        <w:jc w:val="both"/>
        <w:ind w:firstLine="177"/>
        <w:spacing w:after="0" w:line="290" w:lineRule="auto"/>
        <w:rPr>
          <w:sz w:val="20"/>
          <w:szCs w:val="20"/>
          <w:color w:val="auto"/>
        </w:rPr>
      </w:pPr>
      <w:r>
        <w:rPr>
          <w:rFonts w:ascii="Times New Roman" w:cs="Times New Roman" w:eastAsia="Times New Roman" w:hAnsi="Times New Roman"/>
          <w:sz w:val="14"/>
          <w:szCs w:val="14"/>
          <w:color w:val="auto"/>
        </w:rPr>
        <w:t xml:space="preserve">Anterix Inc.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granted to the Participant named in the Notice of Grant of Restricted Stock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to which this Restricted Stock Agreement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is attached an Award consisting of Shares subject to the terms and conditions set forth in the Grant Notice and this Agreement. The Award has been granted pursuant to and shall in all respects be subject to the terms and conditions of the Anterix Inc. 2023 Stock Plan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Plan Prospectus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24" w:lineRule="exact"/>
        <w:rPr>
          <w:sz w:val="20"/>
          <w:szCs w:val="20"/>
          <w:color w:val="auto"/>
        </w:rPr>
      </w:pPr>
    </w:p>
    <w:p>
      <w:pPr>
        <w:ind w:left="1020" w:hanging="506"/>
        <w:spacing w:after="0"/>
        <w:tabs>
          <w:tab w:leader="none" w:pos="10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 and Construction</w:t>
      </w:r>
      <w:r>
        <w:rPr>
          <w:rFonts w:ascii="Times New Roman" w:cs="Times New Roman" w:eastAsia="Times New Roman" w:hAnsi="Times New Roman"/>
          <w:sz w:val="16"/>
          <w:szCs w:val="16"/>
          <w:b w:val="1"/>
          <w:bCs w:val="1"/>
          <w:color w:val="auto"/>
        </w:rPr>
        <w:t>.</w:t>
      </w:r>
    </w:p>
    <w:p>
      <w:pPr>
        <w:spacing w:after="0" w:line="144"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otherwise defined herein, capitalized terms shall have the meanings assigned to such terms in the Grant Notice or the Plan.</w:t>
      </w:r>
    </w:p>
    <w:p>
      <w:pPr>
        <w:spacing w:after="0" w:line="145" w:lineRule="exact"/>
        <w:rPr>
          <w:sz w:val="20"/>
          <w:szCs w:val="20"/>
          <w:color w:val="auto"/>
        </w:rPr>
      </w:pPr>
    </w:p>
    <w:p>
      <w:pPr>
        <w:ind w:firstLine="1019"/>
        <w:spacing w:after="0" w:line="244"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w:t>
      </w:r>
    </w:p>
    <w:p>
      <w:pPr>
        <w:spacing w:after="0"/>
        <w:rPr>
          <w:sz w:val="20"/>
          <w:szCs w:val="20"/>
          <w:color w:val="auto"/>
        </w:rPr>
      </w:pPr>
      <w:r>
        <w:rPr>
          <w:rFonts w:ascii="Times New Roman" w:cs="Times New Roman" w:eastAsia="Times New Roman" w:hAnsi="Times New Roman"/>
          <w:sz w:val="16"/>
          <w:szCs w:val="16"/>
          <w:color w:val="auto"/>
        </w:rPr>
        <w:t>exclusive, unless the context clearly requires otherwise.</w:t>
      </w:r>
    </w:p>
    <w:p>
      <w:pPr>
        <w:spacing w:after="0" w:line="125" w:lineRule="exact"/>
        <w:rPr>
          <w:sz w:val="20"/>
          <w:szCs w:val="20"/>
          <w:color w:val="auto"/>
        </w:rPr>
      </w:pPr>
    </w:p>
    <w:p>
      <w:pPr>
        <w:ind w:left="1020" w:hanging="506"/>
        <w:spacing w:after="0"/>
        <w:tabs>
          <w:tab w:leader="none" w:pos="10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Administration</w:t>
      </w:r>
      <w:r>
        <w:rPr>
          <w:rFonts w:ascii="Times New Roman" w:cs="Times New Roman" w:eastAsia="Times New Roman" w:hAnsi="Times New Roman"/>
          <w:sz w:val="16"/>
          <w:szCs w:val="16"/>
          <w:b w:val="1"/>
          <w:bCs w:val="1"/>
          <w:color w:val="auto"/>
        </w:rPr>
        <w:t>.</w:t>
      </w:r>
    </w:p>
    <w:p>
      <w:pPr>
        <w:spacing w:after="0" w:line="147" w:lineRule="exact"/>
        <w:rPr>
          <w:sz w:val="20"/>
          <w:szCs w:val="20"/>
          <w:color w:val="auto"/>
        </w:rPr>
      </w:pPr>
    </w:p>
    <w:p>
      <w:pPr>
        <w:jc w:val="both"/>
        <w:ind w:firstLine="663"/>
        <w:spacing w:after="0" w:line="248" w:lineRule="auto"/>
        <w:rPr>
          <w:sz w:val="20"/>
          <w:szCs w:val="20"/>
          <w:color w:val="auto"/>
        </w:rPr>
      </w:pPr>
      <w:r>
        <w:rPr>
          <w:rFonts w:ascii="Times New Roman" w:cs="Times New Roman" w:eastAsia="Times New Roman" w:hAnsi="Times New Roman"/>
          <w:sz w:val="16"/>
          <w:szCs w:val="16"/>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31" w:lineRule="exact"/>
        <w:rPr>
          <w:sz w:val="20"/>
          <w:szCs w:val="20"/>
          <w:color w:val="auto"/>
        </w:rPr>
      </w:pPr>
    </w:p>
    <w:p>
      <w:pPr>
        <w:ind w:left="1020" w:hanging="506"/>
        <w:spacing w:after="0"/>
        <w:tabs>
          <w:tab w:leader="none" w:pos="10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The Award</w:t>
      </w:r>
      <w:r>
        <w:rPr>
          <w:rFonts w:ascii="Times New Roman" w:cs="Times New Roman" w:eastAsia="Times New Roman" w:hAnsi="Times New Roman"/>
          <w:sz w:val="16"/>
          <w:szCs w:val="16"/>
          <w:b w:val="1"/>
          <w:bCs w:val="1"/>
          <w:color w:val="auto"/>
        </w:rPr>
        <w:t>.</w:t>
      </w:r>
    </w:p>
    <w:p>
      <w:pPr>
        <w:spacing w:after="0" w:line="138"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b w:val="1"/>
          <w:bCs w:val="1"/>
          <w:color w:val="auto"/>
        </w:rPr>
        <w:t xml:space="preserve">Grant and Issuance of Shares. </w:t>
      </w:r>
      <w:r>
        <w:rPr>
          <w:rFonts w:ascii="Times New Roman" w:cs="Times New Roman" w:eastAsia="Times New Roman" w:hAnsi="Times New Roman"/>
          <w:sz w:val="16"/>
          <w:szCs w:val="16"/>
          <w:color w:val="auto"/>
        </w:rPr>
        <w:t>On the Date of Grant, the Participant shall acquire and the Company shall issue, subject to the provisions of this</w:t>
      </w:r>
    </w:p>
    <w:p>
      <w:pPr>
        <w:spacing w:after="0" w:line="256" w:lineRule="auto"/>
        <w:rPr>
          <w:sz w:val="20"/>
          <w:szCs w:val="20"/>
          <w:color w:val="auto"/>
        </w:rPr>
      </w:pPr>
      <w:r>
        <w:rPr>
          <w:rFonts w:ascii="Times New Roman" w:cs="Times New Roman" w:eastAsia="Times New Roman" w:hAnsi="Times New Roman"/>
          <w:sz w:val="14"/>
          <w:szCs w:val="14"/>
          <w:color w:val="auto"/>
        </w:rPr>
        <w:t>Agreement, a number of Shares equal to the Total Number of Shares. As a condition to the issuance of the Shares, the Participant shall execute and deliver the Grant Notice to the Company, and, if required by the Company, an Assignment Separate from Certificate duly endorsed (with date and number of shares blank) in the form provided by the Company.</w:t>
      </w:r>
    </w:p>
    <w:p>
      <w:pPr>
        <w:spacing w:after="0" w:line="114" w:lineRule="exact"/>
        <w:rPr>
          <w:sz w:val="20"/>
          <w:szCs w:val="20"/>
          <w:color w:val="auto"/>
        </w:rPr>
      </w:pPr>
    </w:p>
    <w:p>
      <w:pPr>
        <w:ind w:firstLine="1019"/>
        <w:spacing w:after="0" w:line="23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b w:val="1"/>
          <w:bCs w:val="1"/>
          <w:color w:val="auto"/>
        </w:rPr>
        <w:t>No Monetary Payment Required.</w:t>
      </w:r>
      <w:r>
        <w:rPr>
          <w:rFonts w:ascii="Times New Roman" w:cs="Times New Roman" w:eastAsia="Times New Roman" w:hAnsi="Times New Roman"/>
          <w:sz w:val="16"/>
          <w:szCs w:val="16"/>
          <w:color w:val="auto"/>
        </w:rPr>
        <w:t xml:space="preserve"> The Participant is not required to make any monetary payment (other than to satisfy applicable tax withholding, if any, with respect to the issuance or</w:t>
      </w:r>
    </w:p>
    <w:p>
      <w:pPr>
        <w:sectPr>
          <w:pgSz w:w="11900" w:h="16838" w:orient="portrait"/>
          <w:cols w:equalWidth="0" w:num="1">
            <w:col w:w="11280"/>
          </w:cols>
          <w:pgMar w:left="300" w:top="113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auto"/>
        </w:rPr>
        <w:t>vesting of the Shares) as a condition to receiving the Shares, the consideration for which shall be past services actually rendered or future services to be rendered to a Participating</w:t>
      </w:r>
    </w:p>
    <w:p>
      <w:pPr>
        <w:spacing w:after="0" w:line="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spacing w:after="0" w:line="118"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b w:val="1"/>
          <w:bCs w:val="1"/>
          <w:color w:val="auto"/>
        </w:rPr>
        <w:t>Beneficial Ownership of Shares; Certificate Registration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Participant hereby authorizes the Company, in its sole discretion, to deposit the Shares</w:t>
      </w:r>
    </w:p>
    <w:p>
      <w:pPr>
        <w:spacing w:after="0" w:line="229" w:lineRule="auto"/>
        <w:rPr>
          <w:sz w:val="20"/>
          <w:szCs w:val="20"/>
          <w:color w:val="auto"/>
        </w:rPr>
      </w:pPr>
      <w:r>
        <w:rPr>
          <w:rFonts w:ascii="Times New Roman" w:cs="Times New Roman" w:eastAsia="Times New Roman" w:hAnsi="Times New Roman"/>
          <w:sz w:val="14"/>
          <w:szCs w:val="14"/>
          <w:color w:val="auto"/>
        </w:rPr>
        <w:t>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w:t>
      </w:r>
    </w:p>
    <w:p>
      <w:pPr>
        <w:spacing w:after="0" w:line="224" w:lineRule="auto"/>
        <w:rPr>
          <w:sz w:val="20"/>
          <w:szCs w:val="20"/>
          <w:color w:val="auto"/>
        </w:rPr>
      </w:pPr>
      <w:r>
        <w:rPr>
          <w:rFonts w:ascii="Times New Roman" w:cs="Times New Roman" w:eastAsia="Times New Roman" w:hAnsi="Times New Roman"/>
          <w:sz w:val="16"/>
          <w:szCs w:val="16"/>
          <w:color w:val="auto"/>
        </w:rPr>
        <w:t>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spacing w:after="0" w:line="114" w:lineRule="exact"/>
        <w:rPr>
          <w:sz w:val="20"/>
          <w:szCs w:val="20"/>
          <w:color w:val="auto"/>
        </w:rPr>
      </w:pPr>
    </w:p>
    <w:p>
      <w:pPr>
        <w:ind w:firstLine="1019"/>
        <w:spacing w:after="0" w:line="252"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b w:val="1"/>
          <w:bCs w:val="1"/>
          <w:color w:val="auto"/>
        </w:rPr>
        <w:t>Issuance of Shares in Compliance with Law</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w:t>
      </w:r>
    </w:p>
    <w:p>
      <w:pPr>
        <w:spacing w:after="0" w:line="229" w:lineRule="auto"/>
        <w:rPr>
          <w:sz w:val="20"/>
          <w:szCs w:val="20"/>
          <w:color w:val="auto"/>
        </w:rPr>
      </w:pPr>
      <w:r>
        <w:rPr>
          <w:rFonts w:ascii="Times New Roman" w:cs="Times New Roman" w:eastAsia="Times New Roman" w:hAnsi="Times New Roman"/>
          <w:sz w:val="14"/>
          <w:szCs w:val="14"/>
          <w:color w:val="auto"/>
        </w:rPr>
        <w:t>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w:t>
      </w:r>
    </w:p>
    <w:p>
      <w:pPr>
        <w:spacing w:after="0" w:line="208" w:lineRule="auto"/>
        <w:rPr>
          <w:sz w:val="20"/>
          <w:szCs w:val="20"/>
          <w:color w:val="auto"/>
        </w:rPr>
      </w:pPr>
      <w:r>
        <w:rPr>
          <w:rFonts w:ascii="Times New Roman" w:cs="Times New Roman" w:eastAsia="Times New Roman" w:hAnsi="Times New Roman"/>
          <w:sz w:val="16"/>
          <w:szCs w:val="16"/>
          <w:color w:val="auto"/>
        </w:rPr>
        <w:t>of any liability in respect of the failure to issue such Shares as to which such requisite authority shall not have been obtained. As a condition to the issuance of the Shares, the</w:t>
      </w:r>
    </w:p>
    <w:p>
      <w:pPr>
        <w:spacing w:after="0" w:line="217" w:lineRule="auto"/>
        <w:rPr>
          <w:sz w:val="20"/>
          <w:szCs w:val="20"/>
          <w:color w:val="auto"/>
        </w:rPr>
      </w:pPr>
      <w:r>
        <w:rPr>
          <w:rFonts w:ascii="Times New Roman" w:cs="Times New Roman" w:eastAsia="Times New Roman" w:hAnsi="Times New Roman"/>
          <w:sz w:val="16"/>
          <w:szCs w:val="16"/>
          <w:color w:val="auto"/>
        </w:rPr>
        <w:t>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25" w:lineRule="exact"/>
        <w:rPr>
          <w:sz w:val="20"/>
          <w:szCs w:val="20"/>
          <w:color w:val="auto"/>
        </w:rPr>
      </w:pPr>
    </w:p>
    <w:p>
      <w:pPr>
        <w:ind w:left="1020" w:hanging="506"/>
        <w:spacing w:after="0"/>
        <w:tabs>
          <w:tab w:leader="none" w:pos="10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of Shares</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6"/>
          <w:szCs w:val="16"/>
          <w:color w:val="auto"/>
        </w:rPr>
        <w:t>Shares acquired pursuant to this Agreement shall become Vested Shares as provided in the Grant Notice. For purposes of determining the number of Vested Shares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25" w:lineRule="exact"/>
        <w:rPr>
          <w:sz w:val="20"/>
          <w:szCs w:val="20"/>
          <w:color w:val="auto"/>
        </w:rPr>
      </w:pPr>
    </w:p>
    <w:p>
      <w:pPr>
        <w:ind w:left="1020" w:hanging="506"/>
        <w:spacing w:after="0"/>
        <w:tabs>
          <w:tab w:leader="none" w:pos="10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Company Reacquisition Right</w:t>
      </w:r>
      <w:r>
        <w:rPr>
          <w:rFonts w:ascii="Times New Roman" w:cs="Times New Roman" w:eastAsia="Times New Roman" w:hAnsi="Times New Roman"/>
          <w:sz w:val="16"/>
          <w:szCs w:val="16"/>
          <w:b w:val="1"/>
          <w:bCs w:val="1"/>
          <w:color w:val="auto"/>
        </w:rPr>
        <w:t>.</w:t>
      </w:r>
    </w:p>
    <w:p>
      <w:pPr>
        <w:spacing w:after="0" w:line="138"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color w:val="auto"/>
        </w:rPr>
        <w:t>Grant of Company Reacquisition Right</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 as provided in the Grant Notice and except to the extent otherwise provided by the Superseding</w:t>
      </w:r>
    </w:p>
    <w:p>
      <w:pPr>
        <w:jc w:val="both"/>
        <w:spacing w:after="0" w:line="229" w:lineRule="auto"/>
        <w:rPr>
          <w:sz w:val="20"/>
          <w:szCs w:val="20"/>
          <w:color w:val="auto"/>
        </w:rPr>
      </w:pPr>
      <w:r>
        <w:rPr>
          <w:rFonts w:ascii="Times New Roman" w:cs="Times New Roman" w:eastAsia="Times New Roman" w:hAnsi="Times New Roman"/>
          <w:sz w:val="14"/>
          <w:szCs w:val="14"/>
          <w:color w:val="auto"/>
        </w:rPr>
        <w:t>Agreement, if any,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w:t>
      </w:r>
    </w:p>
    <w:p>
      <w:pPr>
        <w:spacing w:after="0" w:line="224" w:lineRule="auto"/>
        <w:rPr>
          <w:sz w:val="20"/>
          <w:szCs w:val="20"/>
          <w:color w:val="auto"/>
        </w:rPr>
      </w:pPr>
      <w:r>
        <w:rPr>
          <w:rFonts w:ascii="Times New Roman" w:cs="Times New Roman" w:eastAsia="Times New Roman" w:hAnsi="Times New Roman"/>
          <w:sz w:val="16"/>
          <w:szCs w:val="16"/>
          <w:color w:val="auto"/>
        </w:rPr>
        <w:t>without limitation, any transfer to a nominee or agent of the Participant, any Shares which are not Vested Shares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Unvested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Participant shall forfeit and the Company shall automatically reacquire the Unvested Shares, and the Participant shall not be entitled to any payment therefor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Company Reacquisition Right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4"/>
          <w:szCs w:val="14"/>
          <w:b w:val="1"/>
          <w:bCs w:val="1"/>
          <w:color w:val="auto"/>
        </w:rPr>
        <w:t>Ownership Change Event, Non-Cash Dividends, Distributions and Adjustments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occurrence of an Ownership Change Event, a dividend or</w:t>
      </w:r>
    </w:p>
    <w:p>
      <w:pPr>
        <w:spacing w:after="0"/>
        <w:rPr>
          <w:sz w:val="20"/>
          <w:szCs w:val="20"/>
          <w:color w:val="auto"/>
        </w:rPr>
      </w:pPr>
      <w:r>
        <w:rPr>
          <w:rFonts w:ascii="Times New Roman" w:cs="Times New Roman" w:eastAsia="Times New Roman" w:hAnsi="Times New Roman"/>
          <w:sz w:val="14"/>
          <w:szCs w:val="14"/>
          <w:color w:val="auto"/>
        </w:rPr>
        <w:t>distribution to the stockholders of the Company paid in shares of Stock or other property, or any other adjustment upon a change in the capital structure of the Company as described</w:t>
      </w:r>
    </w:p>
    <w:p>
      <w:pPr>
        <w:spacing w:after="0" w:line="229" w:lineRule="auto"/>
        <w:rPr>
          <w:sz w:val="20"/>
          <w:szCs w:val="20"/>
          <w:color w:val="auto"/>
        </w:rPr>
      </w:pPr>
      <w:r>
        <w:rPr>
          <w:rFonts w:ascii="Times New Roman" w:cs="Times New Roman" w:eastAsia="Times New Roman" w:hAnsi="Times New Roman"/>
          <w:sz w:val="14"/>
          <w:szCs w:val="14"/>
          <w:color w:val="auto"/>
        </w:rPr>
        <w:t>in Section 9, any and all new, substituted or additional securities or other property (other than regular, periodic cash dividends paid on Stock pursuant to the Company’s dividend policy) to which the Participant is entitled by reason of the Participant’s ownership of Unvested Shares shall be immediately subject to the Company Reacquisition Right and</w:t>
      </w:r>
    </w:p>
    <w:p>
      <w:pPr>
        <w:spacing w:after="0"/>
        <w:rPr>
          <w:sz w:val="20"/>
          <w:szCs w:val="20"/>
          <w:color w:val="auto"/>
        </w:rPr>
      </w:pPr>
      <w:r>
        <w:rPr>
          <w:rFonts w:ascii="Times New Roman" w:cs="Times New Roman" w:eastAsia="Times New Roman" w:hAnsi="Times New Roman"/>
          <w:sz w:val="16"/>
          <w:szCs w:val="16"/>
          <w:color w:val="auto"/>
        </w:rPr>
        <w:t>included in the terms “Shares,” “Stock” and “Unvested Shares” for all purposes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9"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auto"/>
        </w:rPr>
        <w:t>Reacquisition Right with the same force and effect as the Unvested Shares immediately prior to the Ownership Change Event, dividend, distribution or adjustment, as the case may</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w:t>
      </w:r>
    </w:p>
    <w:p>
      <w:pPr>
        <w:spacing w:after="0"/>
        <w:rPr>
          <w:sz w:val="20"/>
          <w:szCs w:val="20"/>
          <w:color w:val="auto"/>
        </w:rPr>
      </w:pPr>
      <w:r>
        <w:rPr>
          <w:rFonts w:ascii="Times New Roman" w:cs="Times New Roman" w:eastAsia="Times New Roman" w:hAnsi="Times New Roman"/>
          <w:sz w:val="16"/>
          <w:szCs w:val="16"/>
          <w:color w:val="auto"/>
        </w:rPr>
        <w:t>such event.</w:t>
      </w:r>
    </w:p>
    <w:p>
      <w:pPr>
        <w:spacing w:after="0" w:line="125" w:lineRule="exact"/>
        <w:rPr>
          <w:sz w:val="20"/>
          <w:szCs w:val="20"/>
          <w:color w:val="auto"/>
        </w:rPr>
      </w:pPr>
    </w:p>
    <w:p>
      <w:pPr>
        <w:ind w:firstLine="1019"/>
        <w:spacing w:after="0" w:line="244"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b w:val="1"/>
          <w:bCs w:val="1"/>
          <w:color w:val="auto"/>
        </w:rPr>
        <w:t>Obligation to Repay Certain Cash Dividends and Distributions.</w:t>
      </w:r>
      <w:r>
        <w:rPr>
          <w:rFonts w:ascii="Times New Roman" w:cs="Times New Roman" w:eastAsia="Times New Roman" w:hAnsi="Times New Roman"/>
          <w:sz w:val="14"/>
          <w:szCs w:val="14"/>
          <w:color w:val="auto"/>
        </w:rPr>
        <w:t xml:space="preserve"> The Participant shall, at the discretion of the Company, be obligated to promptly repay to the Company upon termination of the Participant’s Service any dividends and other distributions paid to the Participant in cash with respect to Unvested Shares reacquired by the</w:t>
      </w:r>
    </w:p>
    <w:p>
      <w:pPr>
        <w:spacing w:after="0"/>
        <w:rPr>
          <w:sz w:val="20"/>
          <w:szCs w:val="20"/>
          <w:color w:val="auto"/>
        </w:rPr>
      </w:pPr>
      <w:r>
        <w:rPr>
          <w:rFonts w:ascii="Times New Roman" w:cs="Times New Roman" w:eastAsia="Times New Roman" w:hAnsi="Times New Roman"/>
          <w:sz w:val="16"/>
          <w:szCs w:val="16"/>
          <w:color w:val="auto"/>
        </w:rPr>
        <w:t>Company pursuant to the Company Reacquisition Right.</w:t>
      </w:r>
    </w:p>
    <w:p>
      <w:pPr>
        <w:spacing w:after="0" w:line="125" w:lineRule="exact"/>
        <w:rPr>
          <w:sz w:val="20"/>
          <w:szCs w:val="20"/>
          <w:color w:val="auto"/>
        </w:rPr>
      </w:pPr>
    </w:p>
    <w:p>
      <w:pPr>
        <w:ind w:left="1020" w:hanging="506"/>
        <w:spacing w:after="0"/>
        <w:tabs>
          <w:tab w:leader="none" w:pos="10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Escrow</w:t>
      </w:r>
      <w:r>
        <w:rPr>
          <w:rFonts w:ascii="Times New Roman" w:cs="Times New Roman" w:eastAsia="Times New Roman" w:hAnsi="Times New Roman"/>
          <w:sz w:val="16"/>
          <w:szCs w:val="16"/>
          <w:b w:val="1"/>
          <w:bCs w:val="1"/>
          <w:color w:val="auto"/>
        </w:rPr>
        <w:t>.</w:t>
      </w:r>
    </w:p>
    <w:p>
      <w:pPr>
        <w:spacing w:after="0" w:line="134" w:lineRule="exact"/>
        <w:rPr>
          <w:sz w:val="20"/>
          <w:szCs w:val="20"/>
          <w:color w:val="auto"/>
        </w:rPr>
      </w:pPr>
    </w:p>
    <w:p>
      <w:pPr>
        <w:ind w:firstLine="1019"/>
        <w:spacing w:after="0" w:line="252"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b w:val="1"/>
          <w:bCs w:val="1"/>
          <w:color w:val="auto"/>
        </w:rPr>
        <w:t>Appointment of Agent.</w:t>
      </w:r>
      <w:r>
        <w:rPr>
          <w:rFonts w:ascii="Times New Roman" w:cs="Times New Roman" w:eastAsia="Times New Roman" w:hAnsi="Times New Roman"/>
          <w:sz w:val="14"/>
          <w:szCs w:val="14"/>
          <w:color w:val="auto"/>
        </w:rPr>
        <w:t xml:space="preserve"> 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Agent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to</w:t>
      </w:r>
    </w:p>
    <w:p>
      <w:pPr>
        <w:spacing w:after="0" w:line="200" w:lineRule="auto"/>
        <w:rPr>
          <w:sz w:val="20"/>
          <w:szCs w:val="20"/>
          <w:color w:val="auto"/>
        </w:rPr>
      </w:pPr>
      <w:r>
        <w:rPr>
          <w:rFonts w:ascii="Times New Roman" w:cs="Times New Roman" w:eastAsia="Times New Roman" w:hAnsi="Times New Roman"/>
          <w:sz w:val="16"/>
          <w:szCs w:val="16"/>
          <w:color w:val="auto"/>
        </w:rPr>
        <w:t>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w:t>
      </w:r>
    </w:p>
    <w:p>
      <w:pPr>
        <w:spacing w:after="0" w:line="208" w:lineRule="auto"/>
        <w:rPr>
          <w:sz w:val="20"/>
          <w:szCs w:val="20"/>
          <w:color w:val="auto"/>
        </w:rPr>
      </w:pPr>
      <w:r>
        <w:rPr>
          <w:rFonts w:ascii="Times New Roman" w:cs="Times New Roman" w:eastAsia="Times New Roman" w:hAnsi="Times New Roman"/>
          <w:sz w:val="16"/>
          <w:szCs w:val="16"/>
          <w:color w:val="auto"/>
        </w:rPr>
        <w:t>irrevocable. The Agent shall not be personally liable for any act the Agent may do or omit to do hereunder as escrow agent, agent for the Company, or attorney in fact for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w:t>
      </w:r>
    </w:p>
    <w:p>
      <w:pPr>
        <w:spacing w:after="0"/>
        <w:rPr>
          <w:sz w:val="20"/>
          <w:szCs w:val="20"/>
          <w:color w:val="auto"/>
        </w:rPr>
      </w:pPr>
      <w:r>
        <w:rPr>
          <w:rFonts w:ascii="Times New Roman" w:cs="Times New Roman" w:eastAsia="Times New Roman" w:hAnsi="Times New Roman"/>
          <w:sz w:val="16"/>
          <w:szCs w:val="16"/>
          <w:color w:val="auto"/>
        </w:rPr>
        <w:t>resign at any time.</w:t>
      </w:r>
    </w:p>
    <w:p>
      <w:pPr>
        <w:spacing w:after="0" w:line="125" w:lineRule="exact"/>
        <w:rPr>
          <w:sz w:val="20"/>
          <w:szCs w:val="20"/>
          <w:color w:val="auto"/>
        </w:rPr>
      </w:pPr>
    </w:p>
    <w:p>
      <w:pPr>
        <w:ind w:firstLine="1019"/>
        <w:spacing w:after="0" w:line="213"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b w:val="1"/>
          <w:bCs w:val="1"/>
          <w:color w:val="auto"/>
        </w:rPr>
        <w:t>Establishment of Escrow</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Participant authorizes the Company to deposit the Unvested Shares with the Company’s transfer agent to be held in book entry form, as provided in Section 3.3, and the Participant agrees to deliver to and deposit with the Agent each certificate, if any, evidencing the Shares and, if required by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 xml:space="preserve">Company, an Assignment Separate from Certificate with respect to such book entry shares and each such certificate duly endorsed (with date and number of Shares blank) in the form attached to this Agreement, to be held by the Agent under the terms and conditions of this Section 6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Escrow</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Upon the occurrence of an Ownership Change Event, a</w:t>
      </w:r>
    </w:p>
    <w:p>
      <w:pPr>
        <w:spacing w:after="0" w:line="208" w:lineRule="auto"/>
        <w:rPr>
          <w:sz w:val="20"/>
          <w:szCs w:val="20"/>
          <w:color w:val="auto"/>
        </w:rPr>
      </w:pPr>
      <w:r>
        <w:rPr>
          <w:rFonts w:ascii="Times New Roman" w:cs="Times New Roman" w:eastAsia="Times New Roman" w:hAnsi="Times New Roman"/>
          <w:sz w:val="16"/>
          <w:szCs w:val="16"/>
          <w:color w:val="auto"/>
        </w:rPr>
        <w:t>dividend or distribution to the stockholders of the Company paid in shares of Stock or other property (other than regular, periodic dividends paid on Stock pursuant to the</w:t>
      </w:r>
    </w:p>
    <w:p>
      <w:pPr>
        <w:jc w:val="both"/>
        <w:spacing w:after="0" w:line="200" w:lineRule="auto"/>
        <w:rPr>
          <w:sz w:val="20"/>
          <w:szCs w:val="20"/>
          <w:color w:val="auto"/>
        </w:rPr>
      </w:pPr>
      <w:r>
        <w:rPr>
          <w:rFonts w:ascii="Times New Roman" w:cs="Times New Roman" w:eastAsia="Times New Roman" w:hAnsi="Times New Roman"/>
          <w:sz w:val="16"/>
          <w:szCs w:val="16"/>
          <w:color w:val="auto"/>
        </w:rPr>
        <w:t>Company’s dividend policy)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distribution or change described in Section 9, subject to the Company Reacquisition Right shall be immediately subject to the Escrow to the same extent as the Shares immediately before such event. The Company shall bear the expenses of the Escrow.</w:t>
      </w:r>
    </w:p>
    <w:p>
      <w:pPr>
        <w:spacing w:after="0" w:line="114"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b w:val="1"/>
          <w:bCs w:val="1"/>
          <w:color w:val="auto"/>
        </w:rPr>
        <w:t>Delivery of Shares to Participant</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Escrow shall continue with respect to any Shares for so long as such Shares remain subject to the Company Reacquisition Right. Upon termination of the Company Reacquisition Right with respect to Shares, the Company shall so notify the Agent and direct the Agent to deliver such</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number of Shares to the Participant. As soon as practicable after receipt of such notice, the Agent shall cause the Shares specified by such notice to be delivered to the Participant, and the Escrow shall terminate with respect to such Shares.</w:t>
      </w:r>
    </w:p>
    <w:p>
      <w:pPr>
        <w:spacing w:after="0" w:line="125" w:lineRule="exact"/>
        <w:rPr>
          <w:sz w:val="20"/>
          <w:szCs w:val="20"/>
          <w:color w:val="auto"/>
        </w:rPr>
      </w:pPr>
    </w:p>
    <w:p>
      <w:pPr>
        <w:ind w:left="1020" w:hanging="506"/>
        <w:spacing w:after="0"/>
        <w:tabs>
          <w:tab w:leader="none" w:pos="10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Matters</w:t>
      </w:r>
      <w:r>
        <w:rPr>
          <w:rFonts w:ascii="Times New Roman" w:cs="Times New Roman" w:eastAsia="Times New Roman" w:hAnsi="Times New Roman"/>
          <w:sz w:val="16"/>
          <w:szCs w:val="16"/>
          <w:b w:val="1"/>
          <w:bCs w:val="1"/>
          <w:color w:val="auto"/>
        </w:rPr>
        <w:t>.</w:t>
      </w:r>
    </w:p>
    <w:p>
      <w:pPr>
        <w:spacing w:after="0" w:line="144"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7.1</w:t>
      </w:r>
      <w:r>
        <w:rPr>
          <w:rFonts w:ascii="Times New Roman" w:cs="Times New Roman" w:eastAsia="Times New Roman" w:hAnsi="Times New Roman"/>
          <w:sz w:val="14"/>
          <w:szCs w:val="14"/>
          <w:b w:val="1"/>
          <w:bCs w:val="1"/>
          <w:color w:val="auto"/>
        </w:rPr>
        <w:t>Tax Withholding.</w:t>
      </w:r>
    </w:p>
    <w:p>
      <w:pPr>
        <w:spacing w:after="0" w:line="134" w:lineRule="exact"/>
        <w:rPr>
          <w:rFonts w:ascii="Times New Roman" w:cs="Times New Roman" w:eastAsia="Times New Roman" w:hAnsi="Times New Roman"/>
          <w:sz w:val="16"/>
          <w:szCs w:val="16"/>
          <w:color w:val="auto"/>
        </w:rPr>
      </w:pPr>
    </w:p>
    <w:p>
      <w:pPr>
        <w:ind w:left="2040" w:hanging="507"/>
        <w:spacing w:after="0"/>
        <w:tabs>
          <w:tab w:leader="none" w:pos="204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 General. </w:t>
      </w:r>
      <w:r>
        <w:rPr>
          <w:rFonts w:ascii="Times New Roman" w:cs="Times New Roman" w:eastAsia="Times New Roman" w:hAnsi="Times New Roman"/>
          <w:sz w:val="14"/>
          <w:szCs w:val="14"/>
          <w:color w:val="auto"/>
        </w:rPr>
        <w:t>At the time the Grant Notice is executed, or at any time thereafter as requested by a Participating Company, the Participant agrees to</w:t>
      </w:r>
    </w:p>
    <w:p>
      <w:pPr>
        <w:spacing w:after="0" w:line="1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make adequate provision for,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9"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color w:val="auto"/>
        </w:rPr>
        <w:t>any sums required to satisfy the federal, state, local and foreign tax (including any social insurance) withholding obligations of the Participating Company, if any, which arise in</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connection with the Award, including, without limitation, obligations arising upon (a) the transfer of Shares to the Participant, (b) the lapsing of any restriction with respect to any Shares, (c) the filing of an election to recognize tax liability, or (d) the transfer by the Participant of any Shares. The Company shall have no obligation to deliver the Shares or to</w:t>
      </w:r>
    </w:p>
    <w:p>
      <w:pPr>
        <w:spacing w:after="0"/>
        <w:rPr>
          <w:sz w:val="20"/>
          <w:szCs w:val="20"/>
          <w:color w:val="auto"/>
        </w:rPr>
      </w:pPr>
      <w:r>
        <w:rPr>
          <w:rFonts w:ascii="Times New Roman" w:cs="Times New Roman" w:eastAsia="Times New Roman" w:hAnsi="Times New Roman"/>
          <w:sz w:val="16"/>
          <w:szCs w:val="16"/>
          <w:color w:val="auto"/>
        </w:rPr>
        <w:t>release any Shares from the Escrow established pursuant to Section 6 until the tax withholding obligations of the Participating Company have been satisfied by the Participant.</w:t>
      </w:r>
    </w:p>
    <w:p>
      <w:pPr>
        <w:spacing w:after="0" w:line="125" w:lineRule="exact"/>
        <w:rPr>
          <w:sz w:val="20"/>
          <w:szCs w:val="20"/>
          <w:color w:val="auto"/>
        </w:rPr>
      </w:pPr>
    </w:p>
    <w:p>
      <w:pPr>
        <w:jc w:val="both"/>
        <w:ind w:firstLine="1533"/>
        <w:spacing w:after="0" w:line="218" w:lineRule="auto"/>
        <w:tabs>
          <w:tab w:leader="none" w:pos="2027"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Assignment of Sale Proceeds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to compliance with applicable law and the Company’s Insider Trading Policy, if permitted by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becoming Vested Shares on a Vesting Date as provided in the Grant Notice.</w:t>
      </w:r>
    </w:p>
    <w:p>
      <w:pPr>
        <w:spacing w:after="0" w:line="116" w:lineRule="exact"/>
        <w:rPr>
          <w:rFonts w:ascii="Times New Roman" w:cs="Times New Roman" w:eastAsia="Times New Roman" w:hAnsi="Times New Roman"/>
          <w:sz w:val="16"/>
          <w:szCs w:val="16"/>
          <w:color w:val="auto"/>
        </w:rPr>
      </w:pPr>
    </w:p>
    <w:p>
      <w:pPr>
        <w:jc w:val="both"/>
        <w:ind w:firstLine="1533"/>
        <w:spacing w:after="0" w:line="216" w:lineRule="auto"/>
        <w:tabs>
          <w:tab w:leader="none" w:pos="2029"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Withholding in Shares. </w:t>
      </w:r>
      <w:r>
        <w:rPr>
          <w:rFonts w:ascii="Times New Roman" w:cs="Times New Roman" w:eastAsia="Times New Roman" w:hAnsi="Times New Roman"/>
          <w:sz w:val="16"/>
          <w:szCs w:val="16"/>
          <w:color w:val="auto"/>
        </w:rPr>
        <w:t>The Company shall have the right, but not the obligation, to require the Participant to satisfy all or any portion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27"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4"/>
          <w:szCs w:val="14"/>
          <w:b w:val="1"/>
          <w:bCs w:val="1"/>
          <w:color w:val="auto"/>
        </w:rPr>
        <w:t>Election Under Section 83(b) of the Code.</w:t>
      </w:r>
    </w:p>
    <w:p>
      <w:pPr>
        <w:spacing w:after="0" w:line="136" w:lineRule="exact"/>
        <w:rPr>
          <w:sz w:val="20"/>
          <w:szCs w:val="20"/>
          <w:color w:val="auto"/>
        </w:rPr>
      </w:pPr>
    </w:p>
    <w:p>
      <w:pPr>
        <w:jc w:val="both"/>
        <w:ind w:firstLine="1533"/>
        <w:spacing w:after="0" w:line="208" w:lineRule="auto"/>
        <w:tabs>
          <w:tab w:leader="none" w:pos="202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understands that Section 83 of the Code taxes as ordinary income the difference between the amount paid for the Shares, if anything, and the fair market value of the Shares as of the date on which the Shares are “substantially vested,” within the meaning of Section 83. In this context, “substantially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forfeiture of the Shares even though the Participant incurred a tax liability by making an election under Section 83(b).</w:t>
      </w:r>
    </w:p>
    <w:p>
      <w:pPr>
        <w:spacing w:after="0" w:line="123" w:lineRule="exact"/>
        <w:rPr>
          <w:rFonts w:ascii="Times New Roman" w:cs="Times New Roman" w:eastAsia="Times New Roman" w:hAnsi="Times New Roman"/>
          <w:sz w:val="16"/>
          <w:szCs w:val="16"/>
          <w:color w:val="auto"/>
        </w:rPr>
      </w:pPr>
    </w:p>
    <w:p>
      <w:pPr>
        <w:jc w:val="both"/>
        <w:ind w:firstLine="1533"/>
        <w:spacing w:after="0" w:line="211" w:lineRule="auto"/>
        <w:tabs>
          <w:tab w:leader="none" w:pos="2027"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9"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t>PARTICIPANT REQUESTS THE COMPANY OR ITS REPRESENTATIVE TO FILE SUCH ELECTION ON HIS OR HER BEHALF.</w:t>
      </w:r>
    </w:p>
    <w:p>
      <w:pPr>
        <w:spacing w:after="0" w:line="145" w:lineRule="exact"/>
        <w:rPr>
          <w:sz w:val="20"/>
          <w:szCs w:val="20"/>
          <w:color w:val="auto"/>
        </w:rPr>
      </w:pPr>
    </w:p>
    <w:p>
      <w:pPr>
        <w:jc w:val="both"/>
        <w:ind w:firstLine="1533"/>
        <w:spacing w:after="0" w:line="221" w:lineRule="auto"/>
        <w:tabs>
          <w:tab w:leader="none" w:pos="2029"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spacing w:after="0" w:line="12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Change in Control.</w:t>
      </w:r>
    </w:p>
    <w:p>
      <w:pPr>
        <w:spacing w:after="0" w:line="14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 the event of a Change in Control, the surviving, continuing, successor, or purchasing corporation or other business entity or parent thereof, as the case may be</w:t>
      </w:r>
    </w:p>
    <w:p>
      <w:pPr>
        <w:spacing w:after="0" w:line="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Acquiror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except as otherwise provided herein.</w:t>
      </w:r>
    </w:p>
    <w:p>
      <w:pPr>
        <w:spacing w:after="0" w:line="133" w:lineRule="exact"/>
        <w:rPr>
          <w:sz w:val="20"/>
          <w:szCs w:val="20"/>
          <w:color w:val="auto"/>
        </w:rPr>
      </w:pPr>
    </w:p>
    <w:p>
      <w:pPr>
        <w:ind w:left="1020" w:hanging="506"/>
        <w:spacing w:after="0"/>
        <w:tabs>
          <w:tab w:leader="none" w:pos="10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Adjustments for Changes in Capital Structure</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jc w:val="both"/>
        <w:ind w:firstLine="1019"/>
        <w:spacing w:after="0" w:line="246" w:lineRule="auto"/>
        <w:rPr>
          <w:sz w:val="20"/>
          <w:szCs w:val="20"/>
          <w:color w:val="auto"/>
        </w:rPr>
      </w:pPr>
      <w:r>
        <w:rPr>
          <w:rFonts w:ascii="Times New Roman" w:cs="Times New Roman" w:eastAsia="Times New Roman" w:hAnsi="Times New Roman"/>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subject to Section 5.3)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spacing w:after="0" w:line="141" w:lineRule="exact"/>
        <w:rPr>
          <w:sz w:val="20"/>
          <w:szCs w:val="20"/>
          <w:color w:val="auto"/>
        </w:rPr>
      </w:pPr>
    </w:p>
    <w:p>
      <w:pPr>
        <w:ind w:left="1020" w:hanging="506"/>
        <w:spacing w:after="0"/>
        <w:tabs>
          <w:tab w:leader="none" w:pos="10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as a Stockholder, Director, Employee or Consultant</w:t>
      </w:r>
      <w:r>
        <w:rPr>
          <w:rFonts w:ascii="Times New Roman" w:cs="Times New Roman" w:eastAsia="Times New Roman" w:hAnsi="Times New Roman"/>
          <w:sz w:val="16"/>
          <w:szCs w:val="16"/>
          <w:b w:val="1"/>
          <w:bCs w:val="1"/>
          <w:color w:val="auto"/>
        </w:rPr>
        <w:t>.</w:t>
      </w:r>
    </w:p>
    <w:p>
      <w:pPr>
        <w:spacing w:after="0" w:line="147"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6"/>
          <w:szCs w:val="16"/>
          <w:color w:val="auto"/>
        </w:rPr>
        <w:t>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During any period in which the Shares remain subject to Vesting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9" w:right="319" w:bottom="1440" w:gutter="0" w:footer="0" w:header="0"/>
        </w:sectPr>
      </w:pPr>
    </w:p>
    <w:bookmarkStart w:id="135" w:name="page136"/>
    <w:bookmarkEnd w:id="135"/>
    <w:p>
      <w:pPr>
        <w:jc w:val="both"/>
        <w:spacing w:after="0" w:line="248" w:lineRule="auto"/>
        <w:rPr>
          <w:sz w:val="20"/>
          <w:szCs w:val="20"/>
          <w:color w:val="auto"/>
        </w:rPr>
      </w:pPr>
      <w:r>
        <w:rPr>
          <w:rFonts w:ascii="Times New Roman" w:cs="Times New Roman" w:eastAsia="Times New Roman" w:hAnsi="Times New Roman"/>
          <w:sz w:val="16"/>
          <w:szCs w:val="16"/>
          <w:color w:val="auto"/>
        </w:rPr>
        <w:t>Conditions, subject to the provisions of this Agreement, the Participant shall exercise all rights and privileges of a stockholder of the Company with respect to Shares deposited in the Escrow pursuant to Section 6, other than the right to receive dividends and other distributions paid with respect to such Shares.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40" w:lineRule="exact"/>
        <w:rPr>
          <w:sz w:val="20"/>
          <w:szCs w:val="20"/>
          <w:color w:val="auto"/>
        </w:rPr>
      </w:pPr>
    </w:p>
    <w:p>
      <w:pPr>
        <w:ind w:left="1020" w:hanging="506"/>
        <w:spacing w:after="0"/>
        <w:tabs>
          <w:tab w:leader="none" w:pos="10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Legends</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jc w:val="both"/>
        <w:ind w:firstLine="1019"/>
        <w:spacing w:after="0" w:line="247" w:lineRule="auto"/>
        <w:rPr>
          <w:sz w:val="20"/>
          <w:szCs w:val="20"/>
          <w:color w:val="auto"/>
        </w:rPr>
      </w:pPr>
      <w:r>
        <w:rPr>
          <w:rFonts w:ascii="Times New Roman" w:cs="Times New Roman" w:eastAsia="Times New Roman" w:hAnsi="Times New Roman"/>
          <w:sz w:val="16"/>
          <w:szCs w:val="16"/>
          <w:color w:val="auto"/>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spacing w:after="0" w:line="155"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“THE SECURITIES REPRESENTED BY THIS CERTIFICATE ARE SUBJECT TO RESTRICTIONS SET FORTH IN AN AGREEMENT BETWEEN THIS CORPORATION AND THE REGISTERED HOLDER, OR HIS PREDECESSOR IN INTEREST, A COPY OF WHICH IS ON FILE AT THE PRINCIPAL OFFICE OF THIS CORPORATION.”</w:t>
      </w:r>
    </w:p>
    <w:p>
      <w:pPr>
        <w:spacing w:after="0" w:line="157" w:lineRule="exact"/>
        <w:rPr>
          <w:sz w:val="20"/>
          <w:szCs w:val="20"/>
          <w:color w:val="auto"/>
        </w:rPr>
      </w:pPr>
    </w:p>
    <w:p>
      <w:pPr>
        <w:ind w:left="1020" w:hanging="506"/>
        <w:spacing w:after="0"/>
        <w:tabs>
          <w:tab w:leader="none" w:pos="10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Transfers in Violation of Agreement</w:t>
      </w:r>
      <w:r>
        <w:rPr>
          <w:rFonts w:ascii="Times New Roman" w:cs="Times New Roman" w:eastAsia="Times New Roman" w:hAnsi="Times New Roman"/>
          <w:sz w:val="16"/>
          <w:szCs w:val="16"/>
          <w:b w:val="1"/>
          <w:bCs w:val="1"/>
          <w:color w:val="auto"/>
        </w:rPr>
        <w:t>.</w:t>
      </w:r>
    </w:p>
    <w:p>
      <w:pPr>
        <w:spacing w:after="0" w:line="147" w:lineRule="exact"/>
        <w:rPr>
          <w:sz w:val="20"/>
          <w:szCs w:val="20"/>
          <w:color w:val="auto"/>
        </w:rPr>
      </w:pPr>
    </w:p>
    <w:p>
      <w:pPr>
        <w:jc w:val="both"/>
        <w:ind w:firstLine="1019"/>
        <w:spacing w:after="0" w:line="248" w:lineRule="auto"/>
        <w:rPr>
          <w:sz w:val="20"/>
          <w:szCs w:val="20"/>
          <w:color w:val="auto"/>
        </w:rPr>
      </w:pPr>
      <w:r>
        <w:rPr>
          <w:rFonts w:ascii="Times New Roman" w:cs="Times New Roman" w:eastAsia="Times New Roman" w:hAnsi="Times New Roman"/>
          <w:sz w:val="16"/>
          <w:szCs w:val="16"/>
          <w:color w:val="auto"/>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spacing w:after="0" w:line="141" w:lineRule="exact"/>
        <w:rPr>
          <w:sz w:val="20"/>
          <w:szCs w:val="20"/>
          <w:color w:val="auto"/>
        </w:rPr>
      </w:pPr>
    </w:p>
    <w:p>
      <w:pPr>
        <w:ind w:left="1020" w:hanging="506"/>
        <w:spacing w:after="0"/>
        <w:tabs>
          <w:tab w:leader="none" w:pos="10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 Provisions</w:t>
      </w:r>
      <w:r>
        <w:rPr>
          <w:rFonts w:ascii="Times New Roman" w:cs="Times New Roman" w:eastAsia="Times New Roman" w:hAnsi="Times New Roman"/>
          <w:sz w:val="16"/>
          <w:szCs w:val="16"/>
          <w:b w:val="1"/>
          <w:bCs w:val="1"/>
          <w:color w:val="auto"/>
        </w:rPr>
        <w:t>.</w:t>
      </w:r>
    </w:p>
    <w:p>
      <w:pPr>
        <w:spacing w:after="0" w:line="145" w:lineRule="exact"/>
        <w:rPr>
          <w:sz w:val="20"/>
          <w:szCs w:val="20"/>
          <w:color w:val="auto"/>
        </w:rPr>
      </w:pPr>
    </w:p>
    <w:p>
      <w:pPr>
        <w:jc w:val="both"/>
        <w:ind w:firstLine="1019"/>
        <w:spacing w:after="0" w:line="244" w:lineRule="auto"/>
        <w:rPr>
          <w:sz w:val="20"/>
          <w:szCs w:val="20"/>
          <w:color w:val="auto"/>
        </w:rPr>
      </w:pPr>
      <w:r>
        <w:rPr>
          <w:rFonts w:ascii="Times New Roman" w:cs="Times New Roman" w:eastAsia="Times New Roman" w:hAnsi="Times New Roman"/>
          <w:sz w:val="14"/>
          <w:szCs w:val="14"/>
          <w:color w:val="auto"/>
        </w:rPr>
        <w:t xml:space="preserve">13.1 </w:t>
      </w:r>
      <w:r>
        <w:rPr>
          <w:rFonts w:ascii="Times New Roman" w:cs="Times New Roman" w:eastAsia="Times New Roman" w:hAnsi="Times New Roman"/>
          <w:sz w:val="14"/>
          <w:szCs w:val="14"/>
          <w:b w:val="1"/>
          <w:bCs w:val="1"/>
          <w:color w:val="auto"/>
        </w:rPr>
        <w:t>Termination or Amendment.</w:t>
      </w:r>
      <w:r>
        <w:rPr>
          <w:rFonts w:ascii="Times New Roman" w:cs="Times New Roman" w:eastAsia="Times New Roman" w:hAnsi="Times New Roman"/>
          <w:sz w:val="14"/>
          <w:szCs w:val="14"/>
          <w:color w:val="auto"/>
        </w:rPr>
        <w:t xml:space="preserve"> The Committee may terminate or amend the Plan or this Agreement at any time; provided, however, that no such termination or amendment may adversely affect the Participant’s rights under this Agreement without the consent of the Participant unless such termination or amendment is deemed necessary,</w:t>
      </w:r>
    </w:p>
    <w:p>
      <w:pPr>
        <w:jc w:val="both"/>
        <w:spacing w:after="0" w:line="224" w:lineRule="auto"/>
        <w:rPr>
          <w:sz w:val="20"/>
          <w:szCs w:val="20"/>
          <w:color w:val="auto"/>
        </w:rPr>
      </w:pPr>
      <w:r>
        <w:rPr>
          <w:rFonts w:ascii="Times New Roman" w:cs="Times New Roman" w:eastAsia="Times New Roman" w:hAnsi="Times New Roman"/>
          <w:sz w:val="16"/>
          <w:szCs w:val="16"/>
          <w:color w:val="auto"/>
        </w:rPr>
        <w:t>in the Committee’s sole and absolute discretion and without the consent of the Participant, to comply with applicable law or government regulation. No amendment or addition to this Agreement shall be effective unless in writing.</w:t>
      </w:r>
    </w:p>
    <w:p>
      <w:pPr>
        <w:spacing w:after="0" w:line="114" w:lineRule="exact"/>
        <w:rPr>
          <w:sz w:val="20"/>
          <w:szCs w:val="20"/>
          <w:color w:val="auto"/>
        </w:rPr>
      </w:pPr>
    </w:p>
    <w:p>
      <w:pPr>
        <w:jc w:val="both"/>
        <w:ind w:firstLine="1019"/>
        <w:spacing w:after="0" w:line="269" w:lineRule="auto"/>
        <w:rPr>
          <w:sz w:val="20"/>
          <w:szCs w:val="20"/>
          <w:color w:val="auto"/>
        </w:rPr>
      </w:pPr>
      <w:r>
        <w:rPr>
          <w:rFonts w:ascii="Times New Roman" w:cs="Times New Roman" w:eastAsia="Times New Roman" w:hAnsi="Times New Roman"/>
          <w:sz w:val="14"/>
          <w:szCs w:val="14"/>
          <w:color w:val="auto"/>
        </w:rPr>
        <w:t xml:space="preserve">13.2 </w:t>
      </w:r>
      <w:r>
        <w:rPr>
          <w:rFonts w:ascii="Times New Roman" w:cs="Times New Roman" w:eastAsia="Times New Roman" w:hAnsi="Times New Roman"/>
          <w:sz w:val="14"/>
          <w:szCs w:val="14"/>
          <w:b w:val="1"/>
          <w:bCs w:val="1"/>
          <w:color w:val="auto"/>
        </w:rPr>
        <w:t>Nontransferability of the Award.</w:t>
      </w:r>
      <w:r>
        <w:rPr>
          <w:rFonts w:ascii="Times New Roman" w:cs="Times New Roman" w:eastAsia="Times New Roman" w:hAnsi="Times New Roman"/>
          <w:sz w:val="14"/>
          <w:szCs w:val="14"/>
          <w:color w:val="auto"/>
        </w:rPr>
        <w:t xml:space="preserve"> 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39" w:right="319" w:bottom="1440" w:gutter="0" w:footer="0" w:header="0"/>
        </w:sectPr>
      </w:pPr>
    </w:p>
    <w:bookmarkStart w:id="136" w:name="page137"/>
    <w:bookmarkEnd w:id="136"/>
    <w:p>
      <w:pPr>
        <w:ind w:firstLine="1019"/>
        <w:spacing w:after="0" w:line="237" w:lineRule="auto"/>
        <w:rPr>
          <w:sz w:val="20"/>
          <w:szCs w:val="20"/>
          <w:color w:val="auto"/>
        </w:rPr>
      </w:pPr>
      <w:r>
        <w:rPr>
          <w:rFonts w:ascii="Times New Roman" w:cs="Times New Roman" w:eastAsia="Times New Roman" w:hAnsi="Times New Roman"/>
          <w:sz w:val="16"/>
          <w:szCs w:val="16"/>
          <w:color w:val="auto"/>
        </w:rPr>
        <w:t xml:space="preserve">13.3 </w:t>
      </w:r>
      <w:r>
        <w:rPr>
          <w:rFonts w:ascii="Times New Roman" w:cs="Times New Roman" w:eastAsia="Times New Roman" w:hAnsi="Times New Roman"/>
          <w:sz w:val="16"/>
          <w:szCs w:val="16"/>
          <w:b w:val="1"/>
          <w:bCs w:val="1"/>
          <w:color w:val="auto"/>
        </w:rPr>
        <w:t>Further Instruments.</w:t>
      </w:r>
      <w:r>
        <w:rPr>
          <w:rFonts w:ascii="Times New Roman" w:cs="Times New Roman" w:eastAsia="Times New Roman" w:hAnsi="Times New Roman"/>
          <w:sz w:val="16"/>
          <w:szCs w:val="16"/>
          <w:color w:val="auto"/>
        </w:rPr>
        <w:t xml:space="preserve"> The parties hereto agree to execute such further instruments and to take such further action as may reasonably be necessary to carry out the intent of this Agreement.</w:t>
      </w:r>
    </w:p>
    <w:p>
      <w:pPr>
        <w:spacing w:after="0" w:line="114" w:lineRule="exact"/>
        <w:rPr>
          <w:sz w:val="20"/>
          <w:szCs w:val="20"/>
          <w:color w:val="auto"/>
        </w:rPr>
      </w:pPr>
    </w:p>
    <w:p>
      <w:pPr>
        <w:ind w:firstLine="1019"/>
        <w:spacing w:after="0" w:line="237" w:lineRule="auto"/>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16"/>
          <w:szCs w:val="16"/>
          <w:b w:val="1"/>
          <w:bCs w:val="1"/>
          <w:color w:val="auto"/>
        </w:rPr>
        <w:t>Binding Effect.</w:t>
      </w:r>
      <w:r>
        <w:rPr>
          <w:rFonts w:ascii="Times New Roman" w:cs="Times New Roman" w:eastAsia="Times New Roman" w:hAnsi="Times New Roman"/>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25" w:lineRule="exact"/>
        <w:rPr>
          <w:sz w:val="20"/>
          <w:szCs w:val="20"/>
          <w:color w:val="auto"/>
        </w:rPr>
      </w:pPr>
    </w:p>
    <w:p>
      <w:pPr>
        <w:jc w:val="both"/>
        <w:ind w:firstLine="1019"/>
        <w:spacing w:after="0" w:line="244" w:lineRule="auto"/>
        <w:rPr>
          <w:sz w:val="20"/>
          <w:szCs w:val="20"/>
          <w:color w:val="auto"/>
        </w:rPr>
      </w:pPr>
      <w:r>
        <w:rPr>
          <w:rFonts w:ascii="Times New Roman" w:cs="Times New Roman" w:eastAsia="Times New Roman" w:hAnsi="Times New Roman"/>
          <w:sz w:val="14"/>
          <w:szCs w:val="14"/>
          <w:color w:val="auto"/>
        </w:rPr>
        <w:t xml:space="preserve">13.5 </w:t>
      </w:r>
      <w:r>
        <w:rPr>
          <w:rFonts w:ascii="Times New Roman" w:cs="Times New Roman" w:eastAsia="Times New Roman" w:hAnsi="Times New Roman"/>
          <w:sz w:val="14"/>
          <w:szCs w:val="14"/>
          <w:b w:val="1"/>
          <w:bCs w:val="1"/>
          <w:color w:val="auto"/>
        </w:rPr>
        <w:t>Delivery of Documents and Notices.</w:t>
      </w:r>
      <w:r>
        <w:rPr>
          <w:rFonts w:ascii="Times New Roman" w:cs="Times New Roman" w:eastAsia="Times New Roman" w:hAnsi="Times New Roman"/>
          <w:sz w:val="14"/>
          <w:szCs w:val="14"/>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w:t>
      </w:r>
    </w:p>
    <w:p>
      <w:pPr>
        <w:spacing w:after="0" w:line="208" w:lineRule="auto"/>
        <w:rPr>
          <w:sz w:val="20"/>
          <w:szCs w:val="20"/>
          <w:color w:val="auto"/>
        </w:rPr>
      </w:pPr>
      <w:r>
        <w:rPr>
          <w:rFonts w:ascii="Times New Roman" w:cs="Times New Roman" w:eastAsia="Times New Roman" w:hAnsi="Times New Roman"/>
          <w:sz w:val="16"/>
          <w:szCs w:val="16"/>
          <w:color w:val="auto"/>
        </w:rPr>
        <w:t>electronic delivery at the e-mail address, if any, provided for the Participant by a Participating Company, or upon deposit in the U.S. Post Office or foreign postal service, by</w:t>
      </w:r>
    </w:p>
    <w:p>
      <w:pPr>
        <w:spacing w:after="0" w:line="217" w:lineRule="auto"/>
        <w:rPr>
          <w:sz w:val="20"/>
          <w:szCs w:val="20"/>
          <w:color w:val="auto"/>
        </w:rPr>
      </w:pPr>
      <w:r>
        <w:rPr>
          <w:rFonts w:ascii="Times New Roman" w:cs="Times New Roman" w:eastAsia="Times New Roman" w:hAnsi="Times New Roman"/>
          <w:sz w:val="16"/>
          <w:szCs w:val="16"/>
          <w:color w:val="auto"/>
        </w:rPr>
        <w:t>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25" w:lineRule="exact"/>
        <w:rPr>
          <w:sz w:val="20"/>
          <w:szCs w:val="20"/>
          <w:color w:val="auto"/>
        </w:rPr>
      </w:pPr>
    </w:p>
    <w:p>
      <w:pPr>
        <w:jc w:val="both"/>
        <w:ind w:firstLine="1533"/>
        <w:spacing w:after="0" w:line="212" w:lineRule="auto"/>
        <w:tabs>
          <w:tab w:leader="none" w:pos="202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Description of Electronic Delivery. </w:t>
      </w:r>
      <w:r>
        <w:rPr>
          <w:rFonts w:ascii="Times New Roman" w:cs="Times New Roman" w:eastAsia="Times New Roman" w:hAnsi="Times New Roman"/>
          <w:sz w:val="16"/>
          <w:szCs w:val="16"/>
          <w:color w:val="auto"/>
        </w:rPr>
        <w:t>The Plan documents, which may include but do not necessarily include: the Plan, the Grant Notice,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28" w:lineRule="exact"/>
        <w:rPr>
          <w:rFonts w:ascii="Times New Roman" w:cs="Times New Roman" w:eastAsia="Times New Roman" w:hAnsi="Times New Roman"/>
          <w:sz w:val="16"/>
          <w:szCs w:val="16"/>
          <w:color w:val="auto"/>
        </w:rPr>
      </w:pPr>
    </w:p>
    <w:p>
      <w:pPr>
        <w:jc w:val="both"/>
        <w:ind w:firstLine="1533"/>
        <w:spacing w:after="0" w:line="218" w:lineRule="auto"/>
        <w:tabs>
          <w:tab w:leader="none" w:pos="2027"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Consent to Electronic Delivery. </w:t>
      </w:r>
      <w:r>
        <w:rPr>
          <w:rFonts w:ascii="Times New Roman" w:cs="Times New Roman" w:eastAsia="Times New Roman" w:hAnsi="Times New Roman"/>
          <w:sz w:val="16"/>
          <w:szCs w:val="16"/>
          <w:color w:val="auto"/>
        </w:rPr>
        <w:t>The Participant hereby consents to the electronic delivery of the Plan documents and the delivery of the Grant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Notice and notices in connection with the Escrow, as described in Section 13.5(a). The Participant may change the electronic mail address to which such documents are to be delivered (if Participant has provided an electronic mail address) at any time by notifying the Company of such revised e-mail address by telephone, postal service or electronic mail.</w:t>
      </w:r>
    </w:p>
    <w:p>
      <w:pPr>
        <w:spacing w:after="0" w:line="117"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6"/>
          <w:szCs w:val="16"/>
          <w:color w:val="auto"/>
        </w:rPr>
        <w:t xml:space="preserve">13.6 </w:t>
      </w:r>
      <w:r>
        <w:rPr>
          <w:rFonts w:ascii="Times New Roman" w:cs="Times New Roman" w:eastAsia="Times New Roman" w:hAnsi="Times New Roman"/>
          <w:sz w:val="16"/>
          <w:szCs w:val="16"/>
          <w:b w:val="1"/>
          <w:bCs w:val="1"/>
          <w:color w:val="auto"/>
        </w:rPr>
        <w:t>Integrated Agreement.</w:t>
      </w:r>
      <w:r>
        <w:rPr>
          <w:rFonts w:ascii="Times New Roman" w:cs="Times New Roman" w:eastAsia="Times New Roman" w:hAnsi="Times New Roman"/>
          <w:sz w:val="16"/>
          <w:szCs w:val="16"/>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w:t>
      </w:r>
    </w:p>
    <w:p>
      <w:pPr>
        <w:spacing w:after="0"/>
        <w:rPr>
          <w:sz w:val="20"/>
          <w:szCs w:val="20"/>
          <w:color w:val="auto"/>
        </w:rPr>
      </w:pPr>
      <w:r>
        <w:rPr>
          <w:rFonts w:ascii="Times New Roman" w:cs="Times New Roman" w:eastAsia="Times New Roman" w:hAnsi="Times New Roman"/>
          <w:sz w:val="16"/>
          <w:szCs w:val="16"/>
          <w:color w:val="auto"/>
        </w:rPr>
        <w:t>effect.</w:t>
      </w:r>
    </w:p>
    <w:p>
      <w:pPr>
        <w:spacing w:after="0" w:line="125" w:lineRule="exact"/>
        <w:rPr>
          <w:sz w:val="20"/>
          <w:szCs w:val="20"/>
          <w:color w:val="auto"/>
        </w:rPr>
      </w:pPr>
    </w:p>
    <w:p>
      <w:pPr>
        <w:ind w:firstLine="1019"/>
        <w:spacing w:after="0" w:line="213" w:lineRule="auto"/>
        <w:rPr>
          <w:sz w:val="20"/>
          <w:szCs w:val="20"/>
          <w:color w:val="auto"/>
        </w:rPr>
      </w:pPr>
      <w:r>
        <w:rPr>
          <w:rFonts w:ascii="Times New Roman" w:cs="Times New Roman" w:eastAsia="Times New Roman" w:hAnsi="Times New Roman"/>
          <w:sz w:val="16"/>
          <w:szCs w:val="16"/>
          <w:color w:val="auto"/>
        </w:rPr>
        <w:t xml:space="preserve">13.7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xml:space="preserve"> This Agreement and the performance hereof shall be construed and governed in accordance with the laws of the State of New Jersey without giving effect to its conflicts or choice of law principles. Any and all legal claims and disputes arising out of or relating to this Award Agreement shall be litigated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exclusively in the state or federal courts located in the State of New Jersey.</w:t>
      </w:r>
    </w:p>
    <w:p>
      <w:pPr>
        <w:spacing w:after="0" w:line="125" w:lineRule="exact"/>
        <w:rPr>
          <w:sz w:val="20"/>
          <w:szCs w:val="20"/>
          <w:color w:val="auto"/>
        </w:rPr>
      </w:pPr>
    </w:p>
    <w:p>
      <w:pPr>
        <w:ind w:firstLine="1019"/>
        <w:spacing w:after="0" w:line="230" w:lineRule="auto"/>
        <w:rPr>
          <w:sz w:val="20"/>
          <w:szCs w:val="20"/>
          <w:color w:val="auto"/>
        </w:rPr>
      </w:pPr>
      <w:r>
        <w:rPr>
          <w:rFonts w:ascii="Times New Roman" w:cs="Times New Roman" w:eastAsia="Times New Roman" w:hAnsi="Times New Roman"/>
          <w:sz w:val="16"/>
          <w:szCs w:val="16"/>
          <w:color w:val="auto"/>
        </w:rPr>
        <w:t xml:space="preserve">13.8 </w:t>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7" w:right="31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DM3\9689859.2</w:t>
      </w:r>
    </w:p>
    <w:p>
      <w:pPr>
        <w:sectPr>
          <w:pgSz w:w="11900" w:h="16838" w:orient="portrait"/>
          <w:cols w:equalWidth="0" w:num="1">
            <w:col w:w="10159"/>
          </w:cols>
          <w:pgMar w:left="300" w:top="1440" w:right="1440"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STOCK OPTION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(STANDARD FORM)</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Anterix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that number of shares of the Company’s common stock set forth below (the “</w:t>
      </w: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on the following terms and conditions. All capitalization terms used herein that are not defined herein shall have the meaning ascribed to such term in the Plan, except as provided in a Superseding Agreement.</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1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7"/>
              </w:rPr>
              <w:t>____________</w:t>
            </w:r>
          </w:p>
        </w:tc>
        <w:tc>
          <w:tcPr>
            <w:tcW w:w="230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Award No.:</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_______</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10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________</w:t>
            </w:r>
          </w:p>
        </w:tc>
        <w:tc>
          <w:tcPr>
            <w:tcW w:w="2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Number of Option Shares:</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620" w:type="dxa"/>
            <w:vAlign w:val="bottom"/>
            <w:vMerge w:val="continue"/>
          </w:tcPr>
          <w:p>
            <w:pPr>
              <w:spacing w:after="0"/>
              <w:rPr>
                <w:sz w:val="24"/>
                <w:szCs w:val="24"/>
                <w:color w:val="auto"/>
              </w:rPr>
            </w:pPr>
          </w:p>
        </w:tc>
        <w:tc>
          <w:tcPr>
            <w:tcW w:w="69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_______, subject to adjustment as provided by the Stock Option Agreement.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$____</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Start Date:</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7"/>
              </w:rPr>
              <w:t>______</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Option Expiration Date:</w:t>
            </w:r>
          </w:p>
        </w:tc>
        <w:tc>
          <w:tcPr>
            <w:tcW w:w="33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tenth anniversary of the Date of Grant.</w:t>
            </w:r>
          </w:p>
        </w:tc>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Tax Status of Option:</w:t>
            </w:r>
          </w:p>
        </w:tc>
        <w:tc>
          <w:tcPr>
            <w:tcW w:w="85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___________ Stock Option. (Enter “</w:t>
            </w:r>
            <w:r>
              <w:rPr>
                <w:rFonts w:ascii="Times New Roman" w:cs="Times New Roman" w:eastAsia="Times New Roman" w:hAnsi="Times New Roman"/>
                <w:sz w:val="17"/>
                <w:szCs w:val="17"/>
                <w:b w:val="1"/>
                <w:bCs w:val="1"/>
                <w:i w:val="1"/>
                <w:iCs w:val="1"/>
                <w:color w:val="auto"/>
              </w:rPr>
              <w:t>Incentive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Nonstatutory</w:t>
            </w:r>
            <w:r>
              <w:rPr>
                <w:rFonts w:ascii="Times New Roman" w:cs="Times New Roman" w:eastAsia="Times New Roman" w:hAnsi="Times New Roman"/>
                <w:sz w:val="17"/>
                <w:szCs w:val="17"/>
                <w:color w:val="auto"/>
              </w:rPr>
              <w:t>.” If blank, this Option will be a Nonstatutory Stock</w:t>
            </w: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Option.)</w:t>
            </w:r>
          </w:p>
        </w:tc>
        <w:tc>
          <w:tcPr>
            <w:tcW w:w="3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Condition:</w:t>
            </w:r>
          </w:p>
        </w:tc>
        <w:tc>
          <w:tcPr>
            <w:tcW w:w="85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Except as otherwise specified below or in the Stock Option Agreement [VEST SCHEDULE] (the “</w:t>
            </w:r>
            <w:r>
              <w:rPr>
                <w:rFonts w:ascii="Times New Roman" w:cs="Times New Roman" w:eastAsia="Times New Roman" w:hAnsi="Times New Roman"/>
                <w:sz w:val="17"/>
                <w:szCs w:val="17"/>
                <w:b w:val="1"/>
                <w:bCs w:val="1"/>
                <w:color w:val="auto"/>
              </w:rPr>
              <w:t>Initial Vesting Date</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85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and the remainder of the shares will vest in two-equal annual installments on each of the next two anniversaries thereafter, so</w:t>
            </w:r>
          </w:p>
        </w:tc>
        <w:tc>
          <w:tcPr>
            <w:tcW w:w="0" w:type="dxa"/>
            <w:vAlign w:val="bottom"/>
          </w:tcPr>
          <w:p>
            <w:pPr>
              <w:spacing w:after="0"/>
              <w:rPr>
                <w:sz w:val="1"/>
                <w:szCs w:val="1"/>
                <w:color w:val="auto"/>
              </w:rPr>
            </w:pPr>
          </w:p>
        </w:tc>
      </w:tr>
    </w:tbl>
    <w:p>
      <w:pPr>
        <w:ind w:left="2680" w:right="60"/>
        <w:spacing w:after="0" w:line="254" w:lineRule="auto"/>
        <w:rPr>
          <w:sz w:val="20"/>
          <w:szCs w:val="20"/>
          <w:color w:val="auto"/>
        </w:rPr>
      </w:pPr>
      <w:r>
        <w:rPr>
          <w:rFonts w:ascii="Times New Roman" w:cs="Times New Roman" w:eastAsia="Times New Roman" w:hAnsi="Times New Roman"/>
          <w:sz w:val="17"/>
          <w:szCs w:val="17"/>
          <w:color w:val="auto"/>
        </w:rPr>
        <w:t>long as Participant’s Service (as defined in the Stock Option Agreement) is continuous from the Date of Grant through the applicable vesting date.</w:t>
      </w:r>
    </w:p>
    <w:p>
      <w:pPr>
        <w:spacing w:after="0" w:line="63" w:lineRule="exact"/>
        <w:rPr>
          <w:sz w:val="20"/>
          <w:szCs w:val="20"/>
          <w:color w:val="auto"/>
        </w:rPr>
      </w:pPr>
    </w:p>
    <w:p>
      <w:pPr>
        <w:jc w:val="both"/>
        <w:ind w:left="2680" w:right="60" w:hanging="2630"/>
        <w:spacing w:after="0" w:line="262" w:lineRule="auto"/>
        <w:tabs>
          <w:tab w:leader="none" w:pos="2660" w:val="left"/>
        </w:tabs>
        <w:rPr>
          <w:sz w:val="20"/>
          <w:szCs w:val="20"/>
          <w:color w:val="auto"/>
        </w:rPr>
      </w:pPr>
      <w:r>
        <w:rPr>
          <w:rFonts w:ascii="Times New Roman" w:cs="Times New Roman" w:eastAsia="Times New Roman" w:hAnsi="Times New Roman"/>
          <w:sz w:val="17"/>
          <w:szCs w:val="17"/>
          <w:b w:val="1"/>
          <w:bCs w:val="1"/>
          <w:color w:val="auto"/>
        </w:rPr>
        <w:t>Superseding Agreement:</w:t>
      </w:r>
      <w:r>
        <w:rPr>
          <w:sz w:val="20"/>
          <w:szCs w:val="20"/>
          <w:color w:val="auto"/>
        </w:rPr>
        <w:tab/>
      </w:r>
      <w:r>
        <w:rPr>
          <w:rFonts w:ascii="Times New Roman" w:cs="Times New Roman" w:eastAsia="Times New Roman" w:hAnsi="Times New Roman"/>
          <w:sz w:val="17"/>
          <w:szCs w:val="17"/>
          <w:color w:val="auto"/>
        </w:rPr>
        <w:t>The Company and Participant may enter into a Superseding Agreement that provides that the terms and conditions set forth in such Superseding Agreement supersede and replace the terms set forth in this Notice of Grant, the accompanying Stock Option Agreement and the Plan.</w:t>
      </w: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Option is governed by this Notice of Grant and by the provisions of the Stock Option Agreement and the Plan, both of which are made a part of this document, and by the Superseding Agreement, if any. The Participant acknowledges that copies of the Plan, the Stock Option Agreement and the prospectus for the Plan are available on the Company’s internal web site and may be viewed and printed by the Participant for attachment to the Participant’s copy of this Notice of Grant. The Participant represents that the Participant has read and is familiar with the provisions of the Stock Option</w:t>
      </w:r>
    </w:p>
    <w:p>
      <w:pPr>
        <w:sectPr>
          <w:pgSz w:w="11900" w:h="16838" w:orient="portrait"/>
          <w:cols w:equalWidth="0" w:num="1">
            <w:col w:w="11280"/>
          </w:cols>
          <w:pgMar w:left="300" w:top="1136"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t>Agreement and the Plan, and hereby accepts the Option subject to all of their terms and conditions.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260" w:type="dxa"/>
            <w:vAlign w:val="bottom"/>
          </w:tcPr>
          <w:p>
            <w:pPr>
              <w:spacing w:after="0"/>
              <w:rPr>
                <w:sz w:val="19"/>
                <w:szCs w:val="19"/>
                <w:color w:val="auto"/>
              </w:rPr>
            </w:pP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17"/>
        </w:trPr>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r>
      <w:tr>
        <w:trPr>
          <w:trHeight w:val="263"/>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Name: Elena Marquez</w:t>
            </w: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Signature</w:t>
            </w:r>
          </w:p>
        </w:tc>
      </w:tr>
      <w:tr>
        <w:trPr>
          <w:trHeight w:val="205"/>
        </w:trPr>
        <w:tc>
          <w:tcPr>
            <w:tcW w:w="4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Title: Chief Financial Officer</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Date</w:t>
            </w:r>
          </w:p>
        </w:tc>
      </w:tr>
      <w:tr>
        <w:trPr>
          <w:trHeight w:val="20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Garret Mountain</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Suite 401</w:t>
            </w:r>
          </w:p>
        </w:tc>
        <w:tc>
          <w:tcPr>
            <w:tcW w:w="46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Address</w:t>
            </w:r>
          </w:p>
        </w:tc>
      </w:tr>
      <w:tr>
        <w:trPr>
          <w:trHeight w:val="205"/>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Woodland Park, NJ 07424</w:t>
            </w:r>
          </w:p>
        </w:tc>
        <w:tc>
          <w:tcPr>
            <w:tcW w:w="1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r>
      <w:tr>
        <w:trPr>
          <w:trHeight w:val="507"/>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ATTACHMENTS:</w:t>
            </w:r>
          </w:p>
        </w:tc>
        <w:tc>
          <w:tcPr>
            <w:tcW w:w="79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2023 Stock Plan, as amended to the Date of Grant; Stock Option Agreement; Exercise Notice; and Plan Prospectus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1148"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3"/>
          <w:szCs w:val="23"/>
          <w:b w:val="1"/>
          <w:bCs w:val="1"/>
          <w:color w:val="auto"/>
        </w:rPr>
        <w:t>ANTERIX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STOCK OPTION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6"/>
          <w:szCs w:val="16"/>
          <w:b w:val="1"/>
          <w:bCs w:val="1"/>
          <w:color w:val="auto"/>
        </w:rPr>
        <w:t>STANDARD FORM)</w:t>
      </w:r>
    </w:p>
    <w:p>
      <w:pPr>
        <w:spacing w:after="0" w:line="1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Stock Option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to which this Stock Option Agreement (the “</w:t>
      </w:r>
      <w:r>
        <w:rPr>
          <w:rFonts w:ascii="Times New Roman" w:cs="Times New Roman" w:eastAsia="Times New Roman" w:hAnsi="Times New Roman"/>
          <w:sz w:val="17"/>
          <w:szCs w:val="17"/>
          <w:b w:val="1"/>
          <w:bCs w:val="1"/>
          <w:i w:val="1"/>
          <w:iCs w:val="1"/>
          <w:color w:val="auto"/>
        </w:rPr>
        <w:t>Option Agreement</w:t>
      </w:r>
      <w:r>
        <w:rPr>
          <w:rFonts w:ascii="Times New Roman" w:cs="Times New Roman" w:eastAsia="Times New Roman" w:hAnsi="Times New Roman"/>
          <w:sz w:val="17"/>
          <w:szCs w:val="17"/>
          <w:color w:val="auto"/>
        </w:rPr>
        <w:t>”) is attached an option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certain shares of the Company’s common stock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upon the terms and conditions set forth in the Notice of Grant and this Option Agreement. The Option has been granted pursuant to and shall in all respects be subject to the terms and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Option Agreement, the Plan and a prospectus for the Plan prepared in connection with the registration with the Securities and Exchange Commission of shares issuable pursuant to the Option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Option subject to all of the terms and conditions of the Notice of Grant, this Option Agreement and the Plan and (c) agrees to accept as binding, conclusive and final all decisions or interpretations of the Compensation Committee of the Board of Directors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upon any questions arising under the Notice of Grant, this Option Agreement or the Plan.</w:t>
      </w:r>
    </w:p>
    <w:p>
      <w:pPr>
        <w:spacing w:after="0" w:line="119" w:lineRule="exact"/>
        <w:rPr>
          <w:sz w:val="20"/>
          <w:szCs w:val="20"/>
          <w:color w:val="auto"/>
        </w:rPr>
      </w:pPr>
    </w:p>
    <w:p>
      <w:pPr>
        <w:ind w:left="1020" w:hanging="506"/>
        <w:spacing w:after="0"/>
        <w:tabs>
          <w:tab w:leader="none" w:pos="10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(including any Superseding Agreement) or the Plan.</w:t>
      </w:r>
    </w:p>
    <w:p>
      <w:pPr>
        <w:spacing w:after="0" w:line="115"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Consequences</w:t>
      </w:r>
      <w:r>
        <w:rPr>
          <w:rFonts w:ascii="Times New Roman" w:cs="Times New Roman" w:eastAsia="Times New Roman" w:hAnsi="Times New Roman"/>
          <w:sz w:val="17"/>
          <w:szCs w:val="17"/>
          <w:b w:val="1"/>
          <w:bCs w:val="1"/>
          <w:color w:val="auto"/>
        </w:rPr>
        <w:t>.</w:t>
      </w:r>
    </w:p>
    <w:p>
      <w:pPr>
        <w:spacing w:after="0" w:line="144"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b w:val="1"/>
          <w:bCs w:val="1"/>
          <w:color w:val="auto"/>
        </w:rPr>
        <w:t>Tax Status of Option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This Option is intended to have the tax status designated in the Notice of Grant.</w:t>
      </w:r>
    </w:p>
    <w:p>
      <w:pPr>
        <w:spacing w:after="0" w:line="144" w:lineRule="exact"/>
        <w:rPr>
          <w:rFonts w:ascii="Times New Roman" w:cs="Times New Roman" w:eastAsia="Times New Roman" w:hAnsi="Times New Roman"/>
          <w:sz w:val="17"/>
          <w:szCs w:val="17"/>
          <w:color w:val="auto"/>
        </w:rPr>
      </w:pPr>
    </w:p>
    <w:p>
      <w:pPr>
        <w:jc w:val="both"/>
        <w:ind w:firstLine="1533"/>
        <w:spacing w:after="0" w:line="219" w:lineRule="auto"/>
        <w:tabs>
          <w:tab w:leader="none" w:pos="2035"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Notice of Grant so designates, this Option is intended to be an Incentive Stock Option within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meaning of 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w:t>
      </w:r>
    </w:p>
    <w:p>
      <w:pPr>
        <w:sectPr>
          <w:pgSz w:w="11900" w:h="16838" w:orient="portrait"/>
          <w:cols w:equalWidth="0" w:num="1">
            <w:col w:w="11280"/>
          </w:cols>
          <w:pgMar w:left="300" w:top="1128" w:right="319" w:bottom="1440" w:gutter="0" w:footer="0" w:header="0"/>
        </w:sectPr>
      </w:pPr>
    </w:p>
    <w:bookmarkStart w:id="141" w:name="page142"/>
    <w:bookmarkEnd w:id="141"/>
    <w:p>
      <w:pPr>
        <w:ind w:firstLine="1533"/>
        <w:spacing w:after="0" w:line="242" w:lineRule="auto"/>
        <w:tabs>
          <w:tab w:leader="none" w:pos="2034"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Nonstatutory Stock Option. </w:t>
      </w:r>
      <w:r>
        <w:rPr>
          <w:rFonts w:ascii="Times New Roman" w:cs="Times New Roman" w:eastAsia="Times New Roman" w:hAnsi="Times New Roman"/>
          <w:sz w:val="17"/>
          <w:szCs w:val="17"/>
          <w:color w:val="auto"/>
        </w:rPr>
        <w:t>If the Notice of Grant so designates, this Option is intended to be a Nonstatutory Stock Option and shall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be treated as an Incentive Stock Option within the meaning of Section 422(b) of the Code.</w:t>
      </w:r>
    </w:p>
    <w:p>
      <w:pPr>
        <w:spacing w:after="0" w:line="115" w:lineRule="exact"/>
        <w:rPr>
          <w:sz w:val="20"/>
          <w:szCs w:val="20"/>
          <w:color w:val="auto"/>
        </w:rPr>
      </w:pPr>
    </w:p>
    <w:p>
      <w:pPr>
        <w:jc w:val="both"/>
        <w:ind w:firstLine="1019"/>
        <w:spacing w:after="0" w:line="21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b w:val="1"/>
          <w:bCs w:val="1"/>
          <w:color w:val="auto"/>
        </w:rPr>
        <w:t>ISO Fair Market Value Limitation.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21" w:lineRule="exact"/>
        <w:rPr>
          <w:sz w:val="20"/>
          <w:szCs w:val="20"/>
          <w:color w:val="auto"/>
        </w:rPr>
      </w:pPr>
    </w:p>
    <w:p>
      <w:pPr>
        <w:ind w:left="1020" w:hanging="506"/>
        <w:spacing w:after="0"/>
        <w:tabs>
          <w:tab w:leader="none" w:pos="10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18" w:lineRule="exact"/>
        <w:rPr>
          <w:sz w:val="20"/>
          <w:szCs w:val="20"/>
          <w:color w:val="auto"/>
        </w:rPr>
      </w:pPr>
    </w:p>
    <w:p>
      <w:pPr>
        <w:ind w:left="1020" w:hanging="506"/>
        <w:spacing w:after="0"/>
        <w:tabs>
          <w:tab w:leader="none" w:pos="10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 of the Option</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Right to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3" w:right="319" w:bottom="1440" w:gutter="0" w:footer="0" w:header="0"/>
        </w:sectPr>
      </w:pPr>
    </w:p>
    <w:bookmarkStart w:id="142" w:name="page143"/>
    <w:bookmarkEnd w:id="142"/>
    <w:p>
      <w:pPr>
        <w:jc w:val="both"/>
        <w:ind w:firstLine="1019"/>
        <w:spacing w:after="0" w:line="214"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Method of Exercise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Exercise of the Option shall be by means of electronic or written notice (the “</w:t>
      </w:r>
      <w:r>
        <w:rPr>
          <w:rFonts w:ascii="Times New Roman" w:cs="Times New Roman" w:eastAsia="Times New Roman" w:hAnsi="Times New Roman"/>
          <w:sz w:val="17"/>
          <w:szCs w:val="17"/>
          <w:b w:val="1"/>
          <w:bCs w:val="1"/>
          <w:i w:val="1"/>
          <w:iCs w:val="1"/>
          <w:color w:val="auto"/>
        </w:rPr>
        <w:t>Exercise Notice</w:t>
      </w:r>
      <w:r>
        <w:rPr>
          <w:rFonts w:ascii="Times New Roman" w:cs="Times New Roman" w:eastAsia="Times New Roman" w:hAnsi="Times New Roman"/>
          <w:sz w:val="17"/>
          <w:szCs w:val="17"/>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b w:val="1"/>
          <w:bCs w:val="1"/>
          <w:color w:val="auto"/>
        </w:rPr>
        <w:t>Payment of Exercise Price.</w:t>
      </w:r>
    </w:p>
    <w:p>
      <w:pPr>
        <w:spacing w:after="0" w:line="144" w:lineRule="exact"/>
        <w:rPr>
          <w:sz w:val="20"/>
          <w:szCs w:val="20"/>
          <w:color w:val="auto"/>
        </w:rPr>
      </w:pPr>
    </w:p>
    <w:p>
      <w:pPr>
        <w:jc w:val="both"/>
        <w:ind w:firstLine="1533"/>
        <w:spacing w:after="0" w:line="224" w:lineRule="auto"/>
        <w:tabs>
          <w:tab w:leader="none" w:pos="203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Forms of Consideration Authorized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provided below, payment of the aggregate Exercise Price for the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if permitted by the Committee, by any combination of the foregoing.</w:t>
      </w:r>
    </w:p>
    <w:p>
      <w:pPr>
        <w:spacing w:after="0" w:line="118" w:lineRule="exact"/>
        <w:rPr>
          <w:rFonts w:ascii="Times New Roman" w:cs="Times New Roman" w:eastAsia="Times New Roman" w:hAnsi="Times New Roman"/>
          <w:sz w:val="17"/>
          <w:szCs w:val="17"/>
          <w:color w:val="auto"/>
        </w:rPr>
      </w:pPr>
    </w:p>
    <w:p>
      <w:pPr>
        <w:jc w:val="both"/>
        <w:ind w:firstLine="1533"/>
        <w:spacing w:after="0" w:line="230" w:lineRule="auto"/>
        <w:tabs>
          <w:tab w:leader="none" w:pos="2034"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Limitations on Forms of Consideration. </w:t>
      </w:r>
      <w:r>
        <w:rPr>
          <w:rFonts w:ascii="Times New Roman" w:cs="Times New Roman" w:eastAsia="Times New Roman" w:hAnsi="Times New Roman"/>
          <w:sz w:val="17"/>
          <w:szCs w:val="17"/>
          <w:color w:val="auto"/>
        </w:rPr>
        <w:t>The Company reserves, at any and all times, the right, in its sole and absolute discretion,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17" w:lineRule="exact"/>
        <w:rPr>
          <w:rFonts w:ascii="Times New Roman" w:cs="Times New Roman" w:eastAsia="Times New Roman" w:hAnsi="Times New Roman"/>
          <w:sz w:val="17"/>
          <w:szCs w:val="17"/>
          <w:color w:val="auto"/>
        </w:rPr>
      </w:pPr>
    </w:p>
    <w:p>
      <w:pPr>
        <w:jc w:val="both"/>
        <w:ind w:firstLine="2042"/>
        <w:spacing w:after="0" w:line="224" w:lineRule="auto"/>
        <w:tabs>
          <w:tab w:leader="none" w:pos="253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Cashless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Cashless Exercise</w:t>
      </w:r>
      <w:r>
        <w:rPr>
          <w:rFonts w:ascii="Times New Roman" w:cs="Times New Roman" w:eastAsia="Times New Roman" w:hAnsi="Times New Roman"/>
          <w:sz w:val="17"/>
          <w:szCs w:val="17"/>
          <w:color w:val="auto"/>
        </w:rPr>
        <w:t>” means the delivery of a properly executed Exercise Notice together with irrevocable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18" w:lineRule="exact"/>
        <w:rPr>
          <w:rFonts w:ascii="Times New Roman" w:cs="Times New Roman" w:eastAsia="Times New Roman" w:hAnsi="Times New Roman"/>
          <w:sz w:val="17"/>
          <w:szCs w:val="17"/>
          <w:color w:val="auto"/>
        </w:rPr>
      </w:pPr>
    </w:p>
    <w:p>
      <w:pPr>
        <w:jc w:val="both"/>
        <w:ind w:firstLine="2042"/>
        <w:spacing w:after="0" w:line="219" w:lineRule="auto"/>
        <w:tabs>
          <w:tab w:leader="none" w:pos="2542"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Net-Exercise</w:t>
      </w:r>
      <w:r>
        <w:rPr>
          <w:rFonts w:ascii="Times New Roman" w:cs="Times New Roman" w:eastAsia="Times New Roman" w:hAnsi="Times New Roman"/>
          <w:sz w:val="17"/>
          <w:szCs w:val="17"/>
          <w:color w:val="auto"/>
        </w:rPr>
        <w:t>” means the delivery of a properly executed Exercise Notice electing a procedure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(1) 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3" w:right="319" w:bottom="1440" w:gutter="0" w:footer="0" w:header="0"/>
        </w:sectPr>
      </w:pPr>
    </w:p>
    <w:bookmarkStart w:id="143" w:name="page144"/>
    <w:bookmarkEnd w:id="143"/>
    <w:p>
      <w:pPr>
        <w:jc w:val="both"/>
        <w:ind w:firstLine="2042"/>
        <w:spacing w:after="0" w:line="216" w:lineRule="auto"/>
        <w:tabs>
          <w:tab w:leader="none" w:pos="254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Tender Exercise.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Stock Tender Exercise</w:t>
      </w:r>
      <w:r>
        <w:rPr>
          <w:rFonts w:ascii="Times New Roman" w:cs="Times New Roman" w:eastAsia="Times New Roman" w:hAnsi="Times New Roman"/>
          <w:sz w:val="17"/>
          <w:szCs w:val="17"/>
          <w:color w:val="auto"/>
        </w:rPr>
        <w:t>” means the delivery of a properly executed Exercise Notice accompanied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b w:val="1"/>
          <w:bCs w:val="1"/>
          <w:color w:val="auto"/>
        </w:rPr>
        <w:t>Tax Withholding</w:t>
      </w:r>
      <w:r>
        <w:rPr>
          <w:rFonts w:ascii="Times New Roman" w:cs="Times New Roman" w:eastAsia="Times New Roman" w:hAnsi="Times New Roman"/>
          <w:sz w:val="16"/>
          <w:szCs w:val="16"/>
          <w:b w:val="1"/>
          <w:bCs w:val="1"/>
          <w:i w:val="1"/>
          <w:iCs w:val="1"/>
          <w:color w:val="auto"/>
        </w:rPr>
        <w:t>.</w:t>
      </w:r>
    </w:p>
    <w:p>
      <w:pPr>
        <w:spacing w:after="0" w:line="144" w:lineRule="exact"/>
        <w:rPr>
          <w:sz w:val="20"/>
          <w:szCs w:val="20"/>
          <w:color w:val="auto"/>
        </w:rPr>
      </w:pPr>
    </w:p>
    <w:p>
      <w:pPr>
        <w:jc w:val="both"/>
        <w:ind w:firstLine="1533"/>
        <w:spacing w:after="0" w:line="221" w:lineRule="auto"/>
        <w:tabs>
          <w:tab w:leader="none" w:pos="203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 General. </w:t>
      </w:r>
      <w:r>
        <w:rPr>
          <w:rFonts w:ascii="Times New Roman" w:cs="Times New Roman" w:eastAsia="Times New Roman" w:hAnsi="Times New Roman"/>
          <w:sz w:val="17"/>
          <w:szCs w:val="17"/>
          <w:color w:val="auto"/>
        </w:rPr>
        <w:t>At the time the Option is exercised, in whole or in part, or at any time thereafter as requested by a Participating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Withholding in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shall have the right, but not the obligation, to require the Participant to satisfy all or any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color w:val="auto"/>
        </w:rPr>
        <w:t>Restrictions on Grant of the Option and Issuance of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w:t>
      </w:r>
    </w:p>
    <w:p>
      <w:pPr>
        <w:spacing w:after="0" w:line="2" w:lineRule="exact"/>
        <w:rPr>
          <w:sz w:val="20"/>
          <w:szCs w:val="20"/>
          <w:color w:val="auto"/>
        </w:rPr>
      </w:pPr>
    </w:p>
    <w:p>
      <w:pPr>
        <w:jc w:val="both"/>
        <w:ind w:firstLine="5"/>
        <w:spacing w:after="0" w:line="218" w:lineRule="auto"/>
        <w:tabs>
          <w:tab w:leader="none" w:pos="21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2" w:right="319" w:bottom="1440" w:gutter="0" w:footer="0" w:header="0"/>
        </w:sectPr>
      </w:pPr>
    </w:p>
    <w:bookmarkStart w:id="144" w:name="page145"/>
    <w:bookmarkEnd w:id="144"/>
    <w:p>
      <w:pPr>
        <w:jc w:val="both"/>
        <w:spacing w:after="0" w:line="218" w:lineRule="auto"/>
        <w:rPr>
          <w:sz w:val="20"/>
          <w:szCs w:val="20"/>
          <w:color w:val="auto"/>
        </w:rPr>
      </w:pPr>
      <w:r>
        <w:rPr>
          <w:rFonts w:ascii="Times New Roman" w:cs="Times New Roman" w:eastAsia="Times New Roman" w:hAnsi="Times New Roman"/>
          <w:sz w:val="17"/>
          <w:szCs w:val="17"/>
          <w:color w:val="auto"/>
        </w:rPr>
        <w:t>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1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exercise of the Option.</w:t>
      </w:r>
    </w:p>
    <w:p>
      <w:pPr>
        <w:spacing w:after="0" w:line="144" w:lineRule="exact"/>
        <w:rPr>
          <w:sz w:val="20"/>
          <w:szCs w:val="20"/>
          <w:color w:val="auto"/>
        </w:rPr>
      </w:pPr>
    </w:p>
    <w:p>
      <w:pPr>
        <w:ind w:left="1020" w:hanging="506"/>
        <w:spacing w:after="0"/>
        <w:tabs>
          <w:tab w:leader="none" w:pos="10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 of the Option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8" w:lineRule="auto"/>
        <w:rPr>
          <w:sz w:val="20"/>
          <w:szCs w:val="20"/>
          <w:color w:val="auto"/>
        </w:rPr>
      </w:pPr>
      <w:r>
        <w:rPr>
          <w:rFonts w:ascii="Times New Roman" w:cs="Times New Roman" w:eastAsia="Times New Roman" w:hAnsi="Times New Roman"/>
          <w:sz w:val="17"/>
          <w:szCs w:val="17"/>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21" w:lineRule="exact"/>
        <w:rPr>
          <w:sz w:val="20"/>
          <w:szCs w:val="20"/>
          <w:color w:val="auto"/>
        </w:rPr>
      </w:pPr>
    </w:p>
    <w:p>
      <w:pPr>
        <w:ind w:left="1020" w:hanging="506"/>
        <w:spacing w:after="0"/>
        <w:tabs>
          <w:tab w:leader="none" w:pos="10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of the Option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Except as provided in the Notice of Grant or a Superseding Agreement, 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120" w:lineRule="exact"/>
        <w:rPr>
          <w:sz w:val="20"/>
          <w:szCs w:val="20"/>
          <w:color w:val="auto"/>
        </w:rPr>
      </w:pPr>
    </w:p>
    <w:p>
      <w:pPr>
        <w:ind w:left="1020" w:hanging="506"/>
        <w:spacing w:after="0"/>
        <w:tabs>
          <w:tab w:leader="none" w:pos="10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Termination of Service</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Option Exercisability.</w:t>
      </w:r>
      <w:r>
        <w:rPr>
          <w:rFonts w:ascii="Times New Roman" w:cs="Times New Roman" w:eastAsia="Times New Roman" w:hAnsi="Times New Roman"/>
          <w:sz w:val="17"/>
          <w:szCs w:val="17"/>
          <w:color w:val="auto"/>
        </w:rPr>
        <w:t xml:space="preserve"> Except as provided in the Notice of Grant or a Superseding Agreement,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117" w:lineRule="exact"/>
        <w:rPr>
          <w:sz w:val="20"/>
          <w:szCs w:val="20"/>
          <w:color w:val="auto"/>
        </w:rPr>
      </w:pPr>
    </w:p>
    <w:p>
      <w:pPr>
        <w:jc w:val="both"/>
        <w:ind w:firstLine="1533"/>
        <w:spacing w:after="0" w:line="221" w:lineRule="auto"/>
        <w:tabs>
          <w:tab w:leader="none" w:pos="203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provided in the Notice of Grant or a Superseding Agreement, if the Participant’s Service terminates because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(provided that Participant may elect a shorter exercise period in order to maintain the Option’s ISO status), but in any event no later than the Option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27" w:right="319" w:bottom="1440" w:gutter="0" w:footer="0" w:header="0"/>
        </w:sectPr>
      </w:pPr>
    </w:p>
    <w:bookmarkStart w:id="145" w:name="page146"/>
    <w:bookmarkEnd w:id="145"/>
    <w:p>
      <w:pPr>
        <w:jc w:val="both"/>
        <w:ind w:firstLine="1533"/>
        <w:spacing w:after="0" w:line="224" w:lineRule="auto"/>
        <w:tabs>
          <w:tab w:leader="none" w:pos="2034"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Death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provided in the Notice of Grant or a Superseding Agreement, if the Participant’s Service terminates because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w:t>
      </w:r>
    </w:p>
    <w:p>
      <w:pPr>
        <w:spacing w:after="0" w:line="118" w:lineRule="exact"/>
        <w:rPr>
          <w:rFonts w:ascii="Times New Roman" w:cs="Times New Roman" w:eastAsia="Times New Roman" w:hAnsi="Times New Roman"/>
          <w:sz w:val="17"/>
          <w:szCs w:val="17"/>
          <w:color w:val="auto"/>
        </w:rPr>
      </w:pPr>
    </w:p>
    <w:p>
      <w:pPr>
        <w:ind w:right="20" w:firstLine="1533"/>
        <w:spacing w:after="0" w:line="224" w:lineRule="auto"/>
        <w:tabs>
          <w:tab w:leader="none" w:pos="20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Termination for Cause. </w:t>
      </w:r>
      <w:r>
        <w:rPr>
          <w:rFonts w:ascii="Times New Roman" w:cs="Times New Roman" w:eastAsia="Times New Roman" w:hAnsi="Times New Roman"/>
          <w:sz w:val="17"/>
          <w:szCs w:val="17"/>
          <w:color w:val="auto"/>
        </w:rPr>
        <w:t>Except as provided in the Notice of Grant or a Superseding Agreement, notwithstanding any other provision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Option Agreement to the contrary, if the Participant’s Service is terminated for Cause, the Participant may exercise those Vested Shares as of the date Participant’s Service is terminated for Cause at any time prior to the expiration of three (3) months after the date on which the Participant’s Service terminated for Cause, but in any event no later than the Option Expiration Date.</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Other Termination of Service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Participant’s Service terminates for any reason not covered by Sections 3(a), 3(b) or 3(c),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 to the extent unexercised and exercisable for Vested Shares by the Participant on the date on which the Participant’s Service terminated, may be exercised by the Participant at any time prior to the expiration of ninety (90) days after the date on which the Participant’s Service terminated, but in any event no later than the Option Expiration Date.</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Extension if Exercise Prevented by Law</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Notwithstanding the foregoing, other than termination of the Participant’s Service for Cause, if the exercise of the Option within the applicable time periods set forth in Section 7.1 is prevented by (a) the provisions of Section 4.6 or other applicable law or (b) the Company’s Insider Trading Policy,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19" w:lineRule="exact"/>
        <w:rPr>
          <w:sz w:val="20"/>
          <w:szCs w:val="20"/>
          <w:color w:val="auto"/>
        </w:rPr>
      </w:pPr>
    </w:p>
    <w:p>
      <w:pPr>
        <w:ind w:left="1020" w:hanging="506"/>
        <w:spacing w:after="0"/>
        <w:tabs>
          <w:tab w:leader="none" w:pos="10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3"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or any Superseding Agreement, in the event of a Change in Control, except to the extent that the Committee determines to cash out the Option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Option or substitute for all or any portion of the Option a substantially equivalent option for the Acquiror’s stock. For purposes of this Section, the Option or any portion thereof shall be deemed assumed if, following the Change in Control, the Option confers the right to receive, subject to the terms and conditions of the Plan and this Option Agreement, for each share of Stock subject to such portion of the Option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of the Option, for each share of Stock subject to the Option, to consist solely of common stock of the Acquiror equal in Fair Market Value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23" w:right="319" w:bottom="1440" w:gutter="0" w:footer="0" w:header="0"/>
        </w:sectPr>
      </w:pPr>
    </w:p>
    <w:bookmarkStart w:id="146" w:name="page147"/>
    <w:bookmarkEnd w:id="146"/>
    <w:p>
      <w:pPr>
        <w:jc w:val="both"/>
        <w:spacing w:after="0" w:line="262" w:lineRule="auto"/>
        <w:rPr>
          <w:sz w:val="20"/>
          <w:szCs w:val="20"/>
          <w:color w:val="auto"/>
        </w:rPr>
      </w:pPr>
      <w:r>
        <w:rPr>
          <w:rFonts w:ascii="Times New Roman" w:cs="Times New Roman" w:eastAsia="Times New Roman" w:hAnsi="Times New Roman"/>
          <w:sz w:val="17"/>
          <w:szCs w:val="17"/>
          <w:color w:val="auto"/>
        </w:rPr>
        <w:t>per share consideration received by holders of Stock pursuant to the Change in Control. The Option shall terminate and cease to be outstanding effective as of the time of consummation of the Change in Control to the extent that the Option is neither assumed or continued by the Acquiror in connection with the Change in Control nor exercised as of the time of the Change in Control.</w:t>
      </w:r>
    </w:p>
    <w:p>
      <w:pPr>
        <w:spacing w:after="0" w:line="120" w:lineRule="exact"/>
        <w:rPr>
          <w:sz w:val="20"/>
          <w:szCs w:val="20"/>
          <w:color w:val="auto"/>
        </w:rPr>
      </w:pPr>
    </w:p>
    <w:p>
      <w:pPr>
        <w:ind w:left="1020" w:hanging="506"/>
        <w:spacing w:after="0"/>
        <w:tabs>
          <w:tab w:leader="none" w:pos="10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The Committee in its sole discretion, may also make such adjustments in the terms of the Option to reflect, or related to, such changes in the capital structure of the Company or distributions as it deems appropriate. All adjustments pursuant to this Section shall be determined by the Committee, and its determination shall be final, binding and conclusive.</w:t>
      </w:r>
    </w:p>
    <w:p>
      <w:pPr>
        <w:spacing w:after="0" w:line="122" w:lineRule="exact"/>
        <w:rPr>
          <w:sz w:val="20"/>
          <w:szCs w:val="20"/>
          <w:color w:val="auto"/>
        </w:rPr>
      </w:pPr>
    </w:p>
    <w:p>
      <w:pPr>
        <w:ind w:left="1020" w:hanging="506"/>
        <w:spacing w:after="0"/>
        <w:tabs>
          <w:tab w:leader="none" w:pos="102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48" w:right="319" w:bottom="1440" w:gutter="0" w:footer="0" w:header="0"/>
        </w:sectPr>
      </w:pPr>
    </w:p>
    <w:bookmarkStart w:id="147" w:name="page148"/>
    <w:bookmarkEnd w:id="147"/>
    <w:p>
      <w:pPr>
        <w:ind w:left="1020" w:hanging="506"/>
        <w:spacing w:after="0"/>
        <w:tabs>
          <w:tab w:leader="none" w:pos="10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 of Sales Upon Disqualifying Disposition</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1019"/>
        <w:spacing w:after="0" w:line="243" w:lineRule="auto"/>
        <w:rPr>
          <w:sz w:val="20"/>
          <w:szCs w:val="20"/>
          <w:color w:val="auto"/>
        </w:rPr>
      </w:pPr>
      <w:r>
        <w:rPr>
          <w:rFonts w:ascii="Times New Roman" w:cs="Times New Roman" w:eastAsia="Times New Roman" w:hAnsi="Times New Roman"/>
          <w:sz w:val="17"/>
          <w:szCs w:val="17"/>
          <w:color w:val="auto"/>
        </w:rPr>
        <w:t xml:space="preserve">The Participant shall dispose of the shares acquired pursuant to the Option only in accordance with the provisions of this Option Agreement. In addition, </w:t>
      </w:r>
      <w:r>
        <w:rPr>
          <w:rFonts w:ascii="Times New Roman" w:cs="Times New Roman" w:eastAsia="Times New Roman" w:hAnsi="Times New Roman"/>
          <w:sz w:val="17"/>
          <w:szCs w:val="17"/>
          <w:i w:val="1"/>
          <w:iCs w:val="1"/>
          <w:color w:val="auto"/>
        </w:rPr>
        <w:t>if the Notice of Grant designates this Option as an Incentive Stock Option</w:t>
      </w:r>
      <w:r>
        <w:rPr>
          <w:rFonts w:ascii="Times New Roman" w:cs="Times New Roman" w:eastAsia="Times New Roman" w:hAnsi="Times New Roman"/>
          <w:sz w:val="17"/>
          <w:szCs w:val="17"/>
          <w:color w:val="auto"/>
        </w:rPr>
        <w:t>, the Participant shall (a) promptly notify the Chief Financial Officer of the Company if the Participant disposes of any of the shares 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spacing w:after="0" w:line="128" w:lineRule="exact"/>
        <w:rPr>
          <w:sz w:val="20"/>
          <w:szCs w:val="20"/>
          <w:color w:val="auto"/>
        </w:rPr>
      </w:pPr>
    </w:p>
    <w:p>
      <w:pPr>
        <w:ind w:left="1020" w:hanging="506"/>
        <w:spacing w:after="0"/>
        <w:tabs>
          <w:tab w:leader="none" w:pos="10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49" w:lineRule="exact"/>
        <w:rPr>
          <w:sz w:val="20"/>
          <w:szCs w:val="20"/>
          <w:color w:val="auto"/>
        </w:rPr>
      </w:pPr>
    </w:p>
    <w:p>
      <w:pPr>
        <w:jc w:val="both"/>
        <w:ind w:left="1020" w:right="1020"/>
        <w:spacing w:after="0" w:line="253" w:lineRule="auto"/>
        <w:rPr>
          <w:sz w:val="20"/>
          <w:szCs w:val="20"/>
          <w:color w:val="auto"/>
        </w:rPr>
      </w:pPr>
      <w:r>
        <w:rPr>
          <w:rFonts w:ascii="Times New Roman" w:cs="Times New Roman" w:eastAsia="Times New Roman" w:hAnsi="Times New Roman"/>
          <w:sz w:val="17"/>
          <w:szCs w:val="17"/>
          <w:color w:val="auto"/>
        </w:rPr>
        <w:t>THE SHARES EVIDENCED BY THIS CERTIFICATE WERE ISSUED BY THE CORPORATION TO THE REGISTERED HOLDER UPON EXERCISE OF AN INCENTIVE STOCK OPTION AS DEFINED IN SECTION 422 OF THE INTERNAL REVENUE CODE OF 1986, AS AMENDED (“ISO”). IN ORDER TO OBTAIN THE PREFERENTIAL TAX TREATMENT AFFORDED TO ISOs, THE SHARES SHOULD NOT BE TRANSFERRED PRIOR TO [</w:t>
      </w:r>
      <w:r>
        <w:rPr>
          <w:rFonts w:ascii="Times New Roman" w:cs="Times New Roman" w:eastAsia="Times New Roman" w:hAnsi="Times New Roman"/>
          <w:sz w:val="17"/>
          <w:szCs w:val="17"/>
          <w:i w:val="1"/>
          <w:iCs w:val="1"/>
          <w:color w:val="auto"/>
        </w:rPr>
        <w:t>INSERT DISQUALIFYING DISPOSITION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DATE HERE</w:t>
      </w:r>
      <w:r>
        <w:rPr>
          <w:rFonts w:ascii="Times New Roman" w:cs="Times New Roman" w:eastAsia="Times New Roman" w:hAnsi="Times New Roman"/>
          <w:sz w:val="17"/>
          <w:szCs w:val="17"/>
          <w:color w:val="auto"/>
        </w:rPr>
        <w:t>]. SHOULD THE REGISTERED HOLDER ELECT TO TRANSFER ANY OF THE SHARES PRIOR TO THIS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FOREGO ISO TAX TREATMENT, THE TRANSFER AGENT FOR THE SHARES SHALL NOTIFY THE CORPORATION IMMEDIATELY. THE REGISTERED HOLDER SHALL HOLD ALL SHARES PURCHASED UNDER THE INCENTIVE STOCK OPTION IN THE REGISTERED HOLDER’S NAME (AND NOT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3" w:right="319" w:bottom="1440" w:gutter="0" w:footer="0" w:header="0"/>
        </w:sectPr>
      </w:pPr>
    </w:p>
    <w:bookmarkStart w:id="148" w:name="page149"/>
    <w:bookmarkEnd w:id="148"/>
    <w:p>
      <w:pPr>
        <w:ind w:left="1020"/>
        <w:spacing w:after="0"/>
        <w:rPr>
          <w:sz w:val="20"/>
          <w:szCs w:val="20"/>
          <w:color w:val="auto"/>
        </w:rPr>
      </w:pPr>
      <w:r>
        <w:rPr>
          <w:rFonts w:ascii="Times New Roman" w:cs="Times New Roman" w:eastAsia="Times New Roman" w:hAnsi="Times New Roman"/>
          <w:sz w:val="17"/>
          <w:szCs w:val="17"/>
          <w:color w:val="auto"/>
        </w:rPr>
        <w:t>NAME OF ANY NOMINEE) PRIOR TO THIS DATE OR UNTIL TRANSFERRED AS DESCRIBED ABOVE.</w:t>
      </w:r>
    </w:p>
    <w:p>
      <w:pPr>
        <w:spacing w:after="0" w:line="172" w:lineRule="exact"/>
        <w:rPr>
          <w:sz w:val="20"/>
          <w:szCs w:val="20"/>
          <w:color w:val="auto"/>
        </w:rPr>
      </w:pPr>
    </w:p>
    <w:p>
      <w:pPr>
        <w:ind w:left="1020" w:hanging="506"/>
        <w:spacing w:after="0"/>
        <w:tabs>
          <w:tab w:leader="none" w:pos="10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the Option at any time; provided, however, that except as provided in Section 8 in connection with a Change in Control, no such termination or amendment may have an adverse effect on the Option or any unexercised portion hereof without the consent of the Participant unless such termination or amendment is deemed necessary, in the Committee’s sole and absolute discretion and without the consent of the Participant, to comply with any applicable law or government regulation. No amendment or addition to this Option Agreement shall be effective unless in writing.</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Option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118" w:lineRule="exact"/>
        <w:rPr>
          <w:sz w:val="20"/>
          <w:szCs w:val="20"/>
          <w:color w:val="auto"/>
        </w:rPr>
      </w:pPr>
    </w:p>
    <w:p>
      <w:pPr>
        <w:jc w:val="both"/>
        <w:ind w:firstLine="1533"/>
        <w:spacing w:after="0" w:line="219" w:lineRule="auto"/>
        <w:tabs>
          <w:tab w:leader="none" w:pos="203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Option Agreement, the Plan Prospectus, and any reports of the Company provided generally to the Company’s stockholders, may be delivered to the Participant electronically. In addition, if permitted by the Company, the Participant may deliver electronically the Notice of Grant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if permitted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the delivery of the Notice of Grant and Exercise Notice, as described in Section 13.4(a). The Participant may change the electronic mail address to which such documents are to be delivered (if the Participant has provided an electronic mail address) at any time by notifying the Company of such revised e-mail address by telephone, postal service or electronic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48" w:right="319" w:bottom="1440" w:gutter="0" w:footer="0" w:header="0"/>
        </w:sectPr>
      </w:pPr>
    </w:p>
    <w:bookmarkStart w:id="149" w:name="page150"/>
    <w:bookmarkEnd w:id="149"/>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Notice of Grant, the Option Agreement and the Plan shall survive any exercise of the Option and shall remain in full force and effect.</w:t>
      </w:r>
    </w:p>
    <w:p>
      <w:pPr>
        <w:spacing w:after="0" w:line="119"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Option Agreement and the performance hereof shall be construed and governed in accordance with the laws of the State of New Jersey without giving effect to its conflicts or choice of law principles. Any and all legal claims and disputes arising out of or relating to this Option Agreement shall be litigated exclusively in the state or federal courts located in the State of New Jersey.</w:t>
      </w:r>
    </w:p>
    <w:p>
      <w:pPr>
        <w:spacing w:after="0" w:line="117"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23"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ANTERIX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RESTRICTED STOCK UNITS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Form)</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award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of certain restricted 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pursuant to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of which represents the right to receive on the applicable Settlement Date one (1) share of common stock of the Company (the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____________</w:t>
            </w:r>
          </w:p>
        </w:tc>
        <w:tc>
          <w:tcPr>
            <w:tcW w:w="24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Employee ID:</w:t>
            </w:r>
          </w:p>
        </w:tc>
        <w:tc>
          <w:tcPr>
            <w:tcW w:w="21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rPr>
              <w:t>____________</w:t>
            </w:r>
          </w:p>
        </w:tc>
      </w:tr>
      <w:tr>
        <w:trPr>
          <w:trHeight w:val="329"/>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__________</w:t>
            </w:r>
          </w:p>
        </w:tc>
        <w:tc>
          <w:tcPr>
            <w:tcW w:w="2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29"/>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Number of Units:</w:t>
            </w: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________, subject to adjustment as provided by the Restricted Stock Units Agreement.</w:t>
            </w:r>
          </w:p>
        </w:tc>
        <w:tc>
          <w:tcPr>
            <w:tcW w:w="2180" w:type="dxa"/>
            <w:vAlign w:val="bottom"/>
          </w:tcPr>
          <w:p>
            <w:pPr>
              <w:spacing w:after="0"/>
              <w:rPr>
                <w:sz w:val="24"/>
                <w:szCs w:val="24"/>
                <w:color w:val="auto"/>
              </w:rPr>
            </w:pPr>
          </w:p>
        </w:tc>
      </w:tr>
      <w:tr>
        <w:trPr>
          <w:trHeight w:val="329"/>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Settlement Date:</w:t>
            </w: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Except as provided by the Restricted Stock Units Agreement, the date on which a Unit becomes a Vested Unit.</w:t>
            </w:r>
          </w:p>
        </w:tc>
      </w:tr>
      <w:tr>
        <w:trPr>
          <w:trHeight w:val="329"/>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Start Date:</w:t>
            </w:r>
          </w:p>
        </w:tc>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__________</w:t>
            </w:r>
          </w:p>
        </w:tc>
        <w:tc>
          <w:tcPr>
            <w:tcW w:w="2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07"/>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Conditions:</w:t>
            </w: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 xml:space="preserve">Except as otherwise specified below or in the Restricted Stock Unit Agreement, [VEST SCHEDULE]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“Initial</w:t>
            </w:r>
          </w:p>
        </w:tc>
      </w:tr>
      <w:tr>
        <w:trPr>
          <w:trHeight w:val="202"/>
        </w:trPr>
        <w:tc>
          <w:tcPr>
            <w:tcW w:w="2300" w:type="dxa"/>
            <w:vAlign w:val="bottom"/>
          </w:tcPr>
          <w:p>
            <w:pPr>
              <w:spacing w:after="0"/>
              <w:rPr>
                <w:sz w:val="17"/>
                <w:szCs w:val="17"/>
                <w:color w:val="auto"/>
              </w:rPr>
            </w:pP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 so long as Participant’s Service (as defined in the Restricted Stock Units Agreement) is continuous from</w:t>
            </w:r>
          </w:p>
        </w:tc>
      </w:tr>
      <w:tr>
        <w:trPr>
          <w:trHeight w:val="223"/>
        </w:trPr>
        <w:tc>
          <w:tcPr>
            <w:tcW w:w="2300" w:type="dxa"/>
            <w:vAlign w:val="bottom"/>
          </w:tcPr>
          <w:p>
            <w:pPr>
              <w:spacing w:after="0"/>
              <w:rPr>
                <w:sz w:val="19"/>
                <w:szCs w:val="19"/>
                <w:color w:val="auto"/>
              </w:rPr>
            </w:pP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the Date of Grant through the applicable vesting date. Units that have vested shall be referred to herein as “</w:t>
            </w:r>
            <w:r>
              <w:rPr>
                <w:rFonts w:ascii="Times New Roman" w:cs="Times New Roman" w:eastAsia="Times New Roman" w:hAnsi="Times New Roman"/>
                <w:sz w:val="17"/>
                <w:szCs w:val="17"/>
                <w:b w:val="1"/>
                <w:bCs w:val="1"/>
                <w:i w:val="1"/>
                <w:iCs w:val="1"/>
                <w:color w:val="auto"/>
              </w:rPr>
              <w:t>Vested Units</w:t>
            </w:r>
            <w:r>
              <w:rPr>
                <w:rFonts w:ascii="Times New Roman" w:cs="Times New Roman" w:eastAsia="Times New Roman" w:hAnsi="Times New Roman"/>
                <w:sz w:val="17"/>
                <w:szCs w:val="17"/>
                <w:color w:val="auto"/>
              </w:rPr>
              <w:t>”.</w:t>
            </w:r>
          </w:p>
        </w:tc>
      </w:tr>
      <w:tr>
        <w:trPr>
          <w:trHeight w:val="322"/>
        </w:trPr>
        <w:tc>
          <w:tcPr>
            <w:tcW w:w="2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Superseding Agreement:</w:t>
            </w: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The Company and Participant may enter into a Superseding Agreement that provides that the terms and conditions set</w:t>
            </w:r>
          </w:p>
        </w:tc>
      </w:tr>
      <w:tr>
        <w:trPr>
          <w:trHeight w:val="202"/>
        </w:trPr>
        <w:tc>
          <w:tcPr>
            <w:tcW w:w="2300" w:type="dxa"/>
            <w:vAlign w:val="bottom"/>
          </w:tcPr>
          <w:p>
            <w:pPr>
              <w:spacing w:after="0"/>
              <w:rPr>
                <w:sz w:val="17"/>
                <w:szCs w:val="17"/>
                <w:color w:val="auto"/>
              </w:rPr>
            </w:pP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forth in such Superseding Agreement supersede and replace the terms set forth in this Notice of Grant, the accompanying</w:t>
            </w:r>
          </w:p>
        </w:tc>
      </w:tr>
      <w:tr>
        <w:trPr>
          <w:trHeight w:val="219"/>
        </w:trPr>
        <w:tc>
          <w:tcPr>
            <w:tcW w:w="2300" w:type="dxa"/>
            <w:vAlign w:val="bottom"/>
          </w:tcPr>
          <w:p>
            <w:pPr>
              <w:spacing w:after="0"/>
              <w:rPr>
                <w:sz w:val="19"/>
                <w:szCs w:val="19"/>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Restricted Stock Units Agreement and the Plan.</w:t>
            </w:r>
          </w:p>
        </w:tc>
        <w:tc>
          <w:tcPr>
            <w:tcW w:w="24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Notice of Grant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Notice of Grant. The Participant represents that the Participant has read and is familiar with the provisions of the Restricted Stock Units Agreement and the Plan, and hereby accepts the Award subject to all of their terms and conditions.</w:t>
      </w:r>
    </w:p>
    <w:p>
      <w:pPr>
        <w:sectPr>
          <w:pgSz w:w="11900" w:h="16838" w:orient="portrait"/>
          <w:cols w:equalWidth="0" w:num="1">
            <w:col w:w="11280"/>
          </w:cols>
          <w:pgMar w:left="300" w:top="1136"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ANTERIX INC.</w:t>
            </w:r>
          </w:p>
        </w:tc>
        <w:tc>
          <w:tcPr>
            <w:tcW w:w="3340" w:type="dxa"/>
            <w:vAlign w:val="bottom"/>
          </w:tcPr>
          <w:p>
            <w:pPr>
              <w:spacing w:after="0"/>
              <w:rPr>
                <w:sz w:val="19"/>
                <w:szCs w:val="19"/>
                <w:color w:val="auto"/>
              </w:rPr>
            </w:pPr>
          </w:p>
        </w:tc>
        <w:tc>
          <w:tcPr>
            <w:tcW w:w="398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17"/>
        </w:trPr>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Elena Marquez</w:t>
            </w:r>
          </w:p>
        </w:tc>
        <w:tc>
          <w:tcPr>
            <w:tcW w:w="398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Signature</w:t>
            </w:r>
          </w:p>
        </w:tc>
      </w:tr>
      <w:tr>
        <w:trPr>
          <w:trHeight w:val="205"/>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398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Date</w:t>
            </w:r>
          </w:p>
        </w:tc>
      </w:tr>
      <w:tr>
        <w:trPr>
          <w:trHeight w:val="20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Address:</w:t>
            </w:r>
          </w:p>
        </w:tc>
        <w:tc>
          <w:tcPr>
            <w:tcW w:w="33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3 Garret Mountain Plaza</w:t>
            </w:r>
          </w:p>
        </w:tc>
        <w:tc>
          <w:tcPr>
            <w:tcW w:w="1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r>
      <w:tr>
        <w:trPr>
          <w:trHeight w:val="263"/>
        </w:trPr>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Suite 401</w:t>
            </w:r>
          </w:p>
        </w:tc>
        <w:tc>
          <w:tcPr>
            <w:tcW w:w="398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Address</w:t>
            </w:r>
          </w:p>
        </w:tc>
      </w:tr>
      <w:tr>
        <w:trPr>
          <w:trHeight w:val="205"/>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Woodland Park, NJ 07424</w:t>
            </w:r>
          </w:p>
        </w:tc>
        <w:tc>
          <w:tcPr>
            <w:tcW w:w="1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r>
      <w:tr>
        <w:trPr>
          <w:trHeight w:val="507"/>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ATTACHMENTS:</w:t>
            </w:r>
          </w:p>
        </w:tc>
        <w:tc>
          <w:tcPr>
            <w:tcW w:w="73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9"/>
              </w:rPr>
              <w:t>2023 Stock Plan, as amended to the Date of Grant; Restricted Stock Units Agreement and Plan Prospectus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1377"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3"/>
          <w:szCs w:val="23"/>
          <w:b w:val="1"/>
          <w:bCs w:val="1"/>
          <w:color w:val="auto"/>
        </w:rPr>
        <w:t>ANTERIX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RESTRICTED STOCK UNITS AGREEMENT</w:t>
      </w:r>
    </w:p>
    <w:p>
      <w:pPr>
        <w:spacing w:after="0" w:line="1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Anterix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named in the Notice of Grant of Restricted Stock Units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to which this Restricted Stock Units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an Award consisting of Restricted Stock Units (each a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subject to the terms and conditions set forth in the Notice of Grant and this Agreement. The Award has been granted pursuant to and shall in all respects be subject to the terms conditions of the Anterix Inc. 2023 Stock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amended to the Date of Grant, the provisions of which are incorporated herein by reference. By signing the Notice of Grant, the Participant: (a) acknowledges receipt of and represents that the Participant has read and is familiar with the Notice of Grant,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7"/>
          <w:szCs w:val="17"/>
          <w:b w:val="1"/>
          <w:bCs w:val="1"/>
          <w:i w:val="1"/>
          <w:iCs w:val="1"/>
          <w:color w:val="auto"/>
        </w:rPr>
        <w:t>Plan Prospectus</w:t>
      </w:r>
      <w:r>
        <w:rPr>
          <w:rFonts w:ascii="Times New Roman" w:cs="Times New Roman" w:eastAsia="Times New Roman" w:hAnsi="Times New Roman"/>
          <w:sz w:val="17"/>
          <w:szCs w:val="17"/>
          <w:color w:val="auto"/>
        </w:rPr>
        <w:t>”), (b) accepts the Award subject to all of the terms and conditions of the Notice of Grant, this Agreement and the Plan and (c) agrees to accept as binding, conclusive and final all decisions or interpretations of the Committee upon any questions arising under the Notice of Grant, this Agreement or the Plan.</w:t>
      </w:r>
    </w:p>
    <w:p>
      <w:pPr>
        <w:spacing w:after="0" w:line="114" w:lineRule="exact"/>
        <w:rPr>
          <w:sz w:val="20"/>
          <w:szCs w:val="20"/>
          <w:color w:val="auto"/>
        </w:rPr>
      </w:pPr>
    </w:p>
    <w:p>
      <w:pPr>
        <w:ind w:left="1020" w:hanging="506"/>
        <w:spacing w:after="0"/>
        <w:tabs>
          <w:tab w:leader="none" w:pos="10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Definitions and Construction</w:t>
      </w:r>
      <w:r>
        <w:rPr>
          <w:rFonts w:ascii="Times New Roman" w:cs="Times New Roman" w:eastAsia="Times New Roman" w:hAnsi="Times New Roman"/>
          <w:sz w:val="17"/>
          <w:szCs w:val="17"/>
          <w:b w:val="1"/>
          <w:bCs w:val="1"/>
          <w:color w:val="auto"/>
        </w:rPr>
        <w:t>.</w:t>
      </w:r>
    </w:p>
    <w:p>
      <w:pPr>
        <w:spacing w:after="0" w:line="140"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Unless otherwise defined herein, capitalized terms shall have the meanings assigned to such terms in the Notice of Grant or the</w:t>
      </w: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22"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17" w:lineRule="exact"/>
        <w:rPr>
          <w:sz w:val="20"/>
          <w:szCs w:val="20"/>
          <w:color w:val="auto"/>
        </w:rPr>
      </w:pPr>
    </w:p>
    <w:p>
      <w:pPr>
        <w:ind w:left="1020" w:hanging="506"/>
        <w:spacing w:after="0"/>
        <w:tabs>
          <w:tab w:leader="none" w:pos="10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All questions of interpretation concerning the Notice of Grant,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ectPr>
          <w:pgSz w:w="11900" w:h="16838" w:orient="portrait"/>
          <w:cols w:equalWidth="0" w:num="1">
            <w:col w:w="11280"/>
          </w:cols>
          <w:pgMar w:left="300" w:top="1128" w:right="319" w:bottom="1440" w:gutter="0" w:footer="0" w:header="0"/>
        </w:sectPr>
      </w:pPr>
    </w:p>
    <w:bookmarkStart w:id="153" w:name="page154"/>
    <w:bookmarkEnd w:id="153"/>
    <w:p>
      <w:pPr>
        <w:ind w:left="1020" w:hanging="506"/>
        <w:spacing w:after="0"/>
        <w:tabs>
          <w:tab w:leader="none" w:pos="10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Award</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Grant of Units.</w:t>
      </w:r>
      <w:r>
        <w:rPr>
          <w:rFonts w:ascii="Times New Roman" w:cs="Times New Roman" w:eastAsia="Times New Roman" w:hAnsi="Times New Roman"/>
          <w:sz w:val="17"/>
          <w:szCs w:val="17"/>
          <w:color w:val="auto"/>
        </w:rPr>
        <w:t xml:space="preserve"> On the Date of Grant, the Participant shall acquire, subject to the provisions of this Agreement, the Total Number of Units set forth in the Notice of Grant, subject to adjustment as provided in Section 9. Each Unit represents a right to receive on a date determined in accordance with the Notice of Grant and this Agreement one (1) share of Stock.</w:t>
      </w:r>
    </w:p>
    <w:p>
      <w:pPr>
        <w:spacing w:after="0" w:line="117"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No Monetary Payment Required.</w:t>
      </w:r>
      <w:r>
        <w:rPr>
          <w:rFonts w:ascii="Times New Roman" w:cs="Times New Roman" w:eastAsia="Times New Roman" w:hAnsi="Times New Roman"/>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19" w:lineRule="exact"/>
        <w:rPr>
          <w:sz w:val="20"/>
          <w:szCs w:val="20"/>
          <w:color w:val="auto"/>
        </w:rPr>
      </w:pPr>
    </w:p>
    <w:p>
      <w:pPr>
        <w:ind w:left="1020" w:hanging="506"/>
        <w:spacing w:after="0"/>
        <w:tabs>
          <w:tab w:leader="none" w:pos="102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 of Units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Units acquired pursuant to this Agreement shall become Vested Units as provided in the Notice of Grant.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20" w:lineRule="exact"/>
        <w:rPr>
          <w:sz w:val="20"/>
          <w:szCs w:val="20"/>
          <w:color w:val="auto"/>
        </w:rPr>
      </w:pPr>
    </w:p>
    <w:p>
      <w:pPr>
        <w:ind w:left="1020" w:hanging="506"/>
        <w:spacing w:after="0"/>
        <w:tabs>
          <w:tab w:leader="none" w:pos="10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Company Reacquisition Right</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Grant of Company Reacquisition Right.</w:t>
      </w:r>
      <w:r>
        <w:rPr>
          <w:rFonts w:ascii="Times New Roman" w:cs="Times New Roman" w:eastAsia="Times New Roman" w:hAnsi="Times New Roman"/>
          <w:sz w:val="17"/>
          <w:szCs w:val="17"/>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Unvested Units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the Participant shall not be entitled to any payment therefor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Company Reacquisition Right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Ownership Change Event, Non-Cash Dividends, Distributions and Adjustments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3" w:right="319" w:bottom="1440" w:gutter="0" w:footer="0" w:header="0"/>
        </w:sectPr>
      </w:pPr>
    </w:p>
    <w:bookmarkStart w:id="154" w:name="page155"/>
    <w:bookmarkEnd w:id="154"/>
    <w:p>
      <w:pPr>
        <w:ind w:left="1020" w:hanging="506"/>
        <w:spacing w:after="0"/>
        <w:tabs>
          <w:tab w:leader="none" w:pos="10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 of the Award</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Issuance of Shares of Stock</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Notice of Grant (an “</w:t>
      </w:r>
      <w:r>
        <w:rPr>
          <w:rFonts w:ascii="Times New Roman" w:cs="Times New Roman" w:eastAsia="Times New Roman" w:hAnsi="Times New Roman"/>
          <w:sz w:val="17"/>
          <w:szCs w:val="17"/>
          <w:b w:val="1"/>
          <w:bCs w:val="1"/>
          <w:i w:val="1"/>
          <w:iCs w:val="1"/>
          <w:color w:val="auto"/>
        </w:rPr>
        <w:t>Original Settlement Date</w:t>
      </w:r>
      <w:r>
        <w:rPr>
          <w:rFonts w:ascii="Times New Roman" w:cs="Times New Roman" w:eastAsia="Times New Roman" w:hAnsi="Times New Roman"/>
          <w:sz w:val="17"/>
          <w:szCs w:val="17"/>
          <w:color w:val="auto"/>
        </w:rPr>
        <w:t>”); provided, however, that if the Original Settlement Date would occur on (i) a date which is not a business day, the Settlement Date shall occur on the next business day or (ii) a date on which a sale by the Participant of the shares to be issued in settlement of the Vested Units would violate the then applicable Insider Trading Policy of the Company or on a date which a sale is not otherwise not permitted, the Settlement Date for such Vested Units shall be deferred until the next day on which the sale of such shares by the Participant would not violate the then applicable Insider Trading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Section 18.12 of the Plan or the Company’s then applicable Insider Trading Policy.</w:t>
      </w:r>
    </w:p>
    <w:p>
      <w:pPr>
        <w:spacing w:after="0" w:line="121"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Beneficial Ownership of Shares; Certificate Registration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19"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Restrictions on Grant of the Award and Issuance of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2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6"/>
          <w:szCs w:val="16"/>
          <w:b w:val="1"/>
          <w:bCs w:val="1"/>
          <w:color w:val="auto"/>
        </w:rPr>
        <w:t>Fractional Shares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required to issue fractional shares upon the settlement of the Award.</w:t>
      </w:r>
    </w:p>
    <w:p>
      <w:pPr>
        <w:spacing w:after="0" w:line="144" w:lineRule="exact"/>
        <w:rPr>
          <w:sz w:val="20"/>
          <w:szCs w:val="20"/>
          <w:color w:val="auto"/>
        </w:rPr>
      </w:pPr>
    </w:p>
    <w:p>
      <w:pPr>
        <w:ind w:left="1020" w:hanging="506"/>
        <w:spacing w:after="0"/>
        <w:tabs>
          <w:tab w:leader="none" w:pos="10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 Withholding</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In General.</w:t>
      </w:r>
      <w:r>
        <w:rPr>
          <w:rFonts w:ascii="Times New Roman" w:cs="Times New Roman" w:eastAsia="Times New Roman" w:hAnsi="Times New Roman"/>
          <w:sz w:val="17"/>
          <w:szCs w:val="17"/>
          <w:color w:val="auto"/>
        </w:rPr>
        <w:t xml:space="preserve"> At the time the Notice of Grant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3"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color w:val="auto"/>
        </w:rPr>
        <w:t>until the tax withholding obligations of the Participating Company have been satisfied by the Participant.</w:t>
      </w:r>
    </w:p>
    <w:p>
      <w:pPr>
        <w:spacing w:after="0" w:line="140"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Assignment of Sale Proceeds.</w:t>
      </w:r>
      <w:r>
        <w:rPr>
          <w:rFonts w:ascii="Times New Roman" w:cs="Times New Roman" w:eastAsia="Times New Roman" w:hAnsi="Times New Roman"/>
          <w:sz w:val="17"/>
          <w:szCs w:val="17"/>
          <w:color w:val="auto"/>
        </w:rPr>
        <w:t xml:space="preserve"> Subject to compliance with applicable law and the Company’s Insider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b w:val="1"/>
          <w:bCs w:val="1"/>
          <w:color w:val="auto"/>
        </w:rPr>
        <w:t>Withholding in Shares.</w:t>
      </w:r>
      <w:r>
        <w:rPr>
          <w:rFonts w:ascii="Times New Roman" w:cs="Times New Roman" w:eastAsia="Times New Roman" w:hAnsi="Times New Roman"/>
          <w:sz w:val="17"/>
          <w:szCs w:val="17"/>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19" w:lineRule="exact"/>
        <w:rPr>
          <w:sz w:val="20"/>
          <w:szCs w:val="20"/>
          <w:color w:val="auto"/>
        </w:rPr>
      </w:pPr>
    </w:p>
    <w:p>
      <w:pPr>
        <w:ind w:left="1020" w:hanging="506"/>
        <w:spacing w:after="0"/>
        <w:tabs>
          <w:tab w:leader="none" w:pos="10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 of Change in Control</w:t>
      </w:r>
      <w:r>
        <w:rPr>
          <w:rFonts w:ascii="Times New Roman" w:cs="Times New Roman" w:eastAsia="Times New Roman" w:hAnsi="Times New Roman"/>
          <w:sz w:val="17"/>
          <w:szCs w:val="17"/>
          <w:b w:val="1"/>
          <w:bCs w:val="1"/>
          <w:i w:val="1"/>
          <w:iCs w:val="1"/>
          <w:color w:val="auto"/>
        </w:rPr>
        <w:t>.</w:t>
      </w:r>
    </w:p>
    <w:p>
      <w:pPr>
        <w:spacing w:after="0" w:line="169" w:lineRule="exact"/>
        <w:rPr>
          <w:sz w:val="20"/>
          <w:szCs w:val="20"/>
          <w:color w:val="auto"/>
        </w:rPr>
      </w:pPr>
    </w:p>
    <w:p>
      <w:pPr>
        <w:jc w:val="both"/>
        <w:ind w:firstLine="1019"/>
        <w:spacing w:after="0" w:line="252" w:lineRule="auto"/>
        <w:rPr>
          <w:sz w:val="20"/>
          <w:szCs w:val="20"/>
          <w:color w:val="auto"/>
        </w:rPr>
      </w:pPr>
      <w:r>
        <w:rPr>
          <w:rFonts w:ascii="Times New Roman" w:cs="Times New Roman" w:eastAsia="Times New Roman" w:hAnsi="Times New Roman"/>
          <w:sz w:val="17"/>
          <w:szCs w:val="17"/>
          <w:color w:val="auto"/>
        </w:rPr>
        <w:t>Subject in all cases to any accelerated vesting provisions provided in the Notice of Grant and any Superseding Agreement, in the event of a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or the Change in Control to the extent that Units subject to the Award are neither assumed or continued by the Acquiror in connection with the Change in Control nor settled as of the time of the Change in Control.</w:t>
      </w:r>
    </w:p>
    <w:p>
      <w:pPr>
        <w:spacing w:after="0" w:line="118" w:lineRule="exact"/>
        <w:rPr>
          <w:sz w:val="20"/>
          <w:szCs w:val="20"/>
          <w:color w:val="auto"/>
        </w:rPr>
      </w:pPr>
    </w:p>
    <w:p>
      <w:pPr>
        <w:ind w:left="1020" w:hanging="506"/>
        <w:spacing w:after="0"/>
        <w:tabs>
          <w:tab w:leader="none" w:pos="102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7" w:right="31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17"/>
          <w:szCs w:val="17"/>
          <w:color w:val="auto"/>
        </w:rPr>
        <w:t>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21" w:lineRule="exact"/>
        <w:rPr>
          <w:sz w:val="20"/>
          <w:szCs w:val="20"/>
          <w:color w:val="auto"/>
        </w:rPr>
      </w:pPr>
    </w:p>
    <w:p>
      <w:pPr>
        <w:ind w:left="1020" w:hanging="506"/>
        <w:spacing w:after="0"/>
        <w:tabs>
          <w:tab w:leader="none" w:pos="102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as a Stockholder, Director, Employee or Consultant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18" w:lineRule="exact"/>
        <w:rPr>
          <w:sz w:val="20"/>
          <w:szCs w:val="20"/>
          <w:color w:val="auto"/>
        </w:rPr>
      </w:pPr>
    </w:p>
    <w:p>
      <w:pPr>
        <w:ind w:left="1020" w:hanging="506"/>
        <w:spacing w:after="0"/>
        <w:tabs>
          <w:tab w:leader="none" w:pos="102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05" w:lineRule="exact"/>
        <w:rPr>
          <w:sz w:val="20"/>
          <w:szCs w:val="20"/>
          <w:color w:val="auto"/>
        </w:rPr>
      </w:pPr>
    </w:p>
    <w:p>
      <w:pPr>
        <w:ind w:left="1020" w:hanging="506"/>
        <w:spacing w:after="0"/>
        <w:tabs>
          <w:tab w:leader="none" w:pos="10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48"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color w:val="auto"/>
        </w:rPr>
        <w:t>the Committee in good faith) to avoid the unfavorable tax consequences provided therein for non-compliance. In connection with effecting such compliance with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409A, the following shall apply:</w:t>
      </w:r>
    </w:p>
    <w:p>
      <w:pPr>
        <w:spacing w:after="0" w:line="133"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b w:val="1"/>
          <w:bCs w:val="1"/>
          <w:color w:val="auto"/>
        </w:rPr>
        <w:t>Separation from Service; Required Delay in Payment to Specified Employee.</w:t>
      </w:r>
      <w:r>
        <w:rPr>
          <w:rFonts w:ascii="Times New Roman" w:cs="Times New Roman" w:eastAsia="Times New Roman" w:hAnsi="Times New Roman"/>
          <w:sz w:val="17"/>
          <w:szCs w:val="17"/>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(the “</w:t>
      </w:r>
      <w:r>
        <w:rPr>
          <w:rFonts w:ascii="Times New Roman" w:cs="Times New Roman" w:eastAsia="Times New Roman" w:hAnsi="Times New Roman"/>
          <w:sz w:val="17"/>
          <w:szCs w:val="17"/>
          <w:b w:val="1"/>
          <w:bCs w:val="1"/>
          <w:i w:val="1"/>
          <w:iCs w:val="1"/>
          <w:color w:val="auto"/>
        </w:rPr>
        <w:t>Section 409A Regulations</w:t>
      </w:r>
      <w:r>
        <w:rPr>
          <w:rFonts w:ascii="Times New Roman" w:cs="Times New Roman" w:eastAsia="Times New Roman" w:hAnsi="Times New Roman"/>
          <w:sz w:val="17"/>
          <w:szCs w:val="17"/>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7"/>
          <w:szCs w:val="17"/>
          <w:b w:val="1"/>
          <w:bCs w:val="1"/>
          <w:i w:val="1"/>
          <w:iCs w:val="1"/>
          <w:color w:val="auto"/>
        </w:rPr>
        <w:t>Delayed Payment Date</w:t>
      </w:r>
      <w:r>
        <w:rPr>
          <w:rFonts w:ascii="Times New Roman" w:cs="Times New Roman" w:eastAsia="Times New Roman" w:hAnsi="Times New Roman"/>
          <w:sz w:val="17"/>
          <w:szCs w:val="17"/>
          <w:color w:val="auto"/>
        </w:rPr>
        <w:t>”) that is six (6) months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20"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Other Changes in Time of Payment.</w:t>
      </w:r>
      <w:r>
        <w:rPr>
          <w:rFonts w:ascii="Times New Roman" w:cs="Times New Roman" w:eastAsia="Times New Roman" w:hAnsi="Times New Roman"/>
          <w:sz w:val="17"/>
          <w:szCs w:val="17"/>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b w:val="1"/>
          <w:bCs w:val="1"/>
          <w:color w:val="auto"/>
        </w:rPr>
        <w:t>Amendments to Comply with Section 409A; Indemnification.</w:t>
      </w:r>
      <w:r>
        <w:rPr>
          <w:rFonts w:ascii="Times New Roman" w:cs="Times New Roman" w:eastAsia="Times New Roman" w:hAnsi="Times New Roman"/>
          <w:sz w:val="17"/>
          <w:szCs w:val="17"/>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18"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b w:val="1"/>
          <w:bCs w:val="1"/>
          <w:color w:val="auto"/>
        </w:rPr>
        <w:t>Advice of Independent Tax Advisor.</w:t>
      </w:r>
      <w:r>
        <w:rPr>
          <w:rFonts w:ascii="Times New Roman" w:cs="Times New Roman" w:eastAsia="Times New Roman" w:hAnsi="Times New Roman"/>
          <w:sz w:val="17"/>
          <w:szCs w:val="17"/>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19" w:lineRule="exact"/>
        <w:rPr>
          <w:sz w:val="20"/>
          <w:szCs w:val="20"/>
          <w:color w:val="auto"/>
        </w:rPr>
      </w:pPr>
    </w:p>
    <w:p>
      <w:pPr>
        <w:ind w:left="1020" w:hanging="506"/>
        <w:spacing w:after="0"/>
        <w:tabs>
          <w:tab w:leader="none" w:pos="10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b w:val="1"/>
          <w:bCs w:val="1"/>
          <w:color w:val="auto"/>
        </w:rPr>
        <w:t>Termination or Amendment.</w:t>
      </w:r>
      <w:r>
        <w:rPr>
          <w:rFonts w:ascii="Times New Roman" w:cs="Times New Roman" w:eastAsia="Times New Roman" w:hAnsi="Times New Roman"/>
          <w:sz w:val="17"/>
          <w:szCs w:val="17"/>
          <w:color w:val="auto"/>
        </w:rPr>
        <w:t xml:space="preserve"> The Committee may terminate or amend the Plan or this Agreement at any time; provided, however, that except as provided in Section 8 in connection with a Change in Control, no such termination or amendment may have an adverse effect on the Participant’s rights under this Agreement without the consent of the Participant unless such termination or amendment is deemed necessary, in the Committee’s sole and absolute discretion and without the consent of the Participant, to comply with applicable law or government regulation, including, but not limited to, Section 409A. No amendment or addition to this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48" w:right="319" w:bottom="1440" w:gutter="0" w:footer="0" w:header="0"/>
        </w:sectPr>
      </w:pPr>
    </w:p>
    <w:bookmarkStart w:id="158" w:name="page159"/>
    <w:bookmarkEnd w:id="158"/>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b w:val="1"/>
          <w:bCs w:val="1"/>
          <w:color w:val="auto"/>
        </w:rPr>
        <w:t>Nontransferability of the Award.</w:t>
      </w:r>
      <w:r>
        <w:rPr>
          <w:rFonts w:ascii="Times New Roman" w:cs="Times New Roman" w:eastAsia="Times New Roman" w:hAnsi="Times New Roman"/>
          <w:sz w:val="17"/>
          <w:szCs w:val="17"/>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b w:val="1"/>
          <w:bCs w:val="1"/>
          <w:color w:val="auto"/>
        </w:rPr>
        <w:t>Further Instruments.</w:t>
      </w:r>
      <w:r>
        <w:rPr>
          <w:rFonts w:ascii="Times New Roman" w:cs="Times New Roman" w:eastAsia="Times New Roman" w:hAnsi="Times New Roman"/>
          <w:sz w:val="17"/>
          <w:szCs w:val="17"/>
          <w:color w:val="auto"/>
        </w:rPr>
        <w:t xml:space="preserve"> The parties hereto agree to execute such further instruments and to take such further action as may reasonably be necessary to carry out the intent of this Agreement.</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5"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b w:val="1"/>
          <w:bCs w:val="1"/>
          <w:color w:val="auto"/>
        </w:rPr>
        <w:t>Delivery of Documents and Notices.</w:t>
      </w:r>
      <w:r>
        <w:rPr>
          <w:rFonts w:ascii="Times New Roman" w:cs="Times New Roman" w:eastAsia="Times New Roman" w:hAnsi="Times New Roman"/>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of Grant or at such other address as such party may designate in writing from time to time to the other party.</w:t>
      </w:r>
    </w:p>
    <w:p>
      <w:pPr>
        <w:spacing w:after="0" w:line="118" w:lineRule="exact"/>
        <w:rPr>
          <w:sz w:val="20"/>
          <w:szCs w:val="20"/>
          <w:color w:val="auto"/>
        </w:rPr>
      </w:pPr>
    </w:p>
    <w:p>
      <w:pPr>
        <w:jc w:val="both"/>
        <w:ind w:firstLine="1533"/>
        <w:spacing w:after="0" w:line="219" w:lineRule="auto"/>
        <w:tabs>
          <w:tab w:leader="none" w:pos="203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Description of Electronic Delivery. </w:t>
      </w:r>
      <w:r>
        <w:rPr>
          <w:rFonts w:ascii="Times New Roman" w:cs="Times New Roman" w:eastAsia="Times New Roman" w:hAnsi="Times New Roman"/>
          <w:sz w:val="17"/>
          <w:szCs w:val="17"/>
          <w:color w:val="auto"/>
        </w:rPr>
        <w:t>The Plan documents, which may include but do not necessarily include: the Plan, the Notice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this Agreement, the Plan Prospectus, and any reports of the Company provided generally to the Company’s stockholders, may be delivered to the Participant electronically. In addition, if permitted by the Company, the Participant may deliver electronically the Notice of Grant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8" w:lineRule="exact"/>
        <w:rPr>
          <w:rFonts w:ascii="Times New Roman" w:cs="Times New Roman" w:eastAsia="Times New Roman" w:hAnsi="Times New Roman"/>
          <w:sz w:val="17"/>
          <w:szCs w:val="17"/>
          <w:color w:val="auto"/>
        </w:rPr>
      </w:pPr>
    </w:p>
    <w:p>
      <w:pPr>
        <w:jc w:val="both"/>
        <w:ind w:firstLine="1533"/>
        <w:spacing w:after="0" w:line="224" w:lineRule="auto"/>
        <w:tabs>
          <w:tab w:leader="none" w:pos="2034"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Consent to Electronic Delivery. </w:t>
      </w:r>
      <w:r>
        <w:rPr>
          <w:rFonts w:ascii="Times New Roman" w:cs="Times New Roman" w:eastAsia="Times New Roman" w:hAnsi="Times New Roman"/>
          <w:sz w:val="17"/>
          <w:szCs w:val="17"/>
          <w:color w:val="auto"/>
        </w:rPr>
        <w:t>The Participant hereby consents to the electronic delivery of the Plan documents and the delivery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Notice of Grant, as described in Section 13.5(a). The Participant may change the electronic mail address to which such documents are to be delivered (if Participant has provided an electronic mail address) at any time by notifying the Company of such revised e-mail address by telephone, postal service or electronic mail.</w:t>
      </w:r>
    </w:p>
    <w:p>
      <w:pPr>
        <w:spacing w:after="0" w:line="119" w:lineRule="exact"/>
        <w:rPr>
          <w:sz w:val="20"/>
          <w:szCs w:val="20"/>
          <w:color w:val="auto"/>
        </w:rPr>
      </w:pPr>
    </w:p>
    <w:p>
      <w:pPr>
        <w:jc w:val="both"/>
        <w:ind w:firstLine="1019"/>
        <w:spacing w:after="0" w:line="224"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xml:space="preserve"> Notwithstanding anything to the contrary in this Agreement, all Units payable or shares of Stock issued in settlement of this Award shall be subject to any clawback policy adopted by the Company from time to time (including, but not limited to, any policy adopted in accordance with the Dodd-Frank Wall Street Reform and Consumer Protection Act or other Applicable Laws), regardless of whether the policy is adopted after the date on which the Units are granted, vest, or are settled by the issuance of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3" w:right="319" w:bottom="1440" w:gutter="0" w:footer="0" w:header="0"/>
        </w:sectPr>
      </w:pPr>
    </w:p>
    <w:bookmarkStart w:id="159" w:name="page160"/>
    <w:bookmarkEnd w:id="159"/>
    <w:p>
      <w:pPr>
        <w:jc w:val="both"/>
        <w:ind w:firstLine="1019"/>
        <w:spacing w:after="0" w:line="221"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Integrated Agreement.</w:t>
      </w:r>
      <w:r>
        <w:rPr>
          <w:rFonts w:ascii="Times New Roman" w:cs="Times New Roman" w:eastAsia="Times New Roman" w:hAnsi="Times New Roman"/>
          <w:sz w:val="17"/>
          <w:szCs w:val="17"/>
          <w:color w:val="auto"/>
        </w:rPr>
        <w:t xml:space="preserve"> The Notice of Grant,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Notice of Grant, this Agreement and the Plan shall survive any settlement of the Award and shall remain in full force and effect.</w:t>
      </w:r>
    </w:p>
    <w:p>
      <w:pPr>
        <w:spacing w:after="0" w:line="119"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13.8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xml:space="preserve"> This Agreement shall be governed by the laws of the State of New Jersey as such laws are applied to agreements between New Jersey residents entered into and to be performed entirely within the State of New Jersey.</w:t>
      </w:r>
    </w:p>
    <w:p>
      <w:pPr>
        <w:spacing w:after="0" w:line="115" w:lineRule="exact"/>
        <w:rPr>
          <w:sz w:val="20"/>
          <w:szCs w:val="20"/>
          <w:color w:val="auto"/>
        </w:rPr>
      </w:pPr>
    </w:p>
    <w:p>
      <w:pPr>
        <w:jc w:val="both"/>
        <w:ind w:firstLine="1019"/>
        <w:spacing w:after="0" w:line="242" w:lineRule="auto"/>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xml:space="preserve"> The Notice of Grant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3" w:right="319" w:bottom="1440"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49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Jurisdiction</w:t>
            </w: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PDV Spectrum Holdings Company, LLC</w:t>
            </w:r>
          </w:p>
        </w:tc>
        <w:tc>
          <w:tcPr>
            <w:tcW w:w="19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Kleine License Holdings, LLC</w:t>
            </w:r>
          </w:p>
        </w:tc>
        <w:tc>
          <w:tcPr>
            <w:tcW w:w="19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60"/>
          </w:cols>
          <w:pgMar w:left="320" w:top="1141"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333-273981, 333-236251, 333-229565, 333-222890, 333-215934, 333-209543, 333-201699, 333-257115 and 333-281574 on Form S-8 of our report dated June 25, 2026, relating to the financial statements of Anterix Inc. and subsidiaries appearing in this Annual Report on Form 10-K for the year ended March 31,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Morristown, NJ</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25, 2026</w:t>
      </w:r>
    </w:p>
    <w:p>
      <w:pPr>
        <w:sectPr>
          <w:pgSz w:w="11900" w:h="16838" w:orient="portrait"/>
          <w:cols w:equalWidth="0" w:num="1">
            <w:col w:w="11280"/>
          </w:cols>
          <w:pgMar w:left="300" w:top="1131"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issued our report dated June 24, 2025, with respect to the consolidated financial statements included in the Annual Report of Anterix Inc. on Form 10-K for the year ended March 31, 2025.</w:t>
      </w:r>
    </w:p>
    <w:p>
      <w:pPr>
        <w:spacing w:after="0" w:line="226" w:lineRule="auto"/>
        <w:rPr>
          <w:sz w:val="20"/>
          <w:szCs w:val="20"/>
          <w:color w:val="auto"/>
        </w:rPr>
      </w:pPr>
      <w:r>
        <w:rPr>
          <w:rFonts w:ascii="Times New Roman" w:cs="Times New Roman" w:eastAsia="Times New Roman" w:hAnsi="Times New Roman"/>
          <w:sz w:val="14"/>
          <w:szCs w:val="14"/>
          <w:color w:val="auto"/>
        </w:rPr>
        <w:t>We consent to the incorporation by reference of said report in the Registration Statements of Anterix Inc. on Forms S-8 (File No.333-273981, File No. 333-236251, File No. 333-229565, File No.</w:t>
      </w:r>
    </w:p>
    <w:p>
      <w:pPr>
        <w:spacing w:after="0"/>
        <w:rPr>
          <w:sz w:val="20"/>
          <w:szCs w:val="20"/>
          <w:color w:val="auto"/>
        </w:rPr>
      </w:pPr>
      <w:r>
        <w:rPr>
          <w:rFonts w:ascii="Times New Roman" w:cs="Times New Roman" w:eastAsia="Times New Roman" w:hAnsi="Times New Roman"/>
          <w:sz w:val="14"/>
          <w:szCs w:val="14"/>
          <w:color w:val="auto"/>
        </w:rPr>
        <w:t>333-222890, File No. 333-215934, File No. 333-209543, File No. 333-201699, File No. 333-257115 and File No. 333-281574).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25, 2026</w:t>
      </w:r>
    </w:p>
    <w:p>
      <w:pPr>
        <w:sectPr>
          <w:pgSz w:w="11900" w:h="16838" w:orient="portrait"/>
          <w:cols w:equalWidth="0" w:num="1">
            <w:col w:w="11280"/>
          </w:cols>
          <w:pgMar w:left="300" w:top="1131"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UNDER SECTION 302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Scott A. Lang, President and Chief Executive Officer, certify that:</w:t>
      </w:r>
    </w:p>
    <w:p>
      <w:pPr>
        <w:spacing w:after="0" w:line="157" w:lineRule="exact"/>
        <w:rPr>
          <w:sz w:val="20"/>
          <w:szCs w:val="20"/>
          <w:color w:val="auto"/>
        </w:rPr>
      </w:pPr>
    </w:p>
    <w:p>
      <w:pPr>
        <w:ind w:left="260" w:hanging="255"/>
        <w:spacing w:after="0"/>
        <w:tabs>
          <w:tab w:leader="none" w:pos="2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March 31, 2026 of Anterix Inc.;</w:t>
      </w:r>
    </w:p>
    <w:p>
      <w:pPr>
        <w:spacing w:after="0" w:line="14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3"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3"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3"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25, 2026</w:t>
            </w:r>
          </w:p>
        </w:tc>
        <w:tc>
          <w:tcPr>
            <w:tcW w:w="802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By: /s/ Scott A. Lang</w:t>
            </w:r>
          </w:p>
        </w:tc>
      </w:tr>
      <w:tr>
        <w:trPr>
          <w:trHeight w:val="175"/>
        </w:trPr>
        <w:tc>
          <w:tcPr>
            <w:tcW w:w="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Scott A. Lang</w:t>
            </w:r>
          </w:p>
        </w:tc>
      </w:tr>
      <w:tr>
        <w:trPr>
          <w:trHeight w:val="342"/>
        </w:trPr>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1141"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UNDER SECTION 302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Elena Marquez, Chief Financial Officer, certify that:</w:t>
      </w:r>
    </w:p>
    <w:p>
      <w:pPr>
        <w:spacing w:after="0" w:line="157" w:lineRule="exact"/>
        <w:rPr>
          <w:sz w:val="20"/>
          <w:szCs w:val="20"/>
          <w:color w:val="auto"/>
        </w:rPr>
      </w:pPr>
    </w:p>
    <w:p>
      <w:pPr>
        <w:ind w:left="260" w:hanging="255"/>
        <w:spacing w:after="0"/>
        <w:tabs>
          <w:tab w:leader="none" w:pos="2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March 31, 2026 of Anterix Inc.;</w:t>
      </w:r>
    </w:p>
    <w:p>
      <w:pPr>
        <w:spacing w:after="0" w:line="14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3"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0"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3"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0"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3"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25, 2026</w:t>
            </w:r>
          </w:p>
        </w:tc>
        <w:tc>
          <w:tcPr>
            <w:tcW w:w="802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By: /s/ Elena Marquez</w:t>
            </w:r>
          </w:p>
        </w:tc>
      </w:tr>
      <w:tr>
        <w:trPr>
          <w:trHeight w:val="175"/>
        </w:trPr>
        <w:tc>
          <w:tcPr>
            <w:tcW w:w="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Elena Marquez</w:t>
            </w:r>
          </w:p>
        </w:tc>
      </w:tr>
      <w:tr>
        <w:trPr>
          <w:trHeight w:val="342"/>
        </w:trPr>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Principal Accounting Officer)</w:t>
            </w:r>
          </w:p>
        </w:tc>
      </w:tr>
    </w:tbl>
    <w:p>
      <w:pPr>
        <w:sectPr>
          <w:pgSz w:w="11900" w:h="16838" w:orient="portrait"/>
          <w:cols w:equalWidth="0" w:num="1">
            <w:col w:w="11280"/>
          </w:cols>
          <w:pgMar w:left="300" w:top="1141"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2"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Anterix Inc. (the “Company”) on Form 10-K for the period ended March 31, 2026 as filed with the Securities and Exchange Commission on the date hereof (the “Report”), we, Scott A. Lang, President and Chief Executive Officer of the Company, and Elena Marquez, Chief Financial Officer of the Company, certify, pursuant to 18 U.S.C. Section 1350, as adopted pursuant to Section 906 of the Sarbanes-Oxley Act of 2002, that:</w:t>
      </w:r>
    </w:p>
    <w:p>
      <w:pPr>
        <w:spacing w:after="0" w:line="114" w:lineRule="exact"/>
        <w:rPr>
          <w:sz w:val="20"/>
          <w:szCs w:val="20"/>
          <w:color w:val="auto"/>
        </w:rPr>
      </w:pPr>
    </w:p>
    <w:p>
      <w:pPr>
        <w:ind w:left="500" w:hanging="240"/>
        <w:spacing w:after="0"/>
        <w:tabs>
          <w:tab w:leader="none" w:pos="5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as amended; and</w:t>
      </w:r>
    </w:p>
    <w:p>
      <w:pPr>
        <w:spacing w:after="0" w:line="14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25, 2026</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Scott Lang</w:t>
            </w:r>
          </w:p>
        </w:tc>
      </w:tr>
      <w:tr>
        <w:trPr>
          <w:trHeight w:val="175"/>
        </w:trPr>
        <w:tc>
          <w:tcPr>
            <w:tcW w:w="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Scott A. Lang</w:t>
            </w:r>
          </w:p>
        </w:tc>
      </w:tr>
      <w:tr>
        <w:trPr>
          <w:trHeight w:val="342"/>
        </w:trPr>
        <w:tc>
          <w:tcPr>
            <w:tcW w:w="4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25, 2026</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Elena Marquez</w:t>
            </w:r>
          </w:p>
        </w:tc>
      </w:tr>
      <w:tr>
        <w:trPr>
          <w:trHeight w:val="175"/>
        </w:trPr>
        <w:tc>
          <w:tcPr>
            <w:tcW w:w="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Elena Marquez</w:t>
            </w:r>
          </w:p>
        </w:tc>
      </w:tr>
      <w:tr>
        <w:trPr>
          <w:trHeight w:val="342"/>
        </w:trPr>
        <w:tc>
          <w:tcPr>
            <w:tcW w:w="4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Principal Accounting Officer)</w:t>
            </w:r>
          </w:p>
        </w:tc>
      </w:tr>
    </w:tbl>
    <w:p>
      <w:pPr>
        <w:spacing w:after="0" w:line="198"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Anterix Inc. and will be retained by Anterix Inc. and furnished to the Securities and Exchange Commission or its staff upon request.</w:t>
      </w:r>
    </w:p>
    <w:p>
      <w:pPr>
        <w:spacing w:after="0" w:line="103"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Anterix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1."/>
      <w:numFmt w:val="decimal"/>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decimal"/>
      <w:start w:val="2"/>
    </w:lvl>
  </w:abstractNum>
  <w:abstractNum w:abstractNumId="11">
    <w:nsid w:val="57FC4FBB"/>
    <w:multiLevelType w:val="hybridMultilevel"/>
    <w:lvl w:ilvl="0">
      <w:lvlJc w:val="left"/>
      <w:lvlText w:val="%1."/>
      <w:numFmt w:val="decimal"/>
      <w:start w:val="3"/>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3"/>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1)"/>
      <w:numFmt w:val="decimal"/>
      <w:start w:val="1"/>
    </w:lvl>
  </w:abstractNum>
  <w:abstractNum w:abstractNumId="24">
    <w:nsid w:val="7672BD23"/>
    <w:multiLevelType w:val="hybridMultilevel"/>
    <w:lvl w:ilvl="0">
      <w:lvlJc w:val="left"/>
      <w:lvlText w:val="(%1)"/>
      <w:numFmt w:val="decimal"/>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decimal"/>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lvl w:ilvl="1">
      <w:lvlJc w:val="left"/>
      <w:lvlText w:val="◦"/>
      <w:numFmt w:val="bullet"/>
      <w:start w:val="1"/>
    </w:lvl>
  </w:abstractNum>
  <w:abstractNum w:abstractNumId="34">
    <w:nsid w:val="6A3DD3E8"/>
    <w:multiLevelType w:val="hybridMultilevel"/>
    <w:lvl w:ilvl="0">
      <w:lvlJc w:val="left"/>
      <w:lvlText w:val="•"/>
      <w:numFmt w:val="bullet"/>
      <w:start w:val="1"/>
    </w:lvl>
    <w:lvl w:ilvl="1">
      <w:lvlJc w:val="left"/>
      <w:lvlText w:val="◦"/>
      <w:numFmt w:val="bullet"/>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1."/>
      <w:numFmt w:val="decimal"/>
      <w:start w:val="1"/>
    </w:lvl>
  </w:abstractNum>
  <w:abstractNum w:abstractNumId="38">
    <w:nsid w:val="1FBFE8E0"/>
    <w:multiLevelType w:val="hybridMultilevel"/>
    <w:lvl w:ilvl="0">
      <w:lvlJc w:val="left"/>
      <w:lvlText w:val="%1."/>
      <w:numFmt w:val="decimal"/>
      <w:start w:val="4"/>
    </w:lvl>
  </w:abstractNum>
  <w:abstractNum w:abstractNumId="39">
    <w:nsid w:val="5092CA79"/>
    <w:multiLevelType w:val="hybridMultilevel"/>
    <w:lvl w:ilvl="0">
      <w:lvlJc w:val="left"/>
      <w:lvlText w:val="%1."/>
      <w:numFmt w:val="decimal"/>
      <w:start w:val="1"/>
    </w:lvl>
  </w:abstractNum>
  <w:abstractNum w:abstractNumId="40">
    <w:nsid w:val="1D545C4D"/>
    <w:multiLevelType w:val="hybridMultilevel"/>
    <w:lvl w:ilvl="0">
      <w:lvlJc w:val="left"/>
      <w:lvlText w:val="%1."/>
      <w:numFmt w:val="decimal"/>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1."/>
      <w:numFmt w:val="decimal"/>
      <w:start w:val="1"/>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decimal"/>
      <w:start w:val="1"/>
    </w:lvl>
  </w:abstractNum>
  <w:abstractNum w:abstractNumId="45">
    <w:nsid w:val="97E1B4E"/>
    <w:multiLevelType w:val="hybridMultilevel"/>
    <w:lvl w:ilvl="0">
      <w:lvlJc w:val="left"/>
      <w:lvlText w:val="%1."/>
      <w:numFmt w:val="decimal"/>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1."/>
      <w:numFmt w:val="decimal"/>
      <w:start w:val="1"/>
    </w:lvl>
  </w:abstractNum>
  <w:abstractNum w:abstractNumId="48">
    <w:nsid w:val="53584BCB"/>
    <w:multiLevelType w:val="hybridMultilevel"/>
    <w:lvl w:ilvl="0">
      <w:lvlJc w:val="left"/>
      <w:lvlText w:val="%1."/>
      <w:numFmt w:val="decimal"/>
      <w:start w:val="1"/>
    </w:lvl>
  </w:abstractNum>
  <w:abstractNum w:abstractNumId="49">
    <w:nsid w:val="415E286C"/>
    <w:multiLevelType w:val="hybridMultilevel"/>
    <w:lvl w:ilvl="0">
      <w:lvlJc w:val="left"/>
      <w:lvlText w:val="%1."/>
      <w:numFmt w:val="decimal"/>
      <w:start w:val="2"/>
    </w:lvl>
    <w:lvl w:ilvl="1">
      <w:lvlJc w:val="left"/>
      <w:lvlText w:val="(%2)"/>
      <w:numFmt w:val="lowerLetter"/>
      <w:start w:val="1"/>
    </w:lvl>
  </w:abstractNum>
  <w:abstractNum w:abstractNumId="50">
    <w:nsid w:val="7C58FD05"/>
    <w:multiLevelType w:val="hybridMultilevel"/>
    <w:lvl w:ilvl="0">
      <w:lvlJc w:val="left"/>
      <w:lvlText w:val="(%1)"/>
      <w:numFmt w:val="lowerLetter"/>
      <w:start w:val="2"/>
    </w:lvl>
  </w:abstractNum>
  <w:abstractNum w:abstractNumId="51">
    <w:nsid w:val="23D86AAC"/>
    <w:multiLevelType w:val="hybridMultilevel"/>
    <w:lvl w:ilvl="0">
      <w:lvlJc w:val="left"/>
      <w:lvlText w:val="%1."/>
      <w:numFmt w:val="decimal"/>
      <w:start w:val="3"/>
    </w:lvl>
  </w:abstractNum>
  <w:abstractNum w:abstractNumId="52">
    <w:nsid w:val="45E6D486"/>
    <w:multiLevelType w:val="hybridMultilevel"/>
    <w:lvl w:ilvl="0">
      <w:lvlJc w:val="left"/>
      <w:lvlText w:val="%1."/>
      <w:numFmt w:val="decimal"/>
      <w:start w:val="4"/>
    </w:lvl>
  </w:abstractNum>
  <w:abstractNum w:abstractNumId="53">
    <w:nsid w:val="5C10FE21"/>
    <w:multiLevelType w:val="hybridMultilevel"/>
    <w:lvl w:ilvl="0">
      <w:lvlJc w:val="left"/>
      <w:lvlText w:val="(%1)"/>
      <w:numFmt w:val="lowerLetter"/>
      <w:start w:val="1"/>
    </w:lvl>
    <w:lvl w:ilvl="1">
      <w:lvlJc w:val="left"/>
      <w:lvlText w:val="(%2)"/>
      <w:numFmt w:val="lowerRoman"/>
      <w:start w:val="1"/>
    </w:lvl>
  </w:abstractNum>
  <w:abstractNum w:abstractNumId="54">
    <w:nsid w:val="E7FFA2B"/>
    <w:multiLevelType w:val="hybridMultilevel"/>
    <w:lvl w:ilvl="0">
      <w:lvlJc w:val="left"/>
      <w:lvlText w:val="(%1)"/>
      <w:numFmt w:val="lowerRoman"/>
      <w:start w:val="3"/>
    </w:lvl>
  </w:abstractNum>
  <w:abstractNum w:abstractNumId="55">
    <w:nsid w:val="3C5991AA"/>
    <w:multiLevelType w:val="hybridMultilevel"/>
    <w:lvl w:ilvl="0">
      <w:lvlJc w:val="left"/>
      <w:lvlText w:val="(%1)"/>
      <w:numFmt w:val="lowerLetter"/>
      <w:start w:val="1"/>
    </w:lvl>
  </w:abstractNum>
  <w:abstractNum w:abstractNumId="56">
    <w:nsid w:val="4BD8591A"/>
    <w:multiLevelType w:val="hybridMultilevel"/>
    <w:lvl w:ilvl="0">
      <w:lvlJc w:val="left"/>
      <w:lvlText w:val="(%1)"/>
      <w:numFmt w:val="lowerRoman"/>
      <w:start w:val="1"/>
    </w:lvl>
  </w:abstractNum>
  <w:abstractNum w:abstractNumId="57">
    <w:nsid w:val="78DF6A55"/>
    <w:multiLevelType w:val="hybridMultilevel"/>
    <w:lvl w:ilvl="0">
      <w:lvlJc w:val="left"/>
      <w:lvlText w:val="%1."/>
      <w:numFmt w:val="decimal"/>
      <w:start w:val="5"/>
    </w:lvl>
  </w:abstractNum>
  <w:abstractNum w:abstractNumId="58">
    <w:nsid w:val="39B7AAA2"/>
    <w:multiLevelType w:val="hybridMultilevel"/>
    <w:lvl w:ilvl="0">
      <w:lvlJc w:val="left"/>
      <w:lvlText w:val="%1."/>
      <w:numFmt w:val="decimal"/>
      <w:start w:val="6"/>
    </w:lvl>
  </w:abstractNum>
  <w:abstractNum w:abstractNumId="59">
    <w:nsid w:val="2B0D8DBE"/>
    <w:multiLevelType w:val="hybridMultilevel"/>
    <w:lvl w:ilvl="0">
      <w:lvlJc w:val="left"/>
      <w:lvlText w:val="%1."/>
      <w:numFmt w:val="decimal"/>
      <w:start w:val="7"/>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lowerLetter"/>
      <w:start w:val="2"/>
    </w:lvl>
  </w:abstractNum>
  <w:abstractNum w:abstractNumId="62">
    <w:nsid w:val="69E373"/>
    <w:multiLevelType w:val="hybridMultilevel"/>
    <w:lvl w:ilvl="0">
      <w:lvlJc w:val="left"/>
      <w:lvlText w:val="%1."/>
      <w:numFmt w:val="decimal"/>
      <w:start w:val="8"/>
    </w:lvl>
  </w:abstractNum>
  <w:abstractNum w:abstractNumId="63">
    <w:nsid w:val="2C27173B"/>
    <w:multiLevelType w:val="hybridMultilevel"/>
    <w:lvl w:ilvl="0">
      <w:lvlJc w:val="left"/>
      <w:lvlText w:val="%1."/>
      <w:numFmt w:val="decimal"/>
      <w:start w:val="9"/>
    </w:lvl>
  </w:abstractNum>
  <w:abstractNum w:abstractNumId="64">
    <w:nsid w:val="4C9B0904"/>
    <w:multiLevelType w:val="hybridMultilevel"/>
    <w:lvl w:ilvl="0">
      <w:lvlJc w:val="left"/>
      <w:lvlText w:val="%1."/>
      <w:numFmt w:val="decimal"/>
      <w:start w:val="10"/>
    </w:lvl>
  </w:abstractNum>
  <w:abstractNum w:abstractNumId="65">
    <w:nsid w:val="6AA7B75C"/>
    <w:multiLevelType w:val="hybridMultilevel"/>
    <w:lvl w:ilvl="0">
      <w:lvlJc w:val="left"/>
      <w:lvlText w:val="%1."/>
      <w:numFmt w:val="decimal"/>
      <w:start w:val="11"/>
    </w:lvl>
  </w:abstractNum>
  <w:abstractNum w:abstractNumId="66">
    <w:nsid w:val="1DF029D3"/>
    <w:multiLevelType w:val="hybridMultilevel"/>
    <w:lvl w:ilvl="0">
      <w:lvlJc w:val="left"/>
      <w:lvlText w:val="%1."/>
      <w:numFmt w:val="decimal"/>
      <w:start w:val="12"/>
    </w:lvl>
  </w:abstractNum>
  <w:abstractNum w:abstractNumId="67">
    <w:nsid w:val="5675FF36"/>
    <w:multiLevelType w:val="hybridMultilevel"/>
    <w:lvl w:ilvl="0">
      <w:lvlJc w:val="left"/>
      <w:lvlText w:val="%1."/>
      <w:numFmt w:val="decimal"/>
      <w:start w:val="13"/>
    </w:lvl>
  </w:abstractNum>
  <w:abstractNum w:abstractNumId="68">
    <w:nsid w:val="3DD15094"/>
    <w:multiLevelType w:val="hybridMultilevel"/>
    <w:lvl w:ilvl="0">
      <w:lvlJc w:val="left"/>
      <w:lvlText w:val="(%1)"/>
      <w:numFmt w:val="lowerLetter"/>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1."/>
      <w:numFmt w:val="decimal"/>
      <w:start w:val="2"/>
    </w:lvl>
    <w:lvl w:ilvl="1">
      <w:lvlJc w:val="left"/>
      <w:lvlText w:val="(%2)"/>
      <w:numFmt w:val="lowerLetter"/>
      <w:start w:val="1"/>
    </w:lvl>
  </w:abstractNum>
  <w:abstractNum w:abstractNumId="71">
    <w:nsid w:val="5B25ACE2"/>
    <w:multiLevelType w:val="hybridMultilevel"/>
    <w:lvl w:ilvl="0">
      <w:lvlJc w:val="left"/>
      <w:lvlText w:val="(%1)"/>
      <w:numFmt w:val="lowerLetter"/>
      <w:start w:val="2"/>
    </w:lvl>
  </w:abstractNum>
  <w:abstractNum w:abstractNumId="72">
    <w:nsid w:val="175DFCF0"/>
    <w:multiLevelType w:val="hybridMultilevel"/>
    <w:lvl w:ilvl="0">
      <w:lvlJc w:val="left"/>
      <w:lvlText w:val="%1."/>
      <w:numFmt w:val="decimal"/>
      <w:start w:val="3"/>
    </w:lvl>
  </w:abstractNum>
  <w:abstractNum w:abstractNumId="73">
    <w:nsid w:val="4F97E3E4"/>
    <w:multiLevelType w:val="hybridMultilevel"/>
    <w:lvl w:ilvl="0">
      <w:lvlJc w:val="left"/>
      <w:lvlText w:val="%1."/>
      <w:numFmt w:val="decimal"/>
      <w:start w:val="4"/>
    </w:lvl>
  </w:abstractNum>
  <w:abstractNum w:abstractNumId="74">
    <w:nsid w:val="53B0A9E"/>
    <w:multiLevelType w:val="hybridMultilevel"/>
    <w:lvl w:ilvl="0">
      <w:lvlJc w:val="left"/>
      <w:lvlText w:val="(%1)"/>
      <w:numFmt w:val="lowerLetter"/>
      <w:start w:val="1"/>
    </w:lvl>
    <w:lvl w:ilvl="1">
      <w:lvlJc w:val="left"/>
      <w:lvlText w:val="(%2)"/>
      <w:numFmt w:val="lowerRoman"/>
      <w:start w:val="1"/>
    </w:lvl>
  </w:abstractNum>
  <w:abstractNum w:abstractNumId="75">
    <w:nsid w:val="34FD6B4F"/>
    <w:multiLevelType w:val="hybridMultilevel"/>
    <w:lvl w:ilvl="0">
      <w:lvlJc w:val="left"/>
      <w:lvlText w:val="(%1)"/>
      <w:numFmt w:val="lowerRoman"/>
      <w:start w:val="3"/>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Roman"/>
      <w:start w:val="1"/>
    </w:lvl>
  </w:abstractNum>
  <w:abstractNum w:abstractNumId="78">
    <w:nsid w:val="519E3149"/>
    <w:multiLevelType w:val="hybridMultilevel"/>
    <w:lvl w:ilvl="0">
      <w:lvlJc w:val="left"/>
      <w:lvlText w:val="%1."/>
      <w:numFmt w:val="decimal"/>
      <w:start w:val="5"/>
    </w:lvl>
  </w:abstractNum>
  <w:abstractNum w:abstractNumId="79">
    <w:nsid w:val="2C6E4AFD"/>
    <w:multiLevelType w:val="hybridMultilevel"/>
    <w:lvl w:ilvl="0">
      <w:lvlJc w:val="left"/>
      <w:lvlText w:val="%1."/>
      <w:numFmt w:val="decimal"/>
      <w:start w:val="6"/>
    </w:lvl>
  </w:abstractNum>
  <w:abstractNum w:abstractNumId="80">
    <w:nsid w:val="17A1B582"/>
    <w:multiLevelType w:val="hybridMultilevel"/>
    <w:lvl w:ilvl="0">
      <w:lvlJc w:val="left"/>
      <w:lvlText w:val="%1."/>
      <w:numFmt w:val="decimal"/>
      <w:start w:val="7"/>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2"/>
    </w:lvl>
  </w:abstractNum>
  <w:abstractNum w:abstractNumId="83">
    <w:nsid w:val="5D888A08"/>
    <w:multiLevelType w:val="hybridMultilevel"/>
    <w:lvl w:ilvl="0">
      <w:lvlJc w:val="left"/>
      <w:lvlText w:val="%1."/>
      <w:numFmt w:val="decimal"/>
      <w:start w:val="8"/>
    </w:lvl>
  </w:abstractNum>
  <w:abstractNum w:abstractNumId="84">
    <w:nsid w:val="2A082C70"/>
    <w:multiLevelType w:val="hybridMultilevel"/>
    <w:lvl w:ilvl="0">
      <w:lvlJc w:val="left"/>
      <w:lvlText w:val="%1."/>
      <w:numFmt w:val="decimal"/>
      <w:start w:val="9"/>
    </w:lvl>
  </w:abstractNum>
  <w:abstractNum w:abstractNumId="85">
    <w:nsid w:val="5EC6AFD4"/>
    <w:multiLevelType w:val="hybridMultilevel"/>
    <w:lvl w:ilvl="0">
      <w:lvlJc w:val="left"/>
      <w:lvlText w:val="%1."/>
      <w:numFmt w:val="decimal"/>
      <w:start w:val="10"/>
    </w:lvl>
  </w:abstractNum>
  <w:abstractNum w:abstractNumId="86">
    <w:nsid w:val="19E21BB2"/>
    <w:multiLevelType w:val="hybridMultilevel"/>
    <w:lvl w:ilvl="0">
      <w:lvlJc w:val="left"/>
      <w:lvlText w:val="%1."/>
      <w:numFmt w:val="decimal"/>
      <w:start w:val="11"/>
    </w:lvl>
  </w:abstractNum>
  <w:abstractNum w:abstractNumId="87">
    <w:nsid w:val="75E0858A"/>
    <w:multiLevelType w:val="hybridMultilevel"/>
    <w:lvl w:ilvl="0">
      <w:lvlJc w:val="left"/>
      <w:lvlText w:val="%1."/>
      <w:numFmt w:val="decimal"/>
      <w:start w:val="12"/>
    </w:lvl>
  </w:abstractNum>
  <w:abstractNum w:abstractNumId="88">
    <w:nsid w:val="57A61A29"/>
    <w:multiLevelType w:val="hybridMultilevel"/>
    <w:lvl w:ilvl="0">
      <w:lvlJc w:val="left"/>
      <w:lvlText w:val="%1."/>
      <w:numFmt w:val="decimal"/>
      <w:start w:val="13"/>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decimal"/>
      <w:start w:val="1"/>
    </w:lvl>
  </w:abstractNum>
  <w:abstractNum w:abstractNumId="91">
    <w:nsid w:val="4427069A"/>
    <w:multiLevelType w:val="hybridMultilevel"/>
    <w:lvl w:ilvl="0">
      <w:lvlJc w:val="left"/>
      <w:lvlText w:val="%1."/>
      <w:numFmt w:val="decimal"/>
      <w:start w:val="2"/>
    </w:lvl>
  </w:abstractNum>
  <w:abstractNum w:abstractNumId="92">
    <w:nsid w:val="B37E80A"/>
    <w:multiLevelType w:val="hybridMultilevel"/>
    <w:lvl w:ilvl="0">
      <w:lvlJc w:val="left"/>
      <w:lvlText w:val="%1."/>
      <w:numFmt w:val="decimal"/>
      <w:start w:val="3"/>
    </w:lvl>
  </w:abstractNum>
  <w:abstractNum w:abstractNumId="93">
    <w:nsid w:val="2157F6BC"/>
    <w:multiLevelType w:val="hybridMultilevel"/>
    <w:lvl w:ilvl="0">
      <w:lvlJc w:val="left"/>
      <w:lvlText w:val="%1."/>
      <w:numFmt w:val="decimal"/>
      <w:start w:val="4"/>
    </w:lvl>
  </w:abstractNum>
  <w:abstractNum w:abstractNumId="94">
    <w:nsid w:val="704E1DD5"/>
    <w:multiLevelType w:val="hybridMultilevel"/>
    <w:lvl w:ilvl="0">
      <w:lvlJc w:val="left"/>
      <w:lvlText w:val="%1."/>
      <w:numFmt w:val="decimal"/>
      <w:start w:val="5"/>
    </w:lvl>
  </w:abstractNum>
  <w:abstractNum w:abstractNumId="95">
    <w:nsid w:val="57D2F10E"/>
    <w:multiLevelType w:val="hybridMultilevel"/>
    <w:lvl w:ilvl="0">
      <w:lvlJc w:val="left"/>
      <w:lvlText w:val="%1."/>
      <w:numFmt w:val="decimal"/>
      <w:start w:val="6"/>
    </w:lvl>
  </w:abstractNum>
  <w:abstractNum w:abstractNumId="96">
    <w:nsid w:val="BFFAE18"/>
    <w:multiLevelType w:val="hybridMultilevel"/>
    <w:lvl w:ilvl="0">
      <w:lvlJc w:val="left"/>
      <w:lvlText w:val="%1."/>
      <w:numFmt w:val="decimal"/>
      <w:start w:val="7"/>
    </w:lvl>
  </w:abstractNum>
  <w:abstractNum w:abstractNumId="97">
    <w:nsid w:val="E3E47A8"/>
    <w:multiLevelType w:val="hybridMultilevel"/>
    <w:lvl w:ilvl="0">
      <w:lvlJc w:val="left"/>
      <w:lvlText w:val="%1."/>
      <w:numFmt w:val="decimal"/>
      <w:start w:val="8"/>
    </w:lvl>
  </w:abstractNum>
  <w:abstractNum w:abstractNumId="98">
    <w:nsid w:val="2E48F044"/>
    <w:multiLevelType w:val="hybridMultilevel"/>
    <w:lvl w:ilvl="0">
      <w:lvlJc w:val="left"/>
      <w:lvlText w:val="%1."/>
      <w:numFmt w:val="decimal"/>
      <w:start w:val="9"/>
    </w:lvl>
  </w:abstractNum>
  <w:abstractNum w:abstractNumId="99">
    <w:nsid w:val="49D0FEAC"/>
    <w:multiLevelType w:val="hybridMultilevel"/>
    <w:lvl w:ilvl="0">
      <w:lvlJc w:val="left"/>
      <w:lvlText w:val="%1."/>
      <w:numFmt w:val="decimal"/>
      <w:start w:val="10"/>
    </w:lvl>
  </w:abstractNum>
  <w:abstractNum w:abstractNumId="100">
    <w:nsid w:val="4BEE5A5B"/>
    <w:multiLevelType w:val="hybridMultilevel"/>
    <w:lvl w:ilvl="0">
      <w:lvlJc w:val="left"/>
      <w:lvlText w:val="%1."/>
      <w:numFmt w:val="decimal"/>
      <w:start w:val="11"/>
    </w:lvl>
  </w:abstractNum>
  <w:abstractNum w:abstractNumId="101">
    <w:nsid w:val="5551B9F3"/>
    <w:multiLevelType w:val="hybridMultilevel"/>
    <w:lvl w:ilvl="0">
      <w:lvlJc w:val="left"/>
      <w:lvlText w:val="%1."/>
      <w:numFmt w:val="decimal"/>
      <w:start w:val="12"/>
    </w:lvl>
  </w:abstractNum>
  <w:abstractNum w:abstractNumId="102">
    <w:nsid w:val="24F6AB8E"/>
    <w:multiLevelType w:val="hybridMultilevel"/>
    <w:lvl w:ilvl="0">
      <w:lvlJc w:val="left"/>
      <w:lvlText w:val="%1."/>
      <w:numFmt w:val="decimal"/>
      <w:start w:val="13"/>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decimal"/>
      <w:start w:val="1"/>
    </w:lvl>
  </w:abstractNum>
  <w:abstractNum w:abstractNumId="105">
    <w:nsid w:val="2A31B62D"/>
    <w:multiLevelType w:val="hybridMultilevel"/>
    <w:lvl w:ilvl="0">
      <w:lvlJc w:val="left"/>
      <w:lvlText w:val="%1."/>
      <w:numFmt w:val="decimal"/>
      <w:start w:val="2"/>
    </w:lvl>
  </w:abstractNum>
  <w:abstractNum w:abstractNumId="106">
    <w:nsid w:val="1849C29B"/>
    <w:multiLevelType w:val="hybridMultilevel"/>
    <w:lvl w:ilvl="0">
      <w:lvlJc w:val="left"/>
      <w:lvlText w:val="%1."/>
      <w:numFmt w:val="decimal"/>
      <w:start w:val="3"/>
    </w:lvl>
  </w:abstractNum>
  <w:abstractNum w:abstractNumId="107">
    <w:nsid w:val="7DFF9D09"/>
    <w:multiLevelType w:val="hybridMultilevel"/>
    <w:lvl w:ilvl="0">
      <w:lvlJc w:val="left"/>
      <w:lvlText w:val="%1."/>
      <w:numFmt w:val="decimal"/>
      <w:start w:val="4"/>
    </w:lvl>
  </w:abstractNum>
  <w:abstractNum w:abstractNumId="108">
    <w:nsid w:val="754342"/>
    <w:multiLevelType w:val="hybridMultilevel"/>
    <w:lvl w:ilvl="0">
      <w:lvlJc w:val="left"/>
      <w:lvlText w:val="%1."/>
      <w:numFmt w:val="decimal"/>
      <w:start w:val="5"/>
    </w:lvl>
  </w:abstractNum>
  <w:abstractNum w:abstractNumId="109">
    <w:nsid w:val="69E7F3E5"/>
    <w:multiLevelType w:val="hybridMultilevel"/>
    <w:lvl w:ilvl="0">
      <w:lvlJc w:val="left"/>
      <w:lvlText w:val="%1."/>
      <w:numFmt w:val="decimal"/>
      <w:start w:val="6"/>
    </w:lvl>
  </w:abstractNum>
  <w:abstractNum w:abstractNumId="110">
    <w:nsid w:val="2A6DE806"/>
    <w:multiLevelType w:val="hybridMultilevel"/>
    <w:lvl w:ilvl="0">
      <w:lvlJc w:val="left"/>
      <w:lvlText w:val="%1."/>
      <w:numFmt w:val="decimal"/>
      <w:start w:val="7"/>
    </w:lvl>
  </w:abstractNum>
  <w:abstractNum w:abstractNumId="111">
    <w:nsid w:val="1816F8C4"/>
    <w:multiLevelType w:val="hybridMultilevel"/>
    <w:lvl w:ilvl="0">
      <w:lvlJc w:val="left"/>
      <w:lvlText w:val="%1."/>
      <w:numFmt w:val="decimal"/>
      <w:start w:val="8"/>
    </w:lvl>
  </w:abstractNum>
  <w:abstractNum w:abstractNumId="112">
    <w:nsid w:val="37DF2233"/>
    <w:multiLevelType w:val="hybridMultilevel"/>
    <w:lvl w:ilvl="0">
      <w:lvlJc w:val="left"/>
      <w:lvlText w:val="%1."/>
      <w:numFmt w:val="decimal"/>
      <w:start w:val="9"/>
    </w:lvl>
  </w:abstractNum>
  <w:abstractNum w:abstractNumId="113">
    <w:nsid w:val="7AB49DAF"/>
    <w:multiLevelType w:val="hybridMultilevel"/>
    <w:lvl w:ilvl="0">
      <w:lvlJc w:val="left"/>
      <w:lvlText w:val="%1."/>
      <w:numFmt w:val="decimal"/>
      <w:start w:val="10"/>
    </w:lvl>
  </w:abstractNum>
  <w:abstractNum w:abstractNumId="114">
    <w:nsid w:val="759F82CD"/>
    <w:multiLevelType w:val="hybridMultilevel"/>
    <w:lvl w:ilvl="0">
      <w:lvlJc w:val="left"/>
      <w:lvlText w:val="%1."/>
      <w:numFmt w:val="decimal"/>
      <w:start w:val="11"/>
    </w:lvl>
  </w:abstractNum>
  <w:abstractNum w:abstractNumId="115">
    <w:nsid w:val="61E74EA3"/>
    <w:multiLevelType w:val="hybridMultilevel"/>
    <w:lvl w:ilvl="0">
      <w:lvlJc w:val="left"/>
      <w:lvlText w:val="%1."/>
      <w:numFmt w:val="decimal"/>
      <w:start w:val="12"/>
    </w:lvl>
  </w:abstractNum>
  <w:abstractNum w:abstractNumId="116">
    <w:nsid w:val="597B4D84"/>
    <w:multiLevelType w:val="hybridMultilevel"/>
    <w:lvl w:ilvl="0">
      <w:lvlJc w:val="left"/>
      <w:lvlText w:val="%1."/>
      <w:numFmt w:val="decimal"/>
      <w:start w:val="13"/>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decimal"/>
      <w:start w:val="1"/>
    </w:lvl>
  </w:abstractNum>
  <w:abstractNum w:abstractNumId="119">
    <w:nsid w:val="312167AD"/>
    <w:multiLevelType w:val="hybridMultilevel"/>
    <w:lvl w:ilvl="0">
      <w:lvlJc w:val="left"/>
      <w:lvlText w:val="%1."/>
      <w:numFmt w:val="decimal"/>
      <w:start w:val="2"/>
    </w:lvl>
  </w:abstractNum>
  <w:abstractNum w:abstractNumId="120">
    <w:nsid w:val="631B64D4"/>
    <w:multiLevelType w:val="hybridMultilevel"/>
    <w:lvl w:ilvl="0">
      <w:lvlJc w:val="left"/>
      <w:lvlText w:val="%1."/>
      <w:numFmt w:val="decimal"/>
      <w:start w:val="3"/>
    </w:lvl>
  </w:abstractNum>
  <w:abstractNum w:abstractNumId="121">
    <w:nsid w:val="78B5E776"/>
    <w:multiLevelType w:val="hybridMultilevel"/>
    <w:lvl w:ilvl="0">
      <w:lvlJc w:val="left"/>
      <w:lvlText w:val="%1."/>
      <w:numFmt w:val="decimal"/>
      <w:start w:val="4"/>
    </w:lvl>
  </w:abstractNum>
  <w:abstractNum w:abstractNumId="122">
    <w:nsid w:val="75486E47"/>
    <w:multiLevelType w:val="hybridMultilevel"/>
    <w:lvl w:ilvl="0">
      <w:lvlJc w:val="left"/>
      <w:lvlText w:val="%1."/>
      <w:numFmt w:val="decimal"/>
      <w:start w:val="5"/>
    </w:lvl>
  </w:abstractNum>
  <w:abstractNum w:abstractNumId="123">
    <w:nsid w:val="6E534CDE"/>
    <w:multiLevelType w:val="hybridMultilevel"/>
    <w:lvl w:ilvl="0">
      <w:lvlJc w:val="left"/>
      <w:lvlText w:val="%1."/>
      <w:numFmt w:val="decimal"/>
      <w:start w:val="6"/>
    </w:lvl>
  </w:abstractNum>
  <w:abstractNum w:abstractNumId="124">
    <w:nsid w:val="1A0DDE32"/>
    <w:multiLevelType w:val="hybridMultilevel"/>
    <w:lvl w:ilvl="0">
      <w:lvlJc w:val="left"/>
      <w:lvlText w:val="%1."/>
      <w:numFmt w:val="decimal"/>
      <w:start w:val="7"/>
    </w:lvl>
    <w:lvl w:ilvl="1">
      <w:lvlJc w:val="left"/>
      <w:lvlText w:val="(%2)"/>
      <w:numFmt w:val="lowerLetter"/>
      <w:start w:val="1"/>
    </w:lvl>
  </w:abstractNum>
  <w:abstractNum w:abstractNumId="125">
    <w:nsid w:val="65968C1C"/>
    <w:multiLevelType w:val="hybridMultilevel"/>
    <w:lvl w:ilvl="0">
      <w:lvlJc w:val="left"/>
      <w:lvlText w:val="(%1)"/>
      <w:numFmt w:val="lowerLetter"/>
      <w:start w:val="2"/>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decimal"/>
      <w:start w:val="1"/>
    </w:lvl>
    <w:lvl w:ilvl="1">
      <w:lvlJc w:val="left"/>
      <w:lvlText w:val="(%2)"/>
      <w:numFmt w:val="lowerLetter"/>
      <w:start w:val="3"/>
    </w:lvl>
  </w:abstractNum>
  <w:abstractNum w:abstractNumId="128">
    <w:nsid w:val="73D4D3C4"/>
    <w:multiLevelType w:val="hybridMultilevel"/>
    <w:lvl w:ilvl="0">
      <w:lvlJc w:val="left"/>
      <w:lvlText w:val="%1."/>
      <w:numFmt w:val="decimal"/>
      <w:start w:val="8"/>
    </w:lvl>
    <w:lvl w:ilvl="1">
      <w:lvlJc w:val="left"/>
      <w:lvlText w:val="%2"/>
      <w:numFmt w:val="lowerLetter"/>
      <w:start w:val="1"/>
    </w:lvl>
  </w:abstractNum>
  <w:abstractNum w:abstractNumId="129">
    <w:nsid w:val="746F2E30"/>
    <w:multiLevelType w:val="hybridMultilevel"/>
    <w:lvl w:ilvl="0">
      <w:lvlJc w:val="left"/>
      <w:lvlText w:val="%1."/>
      <w:numFmt w:val="decimal"/>
      <w:start w:val="9"/>
    </w:lvl>
  </w:abstractNum>
  <w:abstractNum w:abstractNumId="130">
    <w:nsid w:val="6FDE8AF6"/>
    <w:multiLevelType w:val="hybridMultilevel"/>
    <w:lvl w:ilvl="0">
      <w:lvlJc w:val="left"/>
      <w:lvlText w:val="%1."/>
      <w:numFmt w:val="decimal"/>
      <w:start w:val="10"/>
    </w:lvl>
  </w:abstractNum>
  <w:abstractNum w:abstractNumId="131">
    <w:nsid w:val="3FC32E20"/>
    <w:multiLevelType w:val="hybridMultilevel"/>
    <w:lvl w:ilvl="0">
      <w:lvlJc w:val="left"/>
      <w:lvlText w:val="%1."/>
      <w:numFmt w:val="decimal"/>
      <w:start w:val="11"/>
    </w:lvl>
  </w:abstractNum>
  <w:abstractNum w:abstractNumId="132">
    <w:nsid w:val="49C0E823"/>
    <w:multiLevelType w:val="hybridMultilevel"/>
    <w:lvl w:ilvl="0">
      <w:lvlJc w:val="left"/>
      <w:lvlText w:val="%1."/>
      <w:numFmt w:val="decimal"/>
      <w:start w:val="12"/>
    </w:lvl>
  </w:abstractNum>
  <w:abstractNum w:abstractNumId="133">
    <w:nsid w:val="14D53685"/>
    <w:multiLevelType w:val="hybridMultilevel"/>
    <w:lvl w:ilvl="0">
      <w:lvlJc w:val="left"/>
      <w:lvlText w:val="%1."/>
      <w:numFmt w:val="decimal"/>
      <w:start w:val="13"/>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2"/>
    </w:lvl>
    <w:lvl w:ilvl="1">
      <w:lvlJc w:val="left"/>
      <w:lvlText w:val="(%2)"/>
      <w:numFmt w:val="lowerLetter"/>
      <w:start w:val="1"/>
    </w:lvl>
  </w:abstractNum>
  <w:abstractNum w:abstractNumId="137">
    <w:nsid w:val="3B594807"/>
    <w:multiLevelType w:val="hybridMultilevel"/>
    <w:lvl w:ilvl="0">
      <w:lvlJc w:val="left"/>
      <w:lvlText w:val="(%1)"/>
      <w:numFmt w:val="lowerLetter"/>
      <w:start w:val="2"/>
    </w:lvl>
  </w:abstractNum>
  <w:abstractNum w:abstractNumId="138">
    <w:nsid w:val="6CAA2304"/>
    <w:multiLevelType w:val="hybridMultilevel"/>
    <w:lvl w:ilvl="0">
      <w:lvlJc w:val="left"/>
      <w:lvlText w:val="%1."/>
      <w:numFmt w:val="decimal"/>
      <w:start w:val="3"/>
    </w:lvl>
  </w:abstractNum>
  <w:abstractNum w:abstractNumId="139">
    <w:nsid w:val="3F7C2FF4"/>
    <w:multiLevelType w:val="hybridMultilevel"/>
    <w:lvl w:ilvl="0">
      <w:lvlJc w:val="left"/>
      <w:lvlText w:val="%1."/>
      <w:numFmt w:val="decimal"/>
      <w:start w:val="4"/>
    </w:lvl>
  </w:abstractNum>
  <w:abstractNum w:abstractNumId="140">
    <w:nsid w:val="25413BEC"/>
    <w:multiLevelType w:val="hybridMultilevel"/>
    <w:lvl w:ilvl="0">
      <w:lvlJc w:val="left"/>
      <w:lvlText w:val="(%1)"/>
      <w:numFmt w:val="lowerLetter"/>
      <w:start w:val="1"/>
    </w:lvl>
    <w:lvl w:ilvl="1">
      <w:lvlJc w:val="left"/>
      <w:lvlText w:val="(%2)"/>
      <w:numFmt w:val="lowerRoman"/>
      <w:start w:val="1"/>
    </w:lvl>
  </w:abstractNum>
  <w:abstractNum w:abstractNumId="141">
    <w:nsid w:val="17180B0B"/>
    <w:multiLevelType w:val="hybridMultilevel"/>
    <w:lvl w:ilvl="0">
      <w:lvlJc w:val="left"/>
      <w:lvlText w:val="(%1)"/>
      <w:numFmt w:val="lowerRoman"/>
      <w:start w:val="3"/>
    </w:lvl>
  </w:abstractNum>
  <w:abstractNum w:abstractNumId="142">
    <w:nsid w:val="579328B9"/>
    <w:multiLevelType w:val="hybridMultilevel"/>
    <w:lvl w:ilvl="0">
      <w:lvlJc w:val="left"/>
      <w:lvlText w:val="(%1)"/>
      <w:numFmt w:val="lowerLetter"/>
      <w:start w:val="1"/>
    </w:lvl>
  </w:abstractNum>
  <w:abstractNum w:abstractNumId="143">
    <w:nsid w:val="5D205E20"/>
    <w:multiLevelType w:val="hybridMultilevel"/>
    <w:lvl w:ilvl="0">
      <w:lvlJc w:val="left"/>
      <w:lvlText w:val="(%1)"/>
      <w:numFmt w:val="lowerRoman"/>
      <w:start w:val="1"/>
    </w:lvl>
  </w:abstractNum>
  <w:abstractNum w:abstractNumId="144">
    <w:nsid w:val="11CCA8BA"/>
    <w:multiLevelType w:val="hybridMultilevel"/>
    <w:lvl w:ilvl="0">
      <w:lvlJc w:val="left"/>
      <w:lvlText w:val="%1."/>
      <w:numFmt w:val="decimal"/>
      <w:start w:val="5"/>
    </w:lvl>
  </w:abstractNum>
  <w:abstractNum w:abstractNumId="145">
    <w:nsid w:val="4D32AB86"/>
    <w:multiLevelType w:val="hybridMultilevel"/>
    <w:lvl w:ilvl="0">
      <w:lvlJc w:val="left"/>
      <w:lvlText w:val="%1."/>
      <w:numFmt w:val="decimal"/>
      <w:start w:val="6"/>
    </w:lvl>
  </w:abstractNum>
  <w:abstractNum w:abstractNumId="146">
    <w:nsid w:val="3F07ACC3"/>
    <w:multiLevelType w:val="hybridMultilevel"/>
    <w:lvl w:ilvl="0">
      <w:lvlJc w:val="left"/>
      <w:lvlText w:val="%1."/>
      <w:numFmt w:val="decimal"/>
      <w:start w:val="7"/>
    </w:lvl>
  </w:abstractNum>
  <w:abstractNum w:abstractNumId="147">
    <w:nsid w:val="6B47F63E"/>
    <w:multiLevelType w:val="hybridMultilevel"/>
    <w:lvl w:ilvl="0">
      <w:lvlJc w:val="left"/>
      <w:lvlText w:val="(%1)"/>
      <w:numFmt w:val="lowerLetter"/>
      <w:start w:val="1"/>
    </w:lvl>
  </w:abstractNum>
  <w:abstractNum w:abstractNumId="148">
    <w:nsid w:val="5CB44A05"/>
    <w:multiLevelType w:val="hybridMultilevel"/>
    <w:lvl w:ilvl="0">
      <w:lvlJc w:val="left"/>
      <w:lvlText w:val="(%1)"/>
      <w:numFmt w:val="lowerLetter"/>
      <w:start w:val="2"/>
    </w:lvl>
  </w:abstractNum>
  <w:abstractNum w:abstractNumId="149">
    <w:nsid w:val="16CF80F1"/>
    <w:multiLevelType w:val="hybridMultilevel"/>
    <w:lvl w:ilvl="0">
      <w:lvlJc w:val="left"/>
      <w:lvlText w:val="%1."/>
      <w:numFmt w:val="decimal"/>
      <w:start w:val="8"/>
    </w:lvl>
  </w:abstractNum>
  <w:abstractNum w:abstractNumId="150">
    <w:nsid w:val="1C695DEC"/>
    <w:multiLevelType w:val="hybridMultilevel"/>
    <w:lvl w:ilvl="0">
      <w:lvlJc w:val="left"/>
      <w:lvlText w:val="%1."/>
      <w:numFmt w:val="decimal"/>
      <w:start w:val="9"/>
    </w:lvl>
  </w:abstractNum>
  <w:abstractNum w:abstractNumId="151">
    <w:nsid w:val="3FCFAED9"/>
    <w:multiLevelType w:val="hybridMultilevel"/>
    <w:lvl w:ilvl="0">
      <w:lvlJc w:val="left"/>
      <w:lvlText w:val="%1."/>
      <w:numFmt w:val="decimal"/>
      <w:start w:val="10"/>
    </w:lvl>
  </w:abstractNum>
  <w:abstractNum w:abstractNumId="152">
    <w:nsid w:val="F856867"/>
    <w:multiLevelType w:val="hybridMultilevel"/>
    <w:lvl w:ilvl="0">
      <w:lvlJc w:val="left"/>
      <w:lvlText w:val="%1."/>
      <w:numFmt w:val="decimal"/>
      <w:start w:val="11"/>
    </w:lvl>
  </w:abstractNum>
  <w:abstractNum w:abstractNumId="153">
    <w:nsid w:val="11B1CC33"/>
    <w:multiLevelType w:val="hybridMultilevel"/>
    <w:lvl w:ilvl="0">
      <w:lvlJc w:val="left"/>
      <w:lvlText w:val="%1."/>
      <w:numFmt w:val="decimal"/>
      <w:start w:val="12"/>
    </w:lvl>
  </w:abstractNum>
  <w:abstractNum w:abstractNumId="154">
    <w:nsid w:val="2E22FBB7"/>
    <w:multiLevelType w:val="hybridMultilevel"/>
    <w:lvl w:ilvl="0">
      <w:lvlJc w:val="left"/>
      <w:lvlText w:val="%1."/>
      <w:numFmt w:val="decimal"/>
      <w:start w:val="13"/>
    </w:lvl>
  </w:abstractNum>
  <w:abstractNum w:abstractNumId="155">
    <w:nsid w:val="29934699"/>
    <w:multiLevelType w:val="hybridMultilevel"/>
    <w:lvl w:ilvl="0">
      <w:lvlJc w:val="left"/>
      <w:lvlText w:val="(%1)"/>
      <w:numFmt w:val="lowerLetter"/>
      <w:start w:val="1"/>
    </w:lvl>
  </w:abstractNum>
  <w:abstractNum w:abstractNumId="156">
    <w:nsid w:val="77485850"/>
    <w:multiLevelType w:val="hybridMultilevel"/>
    <w:lvl w:ilvl="0">
      <w:lvlJc w:val="left"/>
      <w:lvlText w:val="%1."/>
      <w:numFmt w:val="decimal"/>
      <w:start w:val="1"/>
    </w:lvl>
  </w:abstractNum>
  <w:abstractNum w:abstractNumId="157">
    <w:nsid w:val="744939A3"/>
    <w:multiLevelType w:val="hybridMultilevel"/>
    <w:lvl w:ilvl="0">
      <w:lvlJc w:val="left"/>
      <w:lvlText w:val="%1."/>
      <w:numFmt w:val="decimal"/>
      <w:start w:val="2"/>
    </w:lvl>
  </w:abstractNum>
  <w:abstractNum w:abstractNumId="158">
    <w:nsid w:val="4FA0D2E3"/>
    <w:multiLevelType w:val="hybridMultilevel"/>
    <w:lvl w:ilvl="0">
      <w:lvlJc w:val="left"/>
      <w:lvlText w:val="%1."/>
      <w:numFmt w:val="decimal"/>
      <w:start w:val="3"/>
    </w:lvl>
  </w:abstractNum>
  <w:abstractNum w:abstractNumId="159">
    <w:nsid w:val="6B1D2C14"/>
    <w:multiLevelType w:val="hybridMultilevel"/>
    <w:lvl w:ilvl="0">
      <w:lvlJc w:val="left"/>
      <w:lvlText w:val="%1."/>
      <w:numFmt w:val="decimal"/>
      <w:start w:val="4"/>
    </w:lvl>
  </w:abstractNum>
  <w:abstractNum w:abstractNumId="160">
    <w:nsid w:val="68B867D3"/>
    <w:multiLevelType w:val="hybridMultilevel"/>
    <w:lvl w:ilvl="0">
      <w:lvlJc w:val="left"/>
      <w:lvlText w:val="%1."/>
      <w:numFmt w:val="decimal"/>
      <w:start w:val="5"/>
    </w:lvl>
  </w:abstractNum>
  <w:abstractNum w:abstractNumId="161">
    <w:nsid w:val="3F7F5DD9"/>
    <w:multiLevelType w:val="hybridMultilevel"/>
    <w:lvl w:ilvl="0">
      <w:lvlJc w:val="left"/>
      <w:lvlText w:val="%1."/>
      <w:numFmt w:val="decimal"/>
      <w:start w:val="6"/>
    </w:lvl>
  </w:abstractNum>
  <w:abstractNum w:abstractNumId="162">
    <w:nsid w:val="2AE05A34"/>
    <w:multiLevelType w:val="hybridMultilevel"/>
    <w:lvl w:ilvl="0">
      <w:lvlJc w:val="left"/>
      <w:lvlText w:val="%1."/>
      <w:numFmt w:val="decimal"/>
      <w:start w:val="7"/>
    </w:lvl>
  </w:abstractNum>
  <w:abstractNum w:abstractNumId="163">
    <w:nsid w:val="32794FF7"/>
    <w:multiLevelType w:val="hybridMultilevel"/>
    <w:lvl w:ilvl="0">
      <w:lvlJc w:val="left"/>
      <w:lvlText w:val="%1."/>
      <w:numFmt w:val="decimal"/>
      <w:start w:val="8"/>
    </w:lvl>
  </w:abstractNum>
  <w:abstractNum w:abstractNumId="164">
    <w:nsid w:val="5454945E"/>
    <w:multiLevelType w:val="hybridMultilevel"/>
    <w:lvl w:ilvl="0">
      <w:lvlJc w:val="left"/>
      <w:lvlText w:val="%1."/>
      <w:numFmt w:val="decimal"/>
      <w:start w:val="9"/>
    </w:lvl>
  </w:abstractNum>
  <w:abstractNum w:abstractNumId="165">
    <w:nsid w:val="4DEFDFA0"/>
    <w:multiLevelType w:val="hybridMultilevel"/>
    <w:lvl w:ilvl="0">
      <w:lvlJc w:val="left"/>
      <w:lvlText w:val="%1."/>
      <w:numFmt w:val="decimal"/>
      <w:start w:val="10"/>
    </w:lvl>
  </w:abstractNum>
  <w:abstractNum w:abstractNumId="166">
    <w:nsid w:val="2123D5F2"/>
    <w:multiLevelType w:val="hybridMultilevel"/>
    <w:lvl w:ilvl="0">
      <w:lvlJc w:val="left"/>
      <w:lvlText w:val="%1."/>
      <w:numFmt w:val="decimal"/>
      <w:start w:val="11"/>
    </w:lvl>
  </w:abstractNum>
  <w:abstractNum w:abstractNumId="167">
    <w:nsid w:val="135B8110"/>
    <w:multiLevelType w:val="hybridMultilevel"/>
    <w:lvl w:ilvl="0">
      <w:lvlJc w:val="left"/>
      <w:lvlText w:val="%1."/>
      <w:numFmt w:val="decimal"/>
      <w:start w:val="12"/>
    </w:lvl>
  </w:abstractNum>
  <w:abstractNum w:abstractNumId="168">
    <w:nsid w:val="94927A8"/>
    <w:multiLevelType w:val="hybridMultilevel"/>
    <w:lvl w:ilvl="0">
      <w:lvlJc w:val="left"/>
      <w:lvlText w:val="%1."/>
      <w:numFmt w:val="decimal"/>
      <w:start w:val="13"/>
    </w:lvl>
  </w:abstractNum>
  <w:abstractNum w:abstractNumId="169">
    <w:nsid w:val="DCDF8F6"/>
    <w:multiLevelType w:val="hybridMultilevel"/>
    <w:lvl w:ilvl="0">
      <w:lvlJc w:val="left"/>
      <w:lvlText w:val="(%1)"/>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106" Type="http://schemas.openxmlformats.org/officeDocument/2006/relationships/hyperlink" Target="https://www.sec.gov/Archives/edgar/data/1304492/000119312514448683/d765212dex31.htm" TargetMode="External"/><Relationship Id="rId107" Type="http://schemas.openxmlformats.org/officeDocument/2006/relationships/hyperlink" Target="https://www.sec.gov/Archives/edgar/data/1304492/000130449215000016/pdvw-20151105ex310bb9e73.htm" TargetMode="External"/><Relationship Id="rId108" Type="http://schemas.openxmlformats.org/officeDocument/2006/relationships/hyperlink" Target="https://www.sec.gov/Archives/edgar/data/1304492/000130449219000040/atex-20190806xex3_1.htm" TargetMode="External"/><Relationship Id="rId109" Type="http://schemas.openxmlformats.org/officeDocument/2006/relationships/hyperlink" Target="https://www.sec.gov/Archives/edgar/data/1304492/000130449217000024/pdvw-20170627xex3_1.htm" TargetMode="External"/><Relationship Id="rId110" Type="http://schemas.openxmlformats.org/officeDocument/2006/relationships/hyperlink" Target="https://www.sec.gov/Archives/edgar/data/1304492/000130449220000018/atex-20200508xex3_1.htm" TargetMode="External"/><Relationship Id="rId111" Type="http://schemas.openxmlformats.org/officeDocument/2006/relationships/hyperlink" Target="https://www.sec.gov/Archives/edgar/data/1304492/000119312514448683/d765212dex41.htm" TargetMode="External"/><Relationship Id="rId112" Type="http://schemas.openxmlformats.org/officeDocument/2006/relationships/hyperlink" Target="https://www.sec.gov/Archives/edgar/data/1304492/000130449220000027/atex-20200331xex4_5.htm" TargetMode="External"/><Relationship Id="rId113" Type="http://schemas.openxmlformats.org/officeDocument/2006/relationships/hyperlink" Target="https://www.sec.gov/Archives/edgar/data/1304492/000119312514448683/d765212dex106.htm" TargetMode="External"/><Relationship Id="rId114" Type="http://schemas.openxmlformats.org/officeDocument/2006/relationships/hyperlink" Target="https://www.sec.gov/Archives/edgar/data/1304492/000119312515219362/d899328dex107.htm" TargetMode="External"/><Relationship Id="rId115" Type="http://schemas.openxmlformats.org/officeDocument/2006/relationships/hyperlink" Target="https://www.sec.gov/Archives/edgar/data/1304492/000119312515219362/d899328dex108.htm" TargetMode="External"/><Relationship Id="rId116" Type="http://schemas.openxmlformats.org/officeDocument/2006/relationships/hyperlink" Target="https://www.sec.gov/Archives/edgar/data/1304492/000119312515219362/d899328dex109.htm" TargetMode="External"/><Relationship Id="rId117" Type="http://schemas.openxmlformats.org/officeDocument/2006/relationships/hyperlink" Target="https://www.sec.gov/Archives/edgar/data/1304492/000119312514448683/d765212dex108.htm" TargetMode="External"/><Relationship Id="rId118" Type="http://schemas.openxmlformats.org/officeDocument/2006/relationships/hyperlink" Target="https://www.sec.gov/Archives/edgar/data/1304492/000119312514448683/d765212dex109.htm" TargetMode="External"/><Relationship Id="rId121" Type="http://schemas.openxmlformats.org/officeDocument/2006/relationships/hyperlink" Target="https://www.sec.gov/Archives/edgar/data/1304492/000130449225000056/executiveseveranceplan.htm" TargetMode="External"/><Relationship Id="rId122" Type="http://schemas.openxmlformats.org/officeDocument/2006/relationships/hyperlink" Target="https://www.sec.gov/Archives/edgar/data/1304492/000119312515109632/d892855dex992.htm" TargetMode="External"/><Relationship Id="rId123" Type="http://schemas.openxmlformats.org/officeDocument/2006/relationships/hyperlink" Target="https://www.sec.gov/Archives/edgar/data/1304492/000130449216000034/pdvw-20151231ex101a49b33.htm" TargetMode="External"/><Relationship Id="rId124" Type="http://schemas.openxmlformats.org/officeDocument/2006/relationships/hyperlink" Target="https://www.sec.gov/Archives/edgar/data/1304492/000130449216000034/pdvw-20151231ex102ae6456.htm" TargetMode="External"/><Relationship Id="rId125" Type="http://schemas.openxmlformats.org/officeDocument/2006/relationships/hyperlink" Target="https://www.sec.gov/Archives/edgar/data/1304492/000130449216000034/pdvw-20151231ex1032e716d.htm" TargetMode="External"/><Relationship Id="rId126" Type="http://schemas.openxmlformats.org/officeDocument/2006/relationships/hyperlink" Target="https://www.sec.gov/Archives/edgar/data/1304492/000130449216000034/pdvw-20151231ex1044f97e9.htm" TargetMode="External"/><Relationship Id="rId127" Type="http://schemas.openxmlformats.org/officeDocument/2006/relationships/hyperlink" Target="https://www.sec.gov/Archives/edgar/data/1304492/000130449216000034/pdvw-20151231ex105c1af43.htm" TargetMode="External"/><Relationship Id="rId128" Type="http://schemas.openxmlformats.org/officeDocument/2006/relationships/hyperlink" Target="https://www.sec.gov/Archives/edgar/data/1304492/000130449220000055/atex-20200930xex10_1.htm" TargetMode="External"/><Relationship Id="rId129" Type="http://schemas.openxmlformats.org/officeDocument/2006/relationships/hyperlink" Target="https://www.sec.gov/Archives/edgar/data/1304492/000130449220000055/atex-20200930xex10_2.htm" TargetMode="External"/><Relationship Id="rId130" Type="http://schemas.openxmlformats.org/officeDocument/2006/relationships/hyperlink" Target="https://www.sec.gov/Archives/edgar/data/1304492/000130449221000018/atex-20210331xex10_40.htm" TargetMode="External"/><Relationship Id="rId131" Type="http://schemas.openxmlformats.org/officeDocument/2006/relationships/hyperlink" Target="https://www.sec.gov/Archives/edgar/data/1304492/000130449223000039/atexfy2023proxy.htm" TargetMode="External"/><Relationship Id="rId132" Type="http://schemas.openxmlformats.org/officeDocument/2006/relationships/hyperlink" Target="https://www.sec.gov/Archives/edgar/data/1304492/000130449224000121/transitionandseparationa.htm" TargetMode="External"/><Relationship Id="rId133" Type="http://schemas.openxmlformats.org/officeDocument/2006/relationships/hyperlink" Target="https://www.sec.gov/Archives/edgar/data/1304492/000130449224000121/offerletter.htm" TargetMode="External"/><Relationship Id="rId134" Type="http://schemas.openxmlformats.org/officeDocument/2006/relationships/hyperlink" Target="https://www.sec.gov/Archives/edgar/data/0001304492/000130449224000121/subsequentreleaseagreeme.htm" TargetMode="External"/><Relationship Id="rId135" Type="http://schemas.openxmlformats.org/officeDocument/2006/relationships/hyperlink" Target="https://www.sec.gov/Archives/edgar/data/1304492/000130449225000024/morganobrienconsultingag.htm" TargetMode="External"/><Relationship Id="rId138" Type="http://schemas.openxmlformats.org/officeDocument/2006/relationships/hyperlink" Target="https://www.sec.gov/Archives/edgar/data/1304492/000130449225000024/tomkuhn-employmentofferl.htm" TargetMode="External"/><Relationship Id="rId139" Type="http://schemas.openxmlformats.org/officeDocument/2006/relationships/hyperlink" Target="https://www.sec.gov/Archives/edgar/data/1304492/000130449226000010/cgmbonusagreement10-03x2.htm" TargetMode="External"/><Relationship Id="rId140" Type="http://schemas.openxmlformats.org/officeDocument/2006/relationships/hyperlink" Target="https://www.sec.gov/Archives/edgar/data/1304492/000130449224000077/executiveofficer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2026-06-25T14:12:40Z</dcterms:created>
  <dcterms:modified xsi:type="dcterms:W3CDTF">2026-06-25T14:12:40Z</dcterms:modified>
</cp:coreProperties>
</file>