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1"/>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211455</wp:posOffset>
            </wp:positionH>
            <wp:positionV relativeFrom="page">
              <wp:posOffset>788670</wp:posOffset>
            </wp:positionV>
            <wp:extent cx="71577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8890"/>
                    </a:xfrm>
                    <a:prstGeom prst="rect">
                      <a:avLst/>
                    </a:prstGeom>
                    <a:noFill/>
                  </pic:spPr>
                </pic:pic>
              </a:graphicData>
            </a:graphic>
          </wp:anchor>
        </w:drawing>
        <w:t>UNITED STATES</w:t>
      </w:r>
    </w:p>
    <w:p>
      <w:pPr>
        <w:spacing w:after="0" w:line="61"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30"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47"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57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65" w:lineRule="exact"/>
        <w:rPr>
          <w:sz w:val="24"/>
          <w:szCs w:val="24"/>
          <w:color w:val="auto"/>
        </w:rPr>
      </w:pPr>
    </w:p>
    <w:p>
      <w:pPr>
        <w:spacing w:after="0" w:line="207" w:lineRule="exact"/>
        <w:tabs>
          <w:tab w:leader="none" w:pos="176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380" w:hanging="36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380" w:hanging="36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92" w:lineRule="exact"/>
        <w:rPr>
          <w:sz w:val="24"/>
          <w:szCs w:val="24"/>
          <w:color w:val="auto"/>
        </w:rPr>
      </w:pPr>
    </w:p>
    <w:p>
      <w:pPr>
        <w:ind w:left="20" w:right="7498" w:hanging="9"/>
        <w:spacing w:after="0" w:line="246" w:lineRule="exact"/>
        <w:tabs>
          <w:tab w:leader="none" w:pos="385"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Definitive Proxy Statement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Additional Materials</w:t>
      </w:r>
    </w:p>
    <w:p>
      <w:pPr>
        <w:spacing w:after="0" w:line="1" w:lineRule="exact"/>
        <w:rPr>
          <w:rFonts w:ascii="MS PGothic" w:cs="MS PGothic" w:eastAsia="MS PGothic" w:hAnsi="MS PGothic"/>
          <w:sz w:val="22"/>
          <w:szCs w:val="22"/>
          <w:color w:val="auto"/>
        </w:rPr>
      </w:pPr>
    </w:p>
    <w:p>
      <w:pPr>
        <w:ind w:left="20"/>
        <w:spacing w:after="0" w:line="207" w:lineRule="exact"/>
        <w:rPr>
          <w:rFonts w:ascii="MS PGothic" w:cs="MS PGothic" w:eastAsia="MS PGothic" w:hAnsi="MS PGothic"/>
          <w:sz w:val="22"/>
          <w:szCs w:val="22"/>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under §240.14a-12</w:t>
      </w:r>
    </w:p>
    <w:p>
      <w:pPr>
        <w:spacing w:after="0" w:line="64"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43"/>
          <w:szCs w:val="43"/>
          <w:b w:val="1"/>
          <w:bCs w:val="1"/>
          <w:color w:val="auto"/>
        </w:rPr>
        <w:t>Anterix Inc.</w:t>
      </w:r>
    </w:p>
    <w:p>
      <w:pPr>
        <w:spacing w:after="0" w:line="58"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380" w:hanging="369"/>
        <w:spacing w:after="0"/>
        <w:tabs>
          <w:tab w:leader="none" w:pos="38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No fee required</w:t>
      </w:r>
    </w:p>
    <w:p>
      <w:pPr>
        <w:spacing w:after="0" w:line="15" w:lineRule="exact"/>
        <w:rPr>
          <w:sz w:val="24"/>
          <w:szCs w:val="24"/>
          <w:color w:val="auto"/>
        </w:rPr>
      </w:pPr>
    </w:p>
    <w:p>
      <w:pPr>
        <w:ind w:left="380" w:hanging="369"/>
        <w:spacing w:after="0"/>
        <w:tabs>
          <w:tab w:leader="none" w:pos="3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2" w:lineRule="exact"/>
        <w:rPr>
          <w:rFonts w:ascii="MS PGothic" w:cs="MS PGothic" w:eastAsia="MS PGothic" w:hAnsi="MS PGothic"/>
          <w:sz w:val="18"/>
          <w:szCs w:val="18"/>
          <w:color w:val="auto"/>
        </w:rPr>
      </w:pPr>
    </w:p>
    <w:p>
      <w:pPr>
        <w:ind w:left="380" w:hanging="369"/>
        <w:spacing w:after="0"/>
        <w:tabs>
          <w:tab w:leader="none" w:pos="3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789940</wp:posOffset>
            </wp:positionV>
            <wp:extent cx="71831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38"/>
          </w:cols>
          <w:pgMar w:left="340" w:top="135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240030</wp:posOffset>
            </wp:positionV>
            <wp:extent cx="7183120" cy="8936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3120" cy="893635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211455</wp:posOffset>
            </wp:positionH>
            <wp:positionV relativeFrom="page">
              <wp:posOffset>720090</wp:posOffset>
            </wp:positionV>
            <wp:extent cx="2288540" cy="7492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749236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0"/>
        <w:spacing w:after="0" w:line="286" w:lineRule="auto"/>
        <w:rPr>
          <w:sz w:val="20"/>
          <w:szCs w:val="20"/>
          <w:color w:val="auto"/>
        </w:rPr>
      </w:pPr>
      <w:r>
        <w:rPr>
          <w:rFonts w:ascii="Arial" w:cs="Arial" w:eastAsia="Arial" w:hAnsi="Arial"/>
          <w:sz w:val="23"/>
          <w:szCs w:val="23"/>
          <w:b w:val="1"/>
          <w:bCs w:val="1"/>
          <w:color w:val="181818"/>
        </w:rPr>
        <w:t>Notice of 2026 Annual Meeting of Stockholders of Anterix Inc.</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1B6F80"/>
        </w:rPr>
        <w:t>DATE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August 4, 2026</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1B6F80"/>
        </w:rPr>
        <w:t>TIME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9:30 AM Eastern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Daylight Time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1B6F80"/>
        </w:rPr>
        <w:t>MEETING WEB ADDRESS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www.virtualshareholdermeeting.com/atex2026</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1B6F80"/>
        </w:rPr>
        <w:t>RECORD DATE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June 11,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1"/>
          <w:szCs w:val="41"/>
          <w:b w:val="1"/>
          <w:bCs w:val="1"/>
          <w:color w:val="181818"/>
        </w:rPr>
        <w:t>Dear Stockholders,</w:t>
      </w:r>
    </w:p>
    <w:p>
      <w:pPr>
        <w:spacing w:after="0" w:line="281"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You are invited to attend the Anterix Inc. 2026 Annual Meeting of Stockholders, which will be held on August 4, 2026, at 9:30 AM, Eastern Daylight Time (the "Annual Meeting"). The Annual Meeting will be held virtually by webcast at www.virtualshareholdermeeting.com/atex2026.</w:t>
      </w:r>
    </w:p>
    <w:p>
      <w:pPr>
        <w:spacing w:after="0" w:line="5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w:t>
      </w:r>
    </w:p>
    <w:p>
      <w:pPr>
        <w:spacing w:after="0" w:line="362" w:lineRule="exact"/>
        <w:rPr>
          <w:sz w:val="20"/>
          <w:szCs w:val="20"/>
          <w:color w:val="auto"/>
        </w:rPr>
      </w:pPr>
    </w:p>
    <w:p>
      <w:pPr>
        <w:ind w:left="1060" w:right="360" w:hanging="712"/>
        <w:spacing w:after="0" w:line="184" w:lineRule="auto"/>
        <w:tabs>
          <w:tab w:leader="none" w:pos="1060" w:val="left"/>
        </w:tabs>
        <w:numPr>
          <w:ilvl w:val="0"/>
          <w:numId w:val="5"/>
        </w:numPr>
        <w:rPr>
          <w:rFonts w:ascii="Arial" w:cs="Arial" w:eastAsia="Arial" w:hAnsi="Arial"/>
          <w:sz w:val="33"/>
          <w:szCs w:val="33"/>
          <w:b w:val="1"/>
          <w:bCs w:val="1"/>
          <w:color w:val="FFFFFF"/>
          <w:vertAlign w:val="subscript"/>
        </w:rPr>
      </w:pPr>
      <w:r>
        <w:rPr>
          <w:rFonts w:ascii="Arial" w:cs="Arial" w:eastAsia="Arial" w:hAnsi="Arial"/>
          <w:sz w:val="13"/>
          <w:szCs w:val="13"/>
          <w:color w:val="auto"/>
        </w:rPr>
        <w:t>To elect seven directors nominated by the Board of Directors to serve until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-330835</wp:posOffset>
            </wp:positionV>
            <wp:extent cx="4732020" cy="2726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32020" cy="2726055"/>
                    </a:xfrm>
                    <a:prstGeom prst="rect">
                      <a:avLst/>
                    </a:prstGeom>
                    <a:noFill/>
                  </pic:spPr>
                </pic:pic>
              </a:graphicData>
            </a:graphic>
          </wp:anchor>
        </w:drawing>
      </w:r>
    </w:p>
    <w:p>
      <w:pPr>
        <w:spacing w:after="0" w:line="222" w:lineRule="exact"/>
        <w:rPr>
          <w:sz w:val="20"/>
          <w:szCs w:val="20"/>
          <w:color w:val="auto"/>
        </w:rPr>
      </w:pPr>
    </w:p>
    <w:p>
      <w:pPr>
        <w:ind w:left="1060" w:right="620" w:hanging="712"/>
        <w:spacing w:after="0"/>
        <w:tabs>
          <w:tab w:leader="none" w:pos="1060" w:val="left"/>
        </w:tabs>
        <w:numPr>
          <w:ilvl w:val="0"/>
          <w:numId w:val="6"/>
        </w:numPr>
        <w:rPr>
          <w:rFonts w:ascii="Arial" w:cs="Arial" w:eastAsia="Arial" w:hAnsi="Arial"/>
          <w:sz w:val="33"/>
          <w:szCs w:val="33"/>
          <w:b w:val="1"/>
          <w:bCs w:val="1"/>
          <w:color w:val="FFFFFF"/>
          <w:vertAlign w:val="subscript"/>
        </w:rPr>
      </w:pPr>
      <w:r>
        <w:rPr>
          <w:rFonts w:ascii="Arial" w:cs="Arial" w:eastAsia="Arial" w:hAnsi="Arial"/>
          <w:sz w:val="13"/>
          <w:szCs w:val="13"/>
          <w:color w:val="auto"/>
        </w:rPr>
        <w:t>To approve, on an advisory (non-binding) basis, the compensation of our named executive officers</w:t>
      </w:r>
    </w:p>
    <w:p>
      <w:pPr>
        <w:spacing w:after="0" w:line="269" w:lineRule="exact"/>
        <w:rPr>
          <w:sz w:val="20"/>
          <w:szCs w:val="20"/>
          <w:color w:val="auto"/>
        </w:rPr>
      </w:pPr>
    </w:p>
    <w:p>
      <w:pPr>
        <w:ind w:left="1060" w:right="580" w:hanging="712"/>
        <w:spacing w:after="0" w:line="184" w:lineRule="auto"/>
        <w:tabs>
          <w:tab w:leader="none" w:pos="1060" w:val="left"/>
        </w:tabs>
        <w:numPr>
          <w:ilvl w:val="0"/>
          <w:numId w:val="7"/>
        </w:numPr>
        <w:rPr>
          <w:rFonts w:ascii="Arial" w:cs="Arial" w:eastAsia="Arial" w:hAnsi="Arial"/>
          <w:sz w:val="33"/>
          <w:szCs w:val="33"/>
          <w:b w:val="1"/>
          <w:bCs w:val="1"/>
          <w:color w:val="FFFFFF"/>
          <w:vertAlign w:val="subscript"/>
        </w:rPr>
      </w:pPr>
      <w:r>
        <w:rPr>
          <w:rFonts w:ascii="Arial" w:cs="Arial" w:eastAsia="Arial" w:hAnsi="Arial"/>
          <w:sz w:val="13"/>
          <w:szCs w:val="13"/>
          <w:color w:val="auto"/>
        </w:rPr>
        <w:t>To approve Amendment No. 2 to the Anterix Inc. 2023 Stock Plan to increase the number of shares available for issuance under the plan</w:t>
      </w:r>
    </w:p>
    <w:p>
      <w:pPr>
        <w:spacing w:after="0" w:line="337" w:lineRule="exact"/>
        <w:rPr>
          <w:sz w:val="20"/>
          <w:szCs w:val="20"/>
          <w:color w:val="auto"/>
        </w:rPr>
      </w:pPr>
    </w:p>
    <w:p>
      <w:pPr>
        <w:ind w:left="1060" w:right="180" w:hanging="712"/>
        <w:spacing w:after="0" w:line="183" w:lineRule="auto"/>
        <w:tabs>
          <w:tab w:leader="none" w:pos="1060" w:val="left"/>
        </w:tabs>
        <w:numPr>
          <w:ilvl w:val="0"/>
          <w:numId w:val="8"/>
        </w:numPr>
        <w:rPr>
          <w:rFonts w:ascii="Arial" w:cs="Arial" w:eastAsia="Arial" w:hAnsi="Arial"/>
          <w:sz w:val="34"/>
          <w:szCs w:val="34"/>
          <w:b w:val="1"/>
          <w:bCs w:val="1"/>
          <w:color w:val="FFFFFF"/>
          <w:vertAlign w:val="subscript"/>
        </w:rPr>
      </w:pPr>
      <w:r>
        <w:rPr>
          <w:rFonts w:ascii="Arial" w:cs="Arial" w:eastAsia="Arial" w:hAnsi="Arial"/>
          <w:sz w:val="14"/>
          <w:szCs w:val="14"/>
          <w:color w:val="auto"/>
        </w:rPr>
        <w:t>To approve, on an advisory (non-binding) basis, the frequency of future advisory votes on the compensation of our named executive officers</w:t>
      </w:r>
    </w:p>
    <w:p>
      <w:pPr>
        <w:spacing w:after="0" w:line="200" w:lineRule="exact"/>
        <w:rPr>
          <w:sz w:val="20"/>
          <w:szCs w:val="20"/>
          <w:color w:val="auto"/>
        </w:rPr>
      </w:pPr>
    </w:p>
    <w:p>
      <w:pPr>
        <w:spacing w:after="0" w:line="230" w:lineRule="exact"/>
        <w:rPr>
          <w:sz w:val="20"/>
          <w:szCs w:val="20"/>
          <w:color w:val="auto"/>
        </w:rPr>
      </w:pPr>
    </w:p>
    <w:p>
      <w:pPr>
        <w:ind w:left="1060" w:right="80" w:hanging="712"/>
        <w:spacing w:after="0" w:line="184" w:lineRule="auto"/>
        <w:tabs>
          <w:tab w:leader="none" w:pos="1060" w:val="left"/>
        </w:tabs>
        <w:numPr>
          <w:ilvl w:val="0"/>
          <w:numId w:val="9"/>
        </w:numPr>
        <w:rPr>
          <w:rFonts w:ascii="Arial" w:cs="Arial" w:eastAsia="Arial" w:hAnsi="Arial"/>
          <w:sz w:val="33"/>
          <w:szCs w:val="33"/>
          <w:b w:val="1"/>
          <w:bCs w:val="1"/>
          <w:color w:val="FFFFFF"/>
          <w:vertAlign w:val="subscript"/>
        </w:rPr>
      </w:pPr>
      <w:r>
        <w:rPr>
          <w:rFonts w:ascii="Arial" w:cs="Arial" w:eastAsia="Arial" w:hAnsi="Arial"/>
          <w:sz w:val="13"/>
          <w:szCs w:val="13"/>
          <w:color w:val="auto"/>
        </w:rPr>
        <w:t>To ratify the appointment of Deloitte &amp; Touche LLP as our independent registered public accounting firm for the fiscal year ending March 31, 2027</w:t>
      </w:r>
    </w:p>
    <w:p>
      <w:pPr>
        <w:spacing w:after="0" w:line="337" w:lineRule="exact"/>
        <w:rPr>
          <w:sz w:val="20"/>
          <w:szCs w:val="20"/>
          <w:color w:val="auto"/>
        </w:rPr>
      </w:pPr>
    </w:p>
    <w:p>
      <w:pPr>
        <w:ind w:left="1060" w:right="640" w:hanging="712"/>
        <w:spacing w:after="0" w:line="183" w:lineRule="auto"/>
        <w:tabs>
          <w:tab w:leader="none" w:pos="1060" w:val="left"/>
        </w:tabs>
        <w:numPr>
          <w:ilvl w:val="0"/>
          <w:numId w:val="10"/>
        </w:numPr>
        <w:rPr>
          <w:rFonts w:ascii="Arial" w:cs="Arial" w:eastAsia="Arial" w:hAnsi="Arial"/>
          <w:sz w:val="34"/>
          <w:szCs w:val="34"/>
          <w:b w:val="1"/>
          <w:bCs w:val="1"/>
          <w:color w:val="FFFFFF"/>
          <w:vertAlign w:val="subscript"/>
        </w:rPr>
      </w:pPr>
      <w:r>
        <w:rPr>
          <w:rFonts w:ascii="Arial" w:cs="Arial" w:eastAsia="Arial" w:hAnsi="Arial"/>
          <w:sz w:val="14"/>
          <w:szCs w:val="14"/>
          <w:color w:val="auto"/>
        </w:rPr>
        <w:t>To transact such other business properly brought before the meeting and at any adjournment or postponement thereof</w:t>
      </w:r>
    </w:p>
    <w:p>
      <w:pPr>
        <w:spacing w:after="0" w:line="36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Whether you expect to attend the Annual Meeting or not, you are urged to read this Proxy Statement (the "Proxy Statement") and vote or submit your proxy as soon as possible so that your shares can be voted at the Annual Meeting in accordance with your instructions. Telephone, mail, and internet voting are available. Please refer to the information in this Proxy Statement and on your proxy card for specific voting instructions. If you hold your shares through an account with a broker, bank, trustee, or other nominee, please follow the instructions you receive from them to vote your shares. Please refer to the section “Additional Information” in this Proxy Statement for detailed information on accessing the meeting, voting, and asking questions at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1645920" cy="574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Gena L. Ashe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181818"/>
        </w:rPr>
        <w:t>Important notice regarding the availability of proxy materials for the Annual Meeting:</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This Proxy Statement for the Annual Meeting, our Annual Report, and the proxy card and voting instruction form are available on our investor website at investors.anterix.com.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613410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2">
            <w:col w:w="3320" w:space="340"/>
            <w:col w:w="7400"/>
          </w:cols>
          <w:pgMar w:left="520" w:top="1133" w:right="338" w:bottom="1440" w:gutter="0" w:footer="0" w:header="0"/>
        </w:sectPr>
      </w:pPr>
    </w:p>
    <w:bookmarkStart w:id="3" w:name="page4"/>
    <w:bookmarkEnd w:id="3"/>
    <w:p>
      <w:pPr>
        <w:spacing w:after="0"/>
        <w:rPr>
          <w:sz w:val="20"/>
          <w:szCs w:val="20"/>
          <w:color w:val="auto"/>
        </w:rPr>
      </w:pPr>
      <w:r>
        <w:rPr>
          <w:rFonts w:ascii="Arial" w:cs="Arial" w:eastAsia="Arial" w:hAnsi="Arial"/>
          <w:sz w:val="41"/>
          <w:szCs w:val="41"/>
          <w:b w:val="1"/>
          <w:bCs w:val="1"/>
          <w:color w:val="181818"/>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2026 Proxy Statement Summary</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1</w:t>
            </w:r>
          </w:p>
        </w:tc>
      </w:tr>
      <w:tr>
        <w:trPr>
          <w:trHeight w:val="197"/>
        </w:trPr>
        <w:tc>
          <w:tcPr>
            <w:tcW w:w="10240" w:type="dxa"/>
            <w:vAlign w:val="bottom"/>
          </w:tcPr>
          <w:p>
            <w:pPr>
              <w:ind w:left="500"/>
              <w:spacing w:after="0"/>
              <w:rPr>
                <w:sz w:val="20"/>
                <w:szCs w:val="20"/>
                <w:color w:val="auto"/>
              </w:rPr>
            </w:pPr>
            <w:r>
              <w:rPr>
                <w:rFonts w:ascii="Arial" w:cs="Arial" w:eastAsia="Arial" w:hAnsi="Arial"/>
                <w:sz w:val="14"/>
                <w:szCs w:val="14"/>
                <w:color w:val="auto"/>
              </w:rPr>
              <w:t>About Anterix</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7"/>
        </w:trPr>
        <w:tc>
          <w:tcPr>
            <w:tcW w:w="10240" w:type="dxa"/>
            <w:vAlign w:val="bottom"/>
          </w:tcPr>
          <w:p>
            <w:pPr>
              <w:ind w:left="500"/>
              <w:spacing w:after="0"/>
              <w:rPr>
                <w:sz w:val="20"/>
                <w:szCs w:val="20"/>
                <w:color w:val="auto"/>
              </w:rPr>
            </w:pPr>
            <w:r>
              <w:rPr>
                <w:rFonts w:ascii="Arial" w:cs="Arial" w:eastAsia="Arial" w:hAnsi="Arial"/>
                <w:sz w:val="14"/>
                <w:szCs w:val="14"/>
                <w:color w:val="auto"/>
              </w:rPr>
              <w:t>Corporate Governance Highlights</w:t>
            </w: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Director Nominees</w:t>
            </w: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10240" w:type="dxa"/>
            <w:vAlign w:val="bottom"/>
          </w:tcPr>
          <w:p>
            <w:pPr>
              <w:ind w:left="500"/>
              <w:spacing w:after="0"/>
              <w:rPr>
                <w:sz w:val="20"/>
                <w:szCs w:val="20"/>
                <w:color w:val="auto"/>
              </w:rPr>
            </w:pPr>
            <w:r>
              <w:rPr>
                <w:rFonts w:ascii="Arial" w:cs="Arial" w:eastAsia="Arial" w:hAnsi="Arial"/>
                <w:sz w:val="14"/>
                <w:szCs w:val="14"/>
                <w:color w:val="auto"/>
              </w:rPr>
              <w:t>Executive Compensation Highlights</w:t>
            </w: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7"/>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General Information</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6</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Voting Instructions</w:t>
            </w: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10240" w:type="dxa"/>
            <w:vAlign w:val="bottom"/>
          </w:tcPr>
          <w:p>
            <w:pPr>
              <w:ind w:left="500"/>
              <w:spacing w:after="0"/>
              <w:rPr>
                <w:sz w:val="20"/>
                <w:szCs w:val="20"/>
                <w:color w:val="auto"/>
              </w:rPr>
            </w:pPr>
            <w:r>
              <w:rPr>
                <w:rFonts w:ascii="Arial" w:cs="Arial" w:eastAsia="Arial" w:hAnsi="Arial"/>
                <w:sz w:val="14"/>
                <w:szCs w:val="14"/>
                <w:color w:val="auto"/>
              </w:rPr>
              <w:t>Proxies</w:t>
            </w: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7"/>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PROPOSAL 1 Election of Directors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8</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Director Nominees</w:t>
            </w:r>
          </w:p>
        </w:tc>
        <w:tc>
          <w:tcPr>
            <w:tcW w:w="10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10240" w:type="dxa"/>
            <w:vAlign w:val="bottom"/>
          </w:tcPr>
          <w:p>
            <w:pPr>
              <w:ind w:left="500"/>
              <w:spacing w:after="0"/>
              <w:rPr>
                <w:sz w:val="20"/>
                <w:szCs w:val="20"/>
                <w:color w:val="auto"/>
              </w:rPr>
            </w:pPr>
            <w:r>
              <w:rPr>
                <w:rFonts w:ascii="Arial" w:cs="Arial" w:eastAsia="Arial" w:hAnsi="Arial"/>
                <w:sz w:val="14"/>
                <w:szCs w:val="14"/>
                <w:color w:val="auto"/>
              </w:rPr>
              <w:t>Director Nominee Skills</w:t>
            </w: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5"/>
        </w:trPr>
        <w:tc>
          <w:tcPr>
            <w:tcW w:w="10240" w:type="dxa"/>
            <w:vAlign w:val="bottom"/>
          </w:tcPr>
          <w:p>
            <w:pPr>
              <w:ind w:left="500"/>
              <w:spacing w:after="0"/>
              <w:rPr>
                <w:sz w:val="20"/>
                <w:szCs w:val="20"/>
                <w:color w:val="auto"/>
              </w:rPr>
            </w:pPr>
            <w:r>
              <w:rPr>
                <w:rFonts w:ascii="Arial" w:cs="Arial" w:eastAsia="Arial" w:hAnsi="Arial"/>
                <w:sz w:val="14"/>
                <w:szCs w:val="14"/>
                <w:color w:val="auto"/>
              </w:rPr>
              <w:t>Director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2"/>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Corporate Governance Matters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16</w:t>
            </w:r>
          </w:p>
        </w:tc>
      </w:tr>
      <w:tr>
        <w:trPr>
          <w:trHeight w:val="197"/>
        </w:trPr>
        <w:tc>
          <w:tcPr>
            <w:tcW w:w="10240" w:type="dxa"/>
            <w:vAlign w:val="bottom"/>
          </w:tcPr>
          <w:p>
            <w:pPr>
              <w:ind w:left="500"/>
              <w:spacing w:after="0"/>
              <w:rPr>
                <w:sz w:val="20"/>
                <w:szCs w:val="20"/>
                <w:color w:val="auto"/>
              </w:rPr>
            </w:pPr>
            <w:r>
              <w:rPr>
                <w:rFonts w:ascii="Arial" w:cs="Arial" w:eastAsia="Arial" w:hAnsi="Arial"/>
                <w:sz w:val="14"/>
                <w:szCs w:val="14"/>
                <w:color w:val="auto"/>
              </w:rPr>
              <w:t>Corporate Governance Guidelines and Code of Business Conduct</w:t>
            </w: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97"/>
        </w:trPr>
        <w:tc>
          <w:tcPr>
            <w:tcW w:w="10240" w:type="dxa"/>
            <w:vAlign w:val="bottom"/>
          </w:tcPr>
          <w:p>
            <w:pPr>
              <w:ind w:left="500"/>
              <w:spacing w:after="0"/>
              <w:rPr>
                <w:sz w:val="20"/>
                <w:szCs w:val="20"/>
                <w:color w:val="auto"/>
              </w:rPr>
            </w:pPr>
            <w:r>
              <w:rPr>
                <w:rFonts w:ascii="Arial" w:cs="Arial" w:eastAsia="Arial" w:hAnsi="Arial"/>
                <w:sz w:val="14"/>
                <w:szCs w:val="14"/>
                <w:color w:val="auto"/>
              </w:rPr>
              <w:t>Board Committees</w:t>
            </w: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Board Composition and Processes</w:t>
            </w: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3"/>
        </w:trPr>
        <w:tc>
          <w:tcPr>
            <w:tcW w:w="10240" w:type="dxa"/>
            <w:vAlign w:val="bottom"/>
          </w:tcPr>
          <w:p>
            <w:pPr>
              <w:ind w:left="500"/>
              <w:spacing w:after="0"/>
              <w:rPr>
                <w:sz w:val="20"/>
                <w:szCs w:val="20"/>
                <w:color w:val="auto"/>
              </w:rPr>
            </w:pPr>
            <w:r>
              <w:rPr>
                <w:rFonts w:ascii="Arial" w:cs="Arial" w:eastAsia="Arial" w:hAnsi="Arial"/>
                <w:sz w:val="14"/>
                <w:szCs w:val="14"/>
                <w:color w:val="auto"/>
              </w:rPr>
              <w:t>Stockholder Communications</w:t>
            </w: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97"/>
        </w:trPr>
        <w:tc>
          <w:tcPr>
            <w:tcW w:w="10240" w:type="dxa"/>
            <w:vAlign w:val="bottom"/>
          </w:tcPr>
          <w:p>
            <w:pPr>
              <w:ind w:left="500"/>
              <w:spacing w:after="0"/>
              <w:rPr>
                <w:sz w:val="20"/>
                <w:szCs w:val="20"/>
                <w:color w:val="auto"/>
              </w:rPr>
            </w:pPr>
            <w:r>
              <w:rPr>
                <w:rFonts w:ascii="Arial" w:cs="Arial" w:eastAsia="Arial" w:hAnsi="Arial"/>
                <w:sz w:val="14"/>
                <w:szCs w:val="14"/>
                <w:color w:val="auto"/>
              </w:rPr>
              <w:t>Environmental, Social, and Governance Oversight</w:t>
            </w: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Human Capital Management</w:t>
            </w: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3"/>
        </w:trPr>
        <w:tc>
          <w:tcPr>
            <w:tcW w:w="10240" w:type="dxa"/>
            <w:vAlign w:val="bottom"/>
          </w:tcPr>
          <w:p>
            <w:pPr>
              <w:ind w:left="500"/>
              <w:spacing w:after="0"/>
              <w:rPr>
                <w:sz w:val="20"/>
                <w:szCs w:val="20"/>
                <w:color w:val="auto"/>
              </w:rPr>
            </w:pPr>
            <w:r>
              <w:rPr>
                <w:rFonts w:ascii="Arial" w:cs="Arial" w:eastAsia="Arial" w:hAnsi="Arial"/>
                <w:sz w:val="14"/>
                <w:szCs w:val="14"/>
                <w:color w:val="auto"/>
              </w:rPr>
              <w:t>Cybersecurity</w:t>
            </w:r>
          </w:p>
        </w:tc>
        <w:tc>
          <w:tcPr>
            <w:tcW w:w="10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95"/>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Executive Officers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27</w:t>
            </w:r>
          </w:p>
        </w:tc>
      </w:tr>
      <w:tr>
        <w:trPr>
          <w:trHeight w:val="202"/>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PROPOSAL 2 Advisory Vote to Approve NEO Compensation</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29</w:t>
            </w:r>
          </w:p>
        </w:tc>
      </w:tr>
      <w:tr>
        <w:trPr>
          <w:trHeight w:val="203"/>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Executive Compensation (CD&amp;A)</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30</w:t>
            </w:r>
          </w:p>
        </w:tc>
      </w:tr>
      <w:tr>
        <w:trPr>
          <w:trHeight w:val="191"/>
        </w:trPr>
        <w:tc>
          <w:tcPr>
            <w:tcW w:w="10240" w:type="dxa"/>
            <w:vAlign w:val="bottom"/>
          </w:tcPr>
          <w:p>
            <w:pPr>
              <w:ind w:left="500"/>
              <w:spacing w:after="0"/>
              <w:rPr>
                <w:sz w:val="20"/>
                <w:szCs w:val="20"/>
                <w:color w:val="auto"/>
              </w:rPr>
            </w:pPr>
            <w:r>
              <w:rPr>
                <w:rFonts w:ascii="Arial" w:cs="Arial" w:eastAsia="Arial" w:hAnsi="Arial"/>
                <w:sz w:val="14"/>
                <w:szCs w:val="14"/>
                <w:color w:val="auto"/>
              </w:rPr>
              <w:t>Summary of Fiscal 2026 Achievements</w:t>
            </w: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Fiscal 2026 Compensation Highlights</w:t>
            </w:r>
          </w:p>
        </w:tc>
        <w:tc>
          <w:tcPr>
            <w:tcW w:w="10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3"/>
        </w:trPr>
        <w:tc>
          <w:tcPr>
            <w:tcW w:w="10240" w:type="dxa"/>
            <w:vAlign w:val="bottom"/>
          </w:tcPr>
          <w:p>
            <w:pPr>
              <w:ind w:left="500"/>
              <w:spacing w:after="0"/>
              <w:rPr>
                <w:sz w:val="20"/>
                <w:szCs w:val="20"/>
                <w:color w:val="auto"/>
              </w:rPr>
            </w:pPr>
            <w:r>
              <w:rPr>
                <w:rFonts w:ascii="Arial" w:cs="Arial" w:eastAsia="Arial" w:hAnsi="Arial"/>
                <w:sz w:val="14"/>
                <w:szCs w:val="14"/>
                <w:color w:val="auto"/>
              </w:rPr>
              <w:t>Compensation Philosophy</w:t>
            </w: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7"/>
        </w:trPr>
        <w:tc>
          <w:tcPr>
            <w:tcW w:w="10240" w:type="dxa"/>
            <w:vAlign w:val="bottom"/>
          </w:tcPr>
          <w:p>
            <w:pPr>
              <w:ind w:left="500"/>
              <w:spacing w:after="0"/>
              <w:rPr>
                <w:sz w:val="20"/>
                <w:szCs w:val="20"/>
                <w:color w:val="auto"/>
              </w:rPr>
            </w:pPr>
            <w:r>
              <w:rPr>
                <w:rFonts w:ascii="Arial" w:cs="Arial" w:eastAsia="Arial" w:hAnsi="Arial"/>
                <w:sz w:val="14"/>
                <w:szCs w:val="14"/>
                <w:color w:val="auto"/>
              </w:rPr>
              <w:t>2025 Say on Pay Vote and Stockholder Engagement</w:t>
            </w: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Compensation Governance and the Compensation-Setting Process</w:t>
            </w:r>
          </w:p>
        </w:tc>
        <w:tc>
          <w:tcPr>
            <w:tcW w:w="1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3"/>
        </w:trPr>
        <w:tc>
          <w:tcPr>
            <w:tcW w:w="10240" w:type="dxa"/>
            <w:vAlign w:val="bottom"/>
          </w:tcPr>
          <w:p>
            <w:pPr>
              <w:ind w:left="500"/>
              <w:spacing w:after="0"/>
              <w:rPr>
                <w:sz w:val="20"/>
                <w:szCs w:val="20"/>
                <w:color w:val="auto"/>
              </w:rPr>
            </w:pPr>
            <w:r>
              <w:rPr>
                <w:rFonts w:ascii="Arial" w:cs="Arial" w:eastAsia="Arial" w:hAnsi="Arial"/>
                <w:sz w:val="14"/>
                <w:szCs w:val="14"/>
                <w:color w:val="auto"/>
              </w:rPr>
              <w:t>Compensation Elements</w:t>
            </w: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7"/>
        </w:trPr>
        <w:tc>
          <w:tcPr>
            <w:tcW w:w="10240" w:type="dxa"/>
            <w:vAlign w:val="bottom"/>
          </w:tcPr>
          <w:p>
            <w:pPr>
              <w:ind w:left="500"/>
              <w:spacing w:after="0"/>
              <w:rPr>
                <w:sz w:val="20"/>
                <w:szCs w:val="20"/>
                <w:color w:val="auto"/>
              </w:rPr>
            </w:pPr>
            <w:r>
              <w:rPr>
                <w:rFonts w:ascii="Arial" w:cs="Arial" w:eastAsia="Arial" w:hAnsi="Arial"/>
                <w:sz w:val="14"/>
                <w:szCs w:val="14"/>
                <w:color w:val="auto"/>
              </w:rPr>
              <w:t>Report of the Compensation Committee</w:t>
            </w:r>
          </w:p>
        </w:tc>
        <w:tc>
          <w:tcPr>
            <w:tcW w:w="10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Summary Compensation Table</w:t>
            </w: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3"/>
        </w:trPr>
        <w:tc>
          <w:tcPr>
            <w:tcW w:w="10240" w:type="dxa"/>
            <w:vAlign w:val="bottom"/>
          </w:tcPr>
          <w:p>
            <w:pPr>
              <w:ind w:left="500"/>
              <w:spacing w:after="0"/>
              <w:rPr>
                <w:sz w:val="20"/>
                <w:szCs w:val="20"/>
                <w:color w:val="auto"/>
              </w:rPr>
            </w:pPr>
            <w:r>
              <w:rPr>
                <w:rFonts w:ascii="Arial" w:cs="Arial" w:eastAsia="Arial" w:hAnsi="Arial"/>
                <w:sz w:val="14"/>
                <w:szCs w:val="14"/>
                <w:color w:val="auto"/>
              </w:rPr>
              <w:t>2026 Grants of Plan-Based Awards</w:t>
            </w: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3"/>
        </w:trPr>
        <w:tc>
          <w:tcPr>
            <w:tcW w:w="10240" w:type="dxa"/>
            <w:vAlign w:val="bottom"/>
          </w:tcPr>
          <w:p>
            <w:pPr>
              <w:ind w:left="500"/>
              <w:spacing w:after="0"/>
              <w:rPr>
                <w:sz w:val="20"/>
                <w:szCs w:val="20"/>
                <w:color w:val="auto"/>
              </w:rPr>
            </w:pPr>
            <w:r>
              <w:rPr>
                <w:rFonts w:ascii="Arial" w:cs="Arial" w:eastAsia="Arial" w:hAnsi="Arial"/>
                <w:sz w:val="14"/>
                <w:szCs w:val="14"/>
                <w:color w:val="auto"/>
              </w:rPr>
              <w:t>Outstanding Equity Awards at Fiscal Year-End</w:t>
            </w:r>
          </w:p>
        </w:tc>
        <w:tc>
          <w:tcPr>
            <w:tcW w:w="10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97"/>
        </w:trPr>
        <w:tc>
          <w:tcPr>
            <w:tcW w:w="10240" w:type="dxa"/>
            <w:vAlign w:val="bottom"/>
          </w:tcPr>
          <w:p>
            <w:pPr>
              <w:ind w:left="500"/>
              <w:spacing w:after="0"/>
              <w:rPr>
                <w:sz w:val="20"/>
                <w:szCs w:val="20"/>
                <w:color w:val="auto"/>
              </w:rPr>
            </w:pPr>
            <w:r>
              <w:rPr>
                <w:rFonts w:ascii="Arial" w:cs="Arial" w:eastAsia="Arial" w:hAnsi="Arial"/>
                <w:sz w:val="14"/>
                <w:szCs w:val="14"/>
                <w:color w:val="auto"/>
              </w:rPr>
              <w:t>Fiscal 2026 Option Exercises and Stock Vested</w:t>
            </w: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Severance Arrangements with our NEOs</w:t>
            </w: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2"/>
        </w:trPr>
        <w:tc>
          <w:tcPr>
            <w:tcW w:w="10240" w:type="dxa"/>
            <w:vAlign w:val="bottom"/>
          </w:tcPr>
          <w:p>
            <w:pPr>
              <w:ind w:left="500"/>
              <w:spacing w:after="0"/>
              <w:rPr>
                <w:sz w:val="20"/>
                <w:szCs w:val="20"/>
                <w:color w:val="auto"/>
              </w:rPr>
            </w:pPr>
            <w:r>
              <w:rPr>
                <w:rFonts w:ascii="Arial" w:cs="Arial" w:eastAsia="Arial" w:hAnsi="Arial"/>
                <w:sz w:val="14"/>
                <w:szCs w:val="14"/>
                <w:color w:val="auto"/>
              </w:rPr>
              <w:t>CEO Pay Ratio</w:t>
            </w: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97"/>
        </w:trPr>
        <w:tc>
          <w:tcPr>
            <w:tcW w:w="10240" w:type="dxa"/>
            <w:vAlign w:val="bottom"/>
          </w:tcPr>
          <w:p>
            <w:pPr>
              <w:ind w:left="500"/>
              <w:spacing w:after="0"/>
              <w:rPr>
                <w:sz w:val="20"/>
                <w:szCs w:val="20"/>
                <w:color w:val="auto"/>
              </w:rPr>
            </w:pPr>
            <w:r>
              <w:rPr>
                <w:rFonts w:ascii="Arial" w:cs="Arial" w:eastAsia="Arial" w:hAnsi="Arial"/>
                <w:sz w:val="14"/>
                <w:szCs w:val="14"/>
                <w:color w:val="auto"/>
              </w:rPr>
              <w:t>Pay Versus Performance</w:t>
            </w:r>
          </w:p>
        </w:tc>
        <w:tc>
          <w:tcPr>
            <w:tcW w:w="10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Equity Compensation Plan Information</w:t>
            </w:r>
          </w:p>
        </w:tc>
        <w:tc>
          <w:tcPr>
            <w:tcW w:w="10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9"/>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Certain Relationships and Related Transactions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54</w:t>
            </w:r>
          </w:p>
        </w:tc>
      </w:tr>
      <w:tr>
        <w:trPr>
          <w:trHeight w:val="189"/>
        </w:trPr>
        <w:tc>
          <w:tcPr>
            <w:tcW w:w="10240" w:type="dxa"/>
            <w:vAlign w:val="bottom"/>
          </w:tcPr>
          <w:p>
            <w:pPr>
              <w:ind w:left="500"/>
              <w:spacing w:after="0"/>
              <w:rPr>
                <w:sz w:val="20"/>
                <w:szCs w:val="20"/>
                <w:color w:val="auto"/>
              </w:rPr>
            </w:pPr>
            <w:r>
              <w:rPr>
                <w:rFonts w:ascii="Arial" w:cs="Arial" w:eastAsia="Arial" w:hAnsi="Arial"/>
                <w:sz w:val="14"/>
                <w:szCs w:val="14"/>
                <w:color w:val="auto"/>
              </w:rPr>
              <w:t>Related Party Transaction Policy</w:t>
            </w:r>
          </w:p>
        </w:tc>
        <w:tc>
          <w:tcPr>
            <w:tcW w:w="10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2"/>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PROPOSAL 3 Amendment No. 2 to the 2023 Stock Plan</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55</w:t>
            </w:r>
          </w:p>
        </w:tc>
      </w:tr>
      <w:tr>
        <w:trPr>
          <w:trHeight w:val="196"/>
        </w:trPr>
        <w:tc>
          <w:tcPr>
            <w:tcW w:w="10240" w:type="dxa"/>
            <w:vAlign w:val="bottom"/>
          </w:tcPr>
          <w:p>
            <w:pPr>
              <w:ind w:left="500"/>
              <w:spacing w:after="0"/>
              <w:rPr>
                <w:sz w:val="20"/>
                <w:szCs w:val="20"/>
                <w:color w:val="auto"/>
              </w:rPr>
            </w:pPr>
            <w:r>
              <w:rPr>
                <w:rFonts w:ascii="Arial" w:cs="Arial" w:eastAsia="Arial" w:hAnsi="Arial"/>
                <w:sz w:val="14"/>
                <w:szCs w:val="14"/>
                <w:color w:val="auto"/>
              </w:rPr>
              <w:t>Proposed Amendment to the 2023 Plan</w:t>
            </w:r>
          </w:p>
        </w:tc>
        <w:tc>
          <w:tcPr>
            <w:tcW w:w="102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3"/>
        </w:trPr>
        <w:tc>
          <w:tcPr>
            <w:tcW w:w="10240" w:type="dxa"/>
            <w:vAlign w:val="bottom"/>
          </w:tcPr>
          <w:p>
            <w:pPr>
              <w:ind w:left="500"/>
              <w:spacing w:after="0"/>
              <w:rPr>
                <w:sz w:val="20"/>
                <w:szCs w:val="20"/>
                <w:color w:val="auto"/>
              </w:rPr>
            </w:pPr>
            <w:r>
              <w:rPr>
                <w:rFonts w:ascii="Arial" w:cs="Arial" w:eastAsia="Arial" w:hAnsi="Arial"/>
                <w:sz w:val="14"/>
                <w:szCs w:val="14"/>
                <w:color w:val="auto"/>
              </w:rPr>
              <w:t>Summary of the 2023 Plan</w:t>
            </w:r>
          </w:p>
        </w:tc>
        <w:tc>
          <w:tcPr>
            <w:tcW w:w="10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22"/>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PROPOSAL 4 Advisory Vote to Approve the Frequency of Future Advisory, Non-Binding Votes to Approve the Compensation of Our NEOs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66</w:t>
            </w:r>
          </w:p>
        </w:tc>
      </w:tr>
      <w:tr>
        <w:trPr>
          <w:trHeight w:val="203"/>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PROPOSAL 5 Ratification of Appointment of Independent Registered Public Accounting Firm</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68</w:t>
            </w:r>
          </w:p>
        </w:tc>
      </w:tr>
      <w:tr>
        <w:trPr>
          <w:trHeight w:val="191"/>
        </w:trPr>
        <w:tc>
          <w:tcPr>
            <w:tcW w:w="10240" w:type="dxa"/>
            <w:vAlign w:val="bottom"/>
          </w:tcPr>
          <w:p>
            <w:pPr>
              <w:ind w:left="500"/>
              <w:spacing w:after="0"/>
              <w:rPr>
                <w:sz w:val="20"/>
                <w:szCs w:val="20"/>
                <w:color w:val="auto"/>
              </w:rPr>
            </w:pPr>
            <w:r>
              <w:rPr>
                <w:rFonts w:ascii="Arial" w:cs="Arial" w:eastAsia="Arial" w:hAnsi="Arial"/>
                <w:sz w:val="14"/>
                <w:szCs w:val="14"/>
                <w:color w:val="auto"/>
              </w:rPr>
              <w:t>Audit-Related Matters</w:t>
            </w:r>
          </w:p>
        </w:tc>
        <w:tc>
          <w:tcPr>
            <w:tcW w:w="10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94"/>
        </w:trPr>
        <w:tc>
          <w:tcPr>
            <w:tcW w:w="10240" w:type="dxa"/>
            <w:vAlign w:val="bottom"/>
          </w:tcPr>
          <w:p>
            <w:pPr>
              <w:ind w:left="500"/>
              <w:spacing w:after="0"/>
              <w:rPr>
                <w:sz w:val="20"/>
                <w:szCs w:val="20"/>
                <w:color w:val="auto"/>
              </w:rPr>
            </w:pPr>
            <w:r>
              <w:rPr>
                <w:rFonts w:ascii="Arial" w:cs="Arial" w:eastAsia="Arial" w:hAnsi="Arial"/>
                <w:sz w:val="14"/>
                <w:szCs w:val="14"/>
                <w:color w:val="auto"/>
              </w:rPr>
              <w:t>Report of the Audit Committee</w:t>
            </w:r>
          </w:p>
        </w:tc>
        <w:tc>
          <w:tcPr>
            <w:tcW w:w="10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9"/>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Stock Ownership</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71</w:t>
            </w:r>
          </w:p>
        </w:tc>
      </w:tr>
      <w:tr>
        <w:trPr>
          <w:trHeight w:val="189"/>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Additional Information</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73</w:t>
            </w:r>
          </w:p>
        </w:tc>
      </w:tr>
      <w:tr>
        <w:trPr>
          <w:trHeight w:val="202"/>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Other Matters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76</w:t>
            </w:r>
          </w:p>
        </w:tc>
      </w:tr>
      <w:tr>
        <w:trPr>
          <w:trHeight w:val="203"/>
        </w:trPr>
        <w:tc>
          <w:tcPr>
            <w:tcW w:w="10240" w:type="dxa"/>
            <w:vAlign w:val="bottom"/>
          </w:tcPr>
          <w:p>
            <w:pPr>
              <w:ind w:left="20"/>
              <w:spacing w:after="0"/>
              <w:rPr>
                <w:sz w:val="20"/>
                <w:szCs w:val="20"/>
                <w:color w:val="auto"/>
              </w:rPr>
            </w:pPr>
            <w:r>
              <w:rPr>
                <w:rFonts w:ascii="Arial" w:cs="Arial" w:eastAsia="Arial" w:hAnsi="Arial"/>
                <w:sz w:val="14"/>
                <w:szCs w:val="14"/>
                <w:b w:val="1"/>
                <w:bCs w:val="1"/>
                <w:color w:val="1B6F80"/>
              </w:rPr>
              <w:t>Appendix A</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1B6F80"/>
              </w:rPr>
              <w:t>78</w:t>
            </w:r>
          </w:p>
        </w:tc>
      </w:tr>
      <w:tr>
        <w:trPr>
          <w:trHeight w:val="1008"/>
        </w:trPr>
        <w:tc>
          <w:tcPr>
            <w:tcW w:w="10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1079" w:right="318" w:bottom="1440" w:gutter="0" w:footer="0" w:header="0"/>
        </w:sectPr>
      </w:pPr>
    </w:p>
    <w:bookmarkStart w:id="4" w:name="page5"/>
    <w:bookmarkEnd w:id="4"/>
    <w:p>
      <w:pPr>
        <w:spacing w:after="0"/>
        <w:rPr>
          <w:sz w:val="20"/>
          <w:szCs w:val="20"/>
          <w:color w:val="auto"/>
        </w:rPr>
      </w:pPr>
      <w:r>
        <w:rPr>
          <w:rFonts w:ascii="Arial" w:cs="Arial" w:eastAsia="Arial" w:hAnsi="Arial"/>
          <w:sz w:val="41"/>
          <w:szCs w:val="41"/>
          <w:b w:val="1"/>
          <w:bCs w:val="1"/>
          <w:color w:val="181818"/>
        </w:rPr>
        <w:t>2026 Proxy Statement Summary</w:t>
      </w:r>
    </w:p>
    <w:p>
      <w:pPr>
        <w:spacing w:after="0" w:line="17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of the information that you should consider. You should read the entire Proxy Statement and our Annual Report on Form 10-K for the fiscal year ended March 31, 2026 (“Fiscal 2026”) filed with the SEC on June 25, 2026 (the “Annual Report”) before voting. Page references are provided to help you find further information in this Proxy Statement. References in this Proxy Statement to the “Company,” “we,” “our,” and “us” are to Anterix Inc. and its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Proposals and Voting Recommendations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181818"/>
              </w:rPr>
              <w:t>Item</w:t>
            </w:r>
          </w:p>
        </w:tc>
        <w:tc>
          <w:tcPr>
            <w:tcW w:w="564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181818"/>
              </w:rPr>
              <w:t>Board</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181818"/>
              </w:rPr>
              <w:t>Page</w:t>
            </w:r>
          </w:p>
        </w:tc>
        <w:tc>
          <w:tcPr>
            <w:tcW w:w="0" w:type="dxa"/>
            <w:vAlign w:val="bottom"/>
          </w:tcPr>
          <w:p>
            <w:pPr>
              <w:spacing w:after="0"/>
              <w:rPr>
                <w:sz w:val="1"/>
                <w:szCs w:val="1"/>
                <w:color w:val="auto"/>
              </w:rPr>
            </w:pPr>
          </w:p>
        </w:tc>
      </w:tr>
      <w:tr>
        <w:trPr>
          <w:trHeight w:val="216"/>
        </w:trPr>
        <w:tc>
          <w:tcPr>
            <w:tcW w:w="1660" w:type="dxa"/>
            <w:vAlign w:val="bottom"/>
            <w:tcBorders>
              <w:bottom w:val="single" w:sz="8" w:color="181818"/>
            </w:tcBorders>
            <w:vMerge w:val="continue"/>
          </w:tcPr>
          <w:p>
            <w:pPr>
              <w:spacing w:after="0"/>
              <w:rPr>
                <w:sz w:val="18"/>
                <w:szCs w:val="18"/>
                <w:color w:val="auto"/>
              </w:rPr>
            </w:pPr>
          </w:p>
        </w:tc>
        <w:tc>
          <w:tcPr>
            <w:tcW w:w="5640" w:type="dxa"/>
            <w:vAlign w:val="bottom"/>
            <w:tcBorders>
              <w:bottom w:val="single" w:sz="8" w:color="181818"/>
            </w:tcBorders>
          </w:tcPr>
          <w:p>
            <w:pPr>
              <w:spacing w:after="0"/>
              <w:rPr>
                <w:sz w:val="18"/>
                <w:szCs w:val="18"/>
                <w:color w:val="auto"/>
              </w:rPr>
            </w:pPr>
          </w:p>
        </w:tc>
        <w:tc>
          <w:tcPr>
            <w:tcW w:w="2420" w:type="dxa"/>
            <w:vAlign w:val="bottom"/>
            <w:tcBorders>
              <w:bottom w:val="single" w:sz="8" w:color="181818"/>
            </w:tcBorders>
          </w:tcPr>
          <w:p>
            <w:pPr>
              <w:jc w:val="center"/>
              <w:spacing w:after="0"/>
              <w:rPr>
                <w:sz w:val="20"/>
                <w:szCs w:val="20"/>
                <w:color w:val="auto"/>
              </w:rPr>
            </w:pPr>
            <w:r>
              <w:rPr>
                <w:rFonts w:ascii="Arial" w:cs="Arial" w:eastAsia="Arial" w:hAnsi="Arial"/>
                <w:sz w:val="16"/>
                <w:szCs w:val="16"/>
                <w:b w:val="1"/>
                <w:bCs w:val="1"/>
                <w:color w:val="181818"/>
              </w:rPr>
              <w:t>Recommendation</w:t>
            </w:r>
          </w:p>
        </w:tc>
        <w:tc>
          <w:tcPr>
            <w:tcW w:w="1540" w:type="dxa"/>
            <w:vAlign w:val="bottom"/>
            <w:tcBorders>
              <w:bottom w:val="single" w:sz="8" w:color="181818"/>
            </w:tcBorders>
          </w:tcPr>
          <w:p>
            <w:pPr>
              <w:jc w:val="center"/>
              <w:spacing w:after="0"/>
              <w:rPr>
                <w:sz w:val="20"/>
                <w:szCs w:val="20"/>
                <w:color w:val="auto"/>
              </w:rPr>
            </w:pPr>
            <w:r>
              <w:rPr>
                <w:rFonts w:ascii="Arial" w:cs="Arial" w:eastAsia="Arial" w:hAnsi="Arial"/>
                <w:sz w:val="16"/>
                <w:szCs w:val="16"/>
                <w:b w:val="1"/>
                <w:bCs w:val="1"/>
                <w:color w:val="181818"/>
              </w:rPr>
              <w:t>Reference</w:t>
            </w:r>
          </w:p>
        </w:tc>
        <w:tc>
          <w:tcPr>
            <w:tcW w:w="0" w:type="dxa"/>
            <w:vAlign w:val="bottom"/>
          </w:tcPr>
          <w:p>
            <w:pPr>
              <w:spacing w:after="0"/>
              <w:rPr>
                <w:sz w:val="1"/>
                <w:szCs w:val="1"/>
                <w:color w:val="auto"/>
              </w:rPr>
            </w:pPr>
          </w:p>
        </w:tc>
      </w:tr>
      <w:tr>
        <w:trPr>
          <w:trHeight w:val="306"/>
        </w:trPr>
        <w:tc>
          <w:tcPr>
            <w:tcW w:w="1660" w:type="dxa"/>
            <w:vAlign w:val="bottom"/>
            <w:tcBorders>
              <w:left w:val="single" w:sz="8" w:color="auto"/>
            </w:tcBorders>
            <w:shd w:val="clear" w:color="auto" w:fill="09314A"/>
          </w:tcPr>
          <w:p>
            <w:pPr>
              <w:jc w:val="center"/>
              <w:spacing w:after="0" w:line="306" w:lineRule="exact"/>
              <w:rPr>
                <w:sz w:val="20"/>
                <w:szCs w:val="20"/>
                <w:color w:val="auto"/>
              </w:rPr>
            </w:pPr>
            <w:r>
              <w:rPr>
                <w:rFonts w:ascii="Arial" w:cs="Arial" w:eastAsia="Arial" w:hAnsi="Arial"/>
                <w:sz w:val="29"/>
                <w:szCs w:val="29"/>
                <w:b w:val="1"/>
                <w:bCs w:val="1"/>
                <w:color w:val="FFFFFF"/>
                <w:w w:val="98"/>
              </w:rPr>
              <w:t>1</w:t>
            </w:r>
          </w:p>
        </w:tc>
        <w:tc>
          <w:tcPr>
            <w:tcW w:w="5640" w:type="dxa"/>
            <w:vAlign w:val="bottom"/>
          </w:tcPr>
          <w:p>
            <w:pPr>
              <w:ind w:left="160"/>
              <w:spacing w:after="0"/>
              <w:rPr>
                <w:sz w:val="20"/>
                <w:szCs w:val="20"/>
                <w:color w:val="auto"/>
              </w:rPr>
            </w:pPr>
            <w:r>
              <w:rPr>
                <w:rFonts w:ascii="Arial" w:cs="Arial" w:eastAsia="Arial" w:hAnsi="Arial"/>
                <w:sz w:val="14"/>
                <w:szCs w:val="14"/>
                <w:color w:val="181818"/>
              </w:rPr>
              <w:t>Election of Directors</w:t>
            </w:r>
          </w:p>
        </w:tc>
        <w:tc>
          <w:tcPr>
            <w:tcW w:w="2420" w:type="dxa"/>
            <w:vAlign w:val="bottom"/>
          </w:tcPr>
          <w:p>
            <w:pPr>
              <w:jc w:val="center"/>
              <w:spacing w:after="0" w:line="306" w:lineRule="exact"/>
              <w:rPr>
                <w:sz w:val="20"/>
                <w:szCs w:val="20"/>
                <w:color w:val="auto"/>
              </w:rPr>
            </w:pPr>
            <w:r>
              <w:rPr>
                <w:rFonts w:ascii="Arial" w:cs="Arial" w:eastAsia="Arial" w:hAnsi="Arial"/>
                <w:sz w:val="29"/>
                <w:szCs w:val="29"/>
                <w:b w:val="1"/>
                <w:bCs w:val="1"/>
                <w:color w:val="1B6F80"/>
              </w:rPr>
              <w:t xml:space="preserve">ü </w:t>
            </w:r>
            <w:r>
              <w:rPr>
                <w:rFonts w:ascii="Arial" w:cs="Arial" w:eastAsia="Arial" w:hAnsi="Arial"/>
                <w:sz w:val="26"/>
                <w:szCs w:val="26"/>
                <w:b w:val="1"/>
                <w:bCs w:val="1"/>
                <w:color w:val="181818"/>
              </w:rPr>
              <w:t>FOR</w:t>
            </w:r>
          </w:p>
        </w:tc>
        <w:tc>
          <w:tcPr>
            <w:tcW w:w="1540" w:type="dxa"/>
            <w:vAlign w:val="bottom"/>
            <w:tcBorders>
              <w:right w:val="single" w:sz="8" w:color="181818"/>
            </w:tcBorders>
          </w:tcPr>
          <w:p>
            <w:pPr>
              <w:jc w:val="center"/>
              <w:spacing w:after="0"/>
              <w:rPr>
                <w:sz w:val="20"/>
                <w:szCs w:val="20"/>
                <w:color w:val="auto"/>
              </w:rPr>
            </w:pPr>
            <w:r>
              <w:rPr>
                <w:rFonts w:ascii="Arial" w:cs="Arial" w:eastAsia="Arial" w:hAnsi="Arial"/>
                <w:sz w:val="14"/>
                <w:szCs w:val="14"/>
                <w:color w:val="181818"/>
              </w:rPr>
              <w:t>8</w:t>
            </w:r>
          </w:p>
        </w:tc>
        <w:tc>
          <w:tcPr>
            <w:tcW w:w="0" w:type="dxa"/>
            <w:vAlign w:val="bottom"/>
          </w:tcPr>
          <w:p>
            <w:pPr>
              <w:spacing w:after="0"/>
              <w:rPr>
                <w:sz w:val="1"/>
                <w:szCs w:val="1"/>
                <w:color w:val="auto"/>
              </w:rPr>
            </w:pPr>
          </w:p>
        </w:tc>
      </w:tr>
      <w:tr>
        <w:trPr>
          <w:trHeight w:val="201"/>
        </w:trPr>
        <w:tc>
          <w:tcPr>
            <w:tcW w:w="1660" w:type="dxa"/>
            <w:vAlign w:val="bottom"/>
            <w:tcBorders>
              <w:left w:val="single" w:sz="8" w:color="auto"/>
              <w:bottom w:val="single" w:sz="8" w:color="09314A"/>
            </w:tcBorders>
            <w:shd w:val="clear" w:color="auto" w:fill="09314A"/>
          </w:tcPr>
          <w:p>
            <w:pPr>
              <w:spacing w:after="0"/>
              <w:rPr>
                <w:sz w:val="17"/>
                <w:szCs w:val="17"/>
                <w:color w:val="auto"/>
              </w:rPr>
            </w:pPr>
          </w:p>
        </w:tc>
        <w:tc>
          <w:tcPr>
            <w:tcW w:w="5640" w:type="dxa"/>
            <w:vAlign w:val="bottom"/>
            <w:tcBorders>
              <w:bottom w:val="single" w:sz="8" w:color="181818"/>
            </w:tcBorders>
          </w:tcPr>
          <w:p>
            <w:pPr>
              <w:spacing w:after="0"/>
              <w:rPr>
                <w:sz w:val="17"/>
                <w:szCs w:val="17"/>
                <w:color w:val="auto"/>
              </w:rPr>
            </w:pPr>
          </w:p>
        </w:tc>
        <w:tc>
          <w:tcPr>
            <w:tcW w:w="2420" w:type="dxa"/>
            <w:vAlign w:val="bottom"/>
            <w:tcBorders>
              <w:bottom w:val="single" w:sz="8" w:color="181818"/>
            </w:tcBorders>
          </w:tcPr>
          <w:p>
            <w:pPr>
              <w:jc w:val="center"/>
              <w:spacing w:after="0"/>
              <w:rPr>
                <w:sz w:val="20"/>
                <w:szCs w:val="20"/>
                <w:color w:val="auto"/>
              </w:rPr>
            </w:pPr>
            <w:r>
              <w:rPr>
                <w:rFonts w:ascii="Arial" w:cs="Arial" w:eastAsia="Arial" w:hAnsi="Arial"/>
                <w:sz w:val="16"/>
                <w:szCs w:val="16"/>
                <w:color w:val="181818"/>
                <w:w w:val="99"/>
              </w:rPr>
              <w:t>each nominee</w:t>
            </w:r>
          </w:p>
        </w:tc>
        <w:tc>
          <w:tcPr>
            <w:tcW w:w="1540" w:type="dxa"/>
            <w:vAlign w:val="bottom"/>
            <w:tcBorders>
              <w:bottom w:val="single" w:sz="8" w:color="181818"/>
              <w:right w:val="single" w:sz="8" w:color="181818"/>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660" w:type="dxa"/>
            <w:vAlign w:val="bottom"/>
            <w:tcBorders>
              <w:left w:val="single" w:sz="8" w:color="auto"/>
            </w:tcBorders>
            <w:vMerge w:val="restart"/>
            <w:shd w:val="clear" w:color="auto" w:fill="09314A"/>
          </w:tcPr>
          <w:p>
            <w:pPr>
              <w:jc w:val="center"/>
              <w:spacing w:after="0"/>
              <w:rPr>
                <w:sz w:val="20"/>
                <w:szCs w:val="20"/>
                <w:color w:val="auto"/>
              </w:rPr>
            </w:pPr>
            <w:r>
              <w:rPr>
                <w:rFonts w:ascii="Arial" w:cs="Arial" w:eastAsia="Arial" w:hAnsi="Arial"/>
                <w:sz w:val="29"/>
                <w:szCs w:val="29"/>
                <w:b w:val="1"/>
                <w:bCs w:val="1"/>
                <w:color w:val="FFFFFF"/>
                <w:w w:val="98"/>
              </w:rPr>
              <w:t>2</w:t>
            </w:r>
          </w:p>
        </w:tc>
        <w:tc>
          <w:tcPr>
            <w:tcW w:w="5640" w:type="dxa"/>
            <w:vAlign w:val="bottom"/>
          </w:tcPr>
          <w:p>
            <w:pPr>
              <w:ind w:left="160"/>
              <w:spacing w:after="0"/>
              <w:rPr>
                <w:sz w:val="20"/>
                <w:szCs w:val="20"/>
                <w:color w:val="auto"/>
              </w:rPr>
            </w:pPr>
            <w:r>
              <w:rPr>
                <w:rFonts w:ascii="Arial" w:cs="Arial" w:eastAsia="Arial" w:hAnsi="Arial"/>
                <w:sz w:val="14"/>
                <w:szCs w:val="14"/>
                <w:color w:val="181818"/>
              </w:rPr>
              <w:t>Approval, on an advisory (non-binding) basis, of the compensation of our named</w:t>
            </w:r>
          </w:p>
        </w:tc>
        <w:tc>
          <w:tcPr>
            <w:tcW w:w="2420" w:type="dxa"/>
            <w:vAlign w:val="bottom"/>
            <w:vMerge w:val="restart"/>
          </w:tcPr>
          <w:p>
            <w:pPr>
              <w:jc w:val="center"/>
              <w:spacing w:after="0"/>
              <w:rPr>
                <w:sz w:val="20"/>
                <w:szCs w:val="20"/>
                <w:color w:val="auto"/>
              </w:rPr>
            </w:pPr>
            <w:r>
              <w:rPr>
                <w:rFonts w:ascii="Arial" w:cs="Arial" w:eastAsia="Arial" w:hAnsi="Arial"/>
                <w:sz w:val="29"/>
                <w:szCs w:val="29"/>
                <w:b w:val="1"/>
                <w:bCs w:val="1"/>
                <w:color w:val="1B6F80"/>
              </w:rPr>
              <w:t xml:space="preserve">ü </w:t>
            </w:r>
            <w:r>
              <w:rPr>
                <w:rFonts w:ascii="Arial" w:cs="Arial" w:eastAsia="Arial" w:hAnsi="Arial"/>
                <w:sz w:val="26"/>
                <w:szCs w:val="26"/>
                <w:b w:val="1"/>
                <w:bCs w:val="1"/>
                <w:color w:val="181818"/>
              </w:rPr>
              <w:t>FOR</w:t>
            </w:r>
          </w:p>
        </w:tc>
        <w:tc>
          <w:tcPr>
            <w:tcW w:w="1540" w:type="dxa"/>
            <w:vAlign w:val="bottom"/>
            <w:tcBorders>
              <w:right w:val="single" w:sz="8" w:color="181818"/>
            </w:tcBorders>
            <w:vMerge w:val="restart"/>
          </w:tcPr>
          <w:p>
            <w:pPr>
              <w:jc w:val="center"/>
              <w:spacing w:after="0"/>
              <w:rPr>
                <w:sz w:val="20"/>
                <w:szCs w:val="20"/>
                <w:color w:val="auto"/>
              </w:rPr>
            </w:pPr>
            <w:r>
              <w:rPr>
                <w:rFonts w:ascii="Arial" w:cs="Arial" w:eastAsia="Arial" w:hAnsi="Arial"/>
                <w:sz w:val="14"/>
                <w:szCs w:val="14"/>
                <w:color w:val="181818"/>
              </w:rPr>
              <w:t>29</w:t>
            </w:r>
          </w:p>
        </w:tc>
        <w:tc>
          <w:tcPr>
            <w:tcW w:w="0" w:type="dxa"/>
            <w:vAlign w:val="bottom"/>
          </w:tcPr>
          <w:p>
            <w:pPr>
              <w:spacing w:after="0"/>
              <w:rPr>
                <w:sz w:val="1"/>
                <w:szCs w:val="1"/>
                <w:color w:val="auto"/>
              </w:rPr>
            </w:pPr>
          </w:p>
        </w:tc>
      </w:tr>
      <w:tr>
        <w:trPr>
          <w:trHeight w:val="100"/>
        </w:trPr>
        <w:tc>
          <w:tcPr>
            <w:tcW w:w="1660" w:type="dxa"/>
            <w:vAlign w:val="bottom"/>
            <w:tcBorders>
              <w:left w:val="single" w:sz="8" w:color="auto"/>
            </w:tcBorders>
            <w:vMerge w:val="continue"/>
            <w:shd w:val="clear" w:color="auto" w:fill="09314A"/>
          </w:tcPr>
          <w:p>
            <w:pPr>
              <w:spacing w:after="0"/>
              <w:rPr>
                <w:sz w:val="8"/>
                <w:szCs w:val="8"/>
                <w:color w:val="auto"/>
              </w:rPr>
            </w:pPr>
          </w:p>
        </w:tc>
        <w:tc>
          <w:tcPr>
            <w:tcW w:w="5640" w:type="dxa"/>
            <w:vAlign w:val="bottom"/>
            <w:vMerge w:val="restart"/>
          </w:tcPr>
          <w:p>
            <w:pPr>
              <w:ind w:left="160"/>
              <w:spacing w:after="0"/>
              <w:rPr>
                <w:sz w:val="20"/>
                <w:szCs w:val="20"/>
                <w:color w:val="auto"/>
              </w:rPr>
            </w:pPr>
            <w:r>
              <w:rPr>
                <w:rFonts w:ascii="Arial" w:cs="Arial" w:eastAsia="Arial" w:hAnsi="Arial"/>
                <w:sz w:val="14"/>
                <w:szCs w:val="14"/>
                <w:color w:val="181818"/>
              </w:rPr>
              <w:t>executive officers</w:t>
            </w:r>
          </w:p>
        </w:tc>
        <w:tc>
          <w:tcPr>
            <w:tcW w:w="2420" w:type="dxa"/>
            <w:vAlign w:val="bottom"/>
            <w:vMerge w:val="continue"/>
          </w:tcPr>
          <w:p>
            <w:pPr>
              <w:spacing w:after="0"/>
              <w:rPr>
                <w:sz w:val="8"/>
                <w:szCs w:val="8"/>
                <w:color w:val="auto"/>
              </w:rPr>
            </w:pPr>
          </w:p>
        </w:tc>
        <w:tc>
          <w:tcPr>
            <w:tcW w:w="1540" w:type="dxa"/>
            <w:vAlign w:val="bottom"/>
            <w:tcBorders>
              <w:right w:val="single" w:sz="8" w:color="18181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660" w:type="dxa"/>
            <w:vAlign w:val="bottom"/>
            <w:tcBorders>
              <w:left w:val="single" w:sz="8" w:color="auto"/>
              <w:bottom w:val="single" w:sz="8" w:color="09314A"/>
            </w:tcBorders>
            <w:vMerge w:val="continue"/>
            <w:shd w:val="clear" w:color="auto" w:fill="09314A"/>
          </w:tcPr>
          <w:p>
            <w:pPr>
              <w:spacing w:after="0"/>
              <w:rPr>
                <w:sz w:val="8"/>
                <w:szCs w:val="8"/>
                <w:color w:val="auto"/>
              </w:rPr>
            </w:pPr>
          </w:p>
        </w:tc>
        <w:tc>
          <w:tcPr>
            <w:tcW w:w="5640" w:type="dxa"/>
            <w:vAlign w:val="bottom"/>
            <w:tcBorders>
              <w:bottom w:val="single" w:sz="8" w:color="181818"/>
            </w:tcBorders>
            <w:vMerge w:val="continue"/>
          </w:tcPr>
          <w:p>
            <w:pPr>
              <w:spacing w:after="0"/>
              <w:rPr>
                <w:sz w:val="8"/>
                <w:szCs w:val="8"/>
                <w:color w:val="auto"/>
              </w:rPr>
            </w:pPr>
          </w:p>
        </w:tc>
        <w:tc>
          <w:tcPr>
            <w:tcW w:w="2420" w:type="dxa"/>
            <w:vAlign w:val="bottom"/>
            <w:tcBorders>
              <w:bottom w:val="single" w:sz="8" w:color="181818"/>
            </w:tcBorders>
            <w:vMerge w:val="continue"/>
          </w:tcPr>
          <w:p>
            <w:pPr>
              <w:spacing w:after="0"/>
              <w:rPr>
                <w:sz w:val="8"/>
                <w:szCs w:val="8"/>
                <w:color w:val="auto"/>
              </w:rPr>
            </w:pPr>
          </w:p>
        </w:tc>
        <w:tc>
          <w:tcPr>
            <w:tcW w:w="1540" w:type="dxa"/>
            <w:vAlign w:val="bottom"/>
            <w:tcBorders>
              <w:bottom w:val="single" w:sz="8" w:color="181818"/>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660" w:type="dxa"/>
            <w:vAlign w:val="bottom"/>
            <w:tcBorders>
              <w:left w:val="single" w:sz="8" w:color="auto"/>
            </w:tcBorders>
            <w:vMerge w:val="restart"/>
            <w:shd w:val="clear" w:color="auto" w:fill="09314A"/>
          </w:tcPr>
          <w:p>
            <w:pPr>
              <w:jc w:val="center"/>
              <w:spacing w:after="0"/>
              <w:rPr>
                <w:sz w:val="20"/>
                <w:szCs w:val="20"/>
                <w:color w:val="auto"/>
              </w:rPr>
            </w:pPr>
            <w:r>
              <w:rPr>
                <w:rFonts w:ascii="Arial" w:cs="Arial" w:eastAsia="Arial" w:hAnsi="Arial"/>
                <w:sz w:val="29"/>
                <w:szCs w:val="29"/>
                <w:b w:val="1"/>
                <w:bCs w:val="1"/>
                <w:color w:val="FFFFFF"/>
                <w:w w:val="98"/>
              </w:rPr>
              <w:t>3</w:t>
            </w:r>
          </w:p>
        </w:tc>
        <w:tc>
          <w:tcPr>
            <w:tcW w:w="5640" w:type="dxa"/>
            <w:vAlign w:val="bottom"/>
          </w:tcPr>
          <w:p>
            <w:pPr>
              <w:ind w:left="160"/>
              <w:spacing w:after="0"/>
              <w:rPr>
                <w:sz w:val="20"/>
                <w:szCs w:val="20"/>
                <w:color w:val="auto"/>
              </w:rPr>
            </w:pPr>
            <w:r>
              <w:rPr>
                <w:rFonts w:ascii="Arial" w:cs="Arial" w:eastAsia="Arial" w:hAnsi="Arial"/>
                <w:sz w:val="14"/>
                <w:szCs w:val="14"/>
                <w:color w:val="181818"/>
              </w:rPr>
              <w:t>To approve Amendment No. 2 to the Anterix Inc. 2023 Stock Plan to increase the</w:t>
            </w:r>
          </w:p>
        </w:tc>
        <w:tc>
          <w:tcPr>
            <w:tcW w:w="2420" w:type="dxa"/>
            <w:vAlign w:val="bottom"/>
            <w:vMerge w:val="restart"/>
          </w:tcPr>
          <w:p>
            <w:pPr>
              <w:jc w:val="center"/>
              <w:spacing w:after="0"/>
              <w:rPr>
                <w:sz w:val="20"/>
                <w:szCs w:val="20"/>
                <w:color w:val="auto"/>
              </w:rPr>
            </w:pPr>
            <w:r>
              <w:rPr>
                <w:rFonts w:ascii="Arial" w:cs="Arial" w:eastAsia="Arial" w:hAnsi="Arial"/>
                <w:sz w:val="29"/>
                <w:szCs w:val="29"/>
                <w:b w:val="1"/>
                <w:bCs w:val="1"/>
                <w:color w:val="1B6F80"/>
              </w:rPr>
              <w:t xml:space="preserve">ü </w:t>
            </w:r>
            <w:r>
              <w:rPr>
                <w:rFonts w:ascii="Arial" w:cs="Arial" w:eastAsia="Arial" w:hAnsi="Arial"/>
                <w:sz w:val="26"/>
                <w:szCs w:val="26"/>
                <w:b w:val="1"/>
                <w:bCs w:val="1"/>
                <w:color w:val="181818"/>
              </w:rPr>
              <w:t>FOR</w:t>
            </w:r>
          </w:p>
        </w:tc>
        <w:tc>
          <w:tcPr>
            <w:tcW w:w="1540" w:type="dxa"/>
            <w:vAlign w:val="bottom"/>
            <w:tcBorders>
              <w:right w:val="single" w:sz="8" w:color="181818"/>
            </w:tcBorders>
            <w:vMerge w:val="restart"/>
          </w:tcPr>
          <w:p>
            <w:pPr>
              <w:jc w:val="center"/>
              <w:spacing w:after="0"/>
              <w:rPr>
                <w:sz w:val="20"/>
                <w:szCs w:val="20"/>
                <w:color w:val="auto"/>
              </w:rPr>
            </w:pPr>
            <w:r>
              <w:rPr>
                <w:rFonts w:ascii="Arial" w:cs="Arial" w:eastAsia="Arial" w:hAnsi="Arial"/>
                <w:sz w:val="14"/>
                <w:szCs w:val="14"/>
                <w:color w:val="181818"/>
              </w:rPr>
              <w:t>55</w:t>
            </w:r>
          </w:p>
        </w:tc>
        <w:tc>
          <w:tcPr>
            <w:tcW w:w="0" w:type="dxa"/>
            <w:vAlign w:val="bottom"/>
          </w:tcPr>
          <w:p>
            <w:pPr>
              <w:spacing w:after="0"/>
              <w:rPr>
                <w:sz w:val="1"/>
                <w:szCs w:val="1"/>
                <w:color w:val="auto"/>
              </w:rPr>
            </w:pPr>
          </w:p>
        </w:tc>
      </w:tr>
      <w:tr>
        <w:trPr>
          <w:trHeight w:val="113"/>
        </w:trPr>
        <w:tc>
          <w:tcPr>
            <w:tcW w:w="1660" w:type="dxa"/>
            <w:vAlign w:val="bottom"/>
            <w:tcBorders>
              <w:left w:val="single" w:sz="8" w:color="auto"/>
            </w:tcBorders>
            <w:vMerge w:val="continue"/>
            <w:shd w:val="clear" w:color="auto" w:fill="09314A"/>
          </w:tcPr>
          <w:p>
            <w:pPr>
              <w:spacing w:after="0"/>
              <w:rPr>
                <w:sz w:val="9"/>
                <w:szCs w:val="9"/>
                <w:color w:val="auto"/>
              </w:rPr>
            </w:pPr>
          </w:p>
        </w:tc>
        <w:tc>
          <w:tcPr>
            <w:tcW w:w="5640" w:type="dxa"/>
            <w:vAlign w:val="bottom"/>
            <w:vMerge w:val="restart"/>
          </w:tcPr>
          <w:p>
            <w:pPr>
              <w:ind w:left="160"/>
              <w:spacing w:after="0"/>
              <w:rPr>
                <w:sz w:val="20"/>
                <w:szCs w:val="20"/>
                <w:color w:val="auto"/>
              </w:rPr>
            </w:pPr>
            <w:r>
              <w:rPr>
                <w:rFonts w:ascii="Arial" w:cs="Arial" w:eastAsia="Arial" w:hAnsi="Arial"/>
                <w:sz w:val="14"/>
                <w:szCs w:val="14"/>
                <w:color w:val="181818"/>
              </w:rPr>
              <w:t>number of shares available for issuance under the plan.</w:t>
            </w:r>
          </w:p>
        </w:tc>
        <w:tc>
          <w:tcPr>
            <w:tcW w:w="2420" w:type="dxa"/>
            <w:vAlign w:val="bottom"/>
            <w:vMerge w:val="continue"/>
          </w:tcPr>
          <w:p>
            <w:pPr>
              <w:spacing w:after="0"/>
              <w:rPr>
                <w:sz w:val="9"/>
                <w:szCs w:val="9"/>
                <w:color w:val="auto"/>
              </w:rPr>
            </w:pPr>
          </w:p>
        </w:tc>
        <w:tc>
          <w:tcPr>
            <w:tcW w:w="1540" w:type="dxa"/>
            <w:vAlign w:val="bottom"/>
            <w:tcBorders>
              <w:right w:val="single" w:sz="8" w:color="18181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660" w:type="dxa"/>
            <w:vAlign w:val="bottom"/>
            <w:tcBorders>
              <w:left w:val="single" w:sz="8" w:color="auto"/>
            </w:tcBorders>
            <w:vMerge w:val="continue"/>
            <w:shd w:val="clear" w:color="auto" w:fill="09314A"/>
          </w:tcPr>
          <w:p>
            <w:pPr>
              <w:spacing w:after="0"/>
              <w:rPr>
                <w:sz w:val="8"/>
                <w:szCs w:val="8"/>
                <w:color w:val="auto"/>
              </w:rPr>
            </w:pPr>
          </w:p>
        </w:tc>
        <w:tc>
          <w:tcPr>
            <w:tcW w:w="5640" w:type="dxa"/>
            <w:vAlign w:val="bottom"/>
            <w:vMerge w:val="continue"/>
          </w:tcPr>
          <w:p>
            <w:pPr>
              <w:spacing w:after="0"/>
              <w:rPr>
                <w:sz w:val="8"/>
                <w:szCs w:val="8"/>
                <w:color w:val="auto"/>
              </w:rPr>
            </w:pPr>
          </w:p>
        </w:tc>
        <w:tc>
          <w:tcPr>
            <w:tcW w:w="2420" w:type="dxa"/>
            <w:vAlign w:val="bottom"/>
            <w:vMerge w:val="continue"/>
          </w:tcPr>
          <w:p>
            <w:pPr>
              <w:spacing w:after="0"/>
              <w:rPr>
                <w:sz w:val="8"/>
                <w:szCs w:val="8"/>
                <w:color w:val="auto"/>
              </w:rPr>
            </w:pPr>
          </w:p>
        </w:tc>
        <w:tc>
          <w:tcPr>
            <w:tcW w:w="1540" w:type="dxa"/>
            <w:vAlign w:val="bottom"/>
            <w:tcBorders>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660" w:type="dxa"/>
            <w:vAlign w:val="bottom"/>
            <w:tcBorders>
              <w:left w:val="single" w:sz="8" w:color="auto"/>
              <w:bottom w:val="single" w:sz="8" w:color="09314A"/>
            </w:tcBorders>
            <w:shd w:val="clear" w:color="auto" w:fill="09314A"/>
          </w:tcPr>
          <w:p>
            <w:pPr>
              <w:spacing w:after="0"/>
              <w:rPr>
                <w:sz w:val="4"/>
                <w:szCs w:val="4"/>
                <w:color w:val="auto"/>
              </w:rPr>
            </w:pPr>
          </w:p>
        </w:tc>
        <w:tc>
          <w:tcPr>
            <w:tcW w:w="5640" w:type="dxa"/>
            <w:vAlign w:val="bottom"/>
            <w:tcBorders>
              <w:bottom w:val="single" w:sz="8" w:color="181818"/>
            </w:tcBorders>
          </w:tcPr>
          <w:p>
            <w:pPr>
              <w:spacing w:after="0"/>
              <w:rPr>
                <w:sz w:val="4"/>
                <w:szCs w:val="4"/>
                <w:color w:val="auto"/>
              </w:rPr>
            </w:pPr>
          </w:p>
        </w:tc>
        <w:tc>
          <w:tcPr>
            <w:tcW w:w="2420" w:type="dxa"/>
            <w:vAlign w:val="bottom"/>
            <w:tcBorders>
              <w:bottom w:val="single" w:sz="8" w:color="181818"/>
            </w:tcBorders>
          </w:tcPr>
          <w:p>
            <w:pPr>
              <w:spacing w:after="0"/>
              <w:rPr>
                <w:sz w:val="4"/>
                <w:szCs w:val="4"/>
                <w:color w:val="auto"/>
              </w:rPr>
            </w:pPr>
          </w:p>
        </w:tc>
        <w:tc>
          <w:tcPr>
            <w:tcW w:w="1540" w:type="dxa"/>
            <w:vAlign w:val="bottom"/>
            <w:tcBorders>
              <w:bottom w:val="single" w:sz="8" w:color="181818"/>
              <w:right w:val="single" w:sz="8" w:color="181818"/>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660" w:type="dxa"/>
            <w:vAlign w:val="bottom"/>
            <w:tcBorders>
              <w:left w:val="single" w:sz="8" w:color="auto"/>
            </w:tcBorders>
            <w:vMerge w:val="restart"/>
            <w:shd w:val="clear" w:color="auto" w:fill="09314A"/>
          </w:tcPr>
          <w:p>
            <w:pPr>
              <w:jc w:val="center"/>
              <w:spacing w:after="0"/>
              <w:rPr>
                <w:sz w:val="20"/>
                <w:szCs w:val="20"/>
                <w:color w:val="auto"/>
              </w:rPr>
            </w:pPr>
            <w:r>
              <w:rPr>
                <w:rFonts w:ascii="Arial" w:cs="Arial" w:eastAsia="Arial" w:hAnsi="Arial"/>
                <w:sz w:val="29"/>
                <w:szCs w:val="29"/>
                <w:b w:val="1"/>
                <w:bCs w:val="1"/>
                <w:color w:val="FFFFFF"/>
                <w:w w:val="98"/>
              </w:rPr>
              <w:t>4</w:t>
            </w:r>
          </w:p>
        </w:tc>
        <w:tc>
          <w:tcPr>
            <w:tcW w:w="5640" w:type="dxa"/>
            <w:vAlign w:val="bottom"/>
          </w:tcPr>
          <w:p>
            <w:pPr>
              <w:ind w:left="160"/>
              <w:spacing w:after="0"/>
              <w:rPr>
                <w:sz w:val="20"/>
                <w:szCs w:val="20"/>
                <w:color w:val="auto"/>
              </w:rPr>
            </w:pPr>
            <w:r>
              <w:rPr>
                <w:rFonts w:ascii="Arial" w:cs="Arial" w:eastAsia="Arial" w:hAnsi="Arial"/>
                <w:sz w:val="14"/>
                <w:szCs w:val="14"/>
                <w:color w:val="181818"/>
              </w:rPr>
              <w:t>To approve, on an advisory (non-binding) basis, the frequency of future advisory</w:t>
            </w:r>
          </w:p>
        </w:tc>
        <w:tc>
          <w:tcPr>
            <w:tcW w:w="2420" w:type="dxa"/>
            <w:vAlign w:val="bottom"/>
            <w:vMerge w:val="restart"/>
          </w:tcPr>
          <w:p>
            <w:pPr>
              <w:jc w:val="center"/>
              <w:spacing w:after="0"/>
              <w:rPr>
                <w:sz w:val="20"/>
                <w:szCs w:val="20"/>
                <w:color w:val="auto"/>
              </w:rPr>
            </w:pPr>
            <w:r>
              <w:rPr>
                <w:rFonts w:ascii="Arial" w:cs="Arial" w:eastAsia="Arial" w:hAnsi="Arial"/>
                <w:sz w:val="29"/>
                <w:szCs w:val="29"/>
                <w:b w:val="1"/>
                <w:bCs w:val="1"/>
                <w:color w:val="1B6F80"/>
              </w:rPr>
              <w:t xml:space="preserve">ü </w:t>
            </w:r>
            <w:r>
              <w:rPr>
                <w:rFonts w:ascii="Arial" w:cs="Arial" w:eastAsia="Arial" w:hAnsi="Arial"/>
                <w:sz w:val="26"/>
                <w:szCs w:val="26"/>
                <w:b w:val="1"/>
                <w:bCs w:val="1"/>
                <w:color w:val="000000"/>
              </w:rPr>
              <w:t>ONE YEAR</w:t>
            </w:r>
          </w:p>
        </w:tc>
        <w:tc>
          <w:tcPr>
            <w:tcW w:w="1540" w:type="dxa"/>
            <w:vAlign w:val="bottom"/>
            <w:tcBorders>
              <w:right w:val="single" w:sz="8" w:color="181818"/>
            </w:tcBorders>
            <w:vMerge w:val="restart"/>
          </w:tcPr>
          <w:p>
            <w:pPr>
              <w:jc w:val="center"/>
              <w:spacing w:after="0"/>
              <w:rPr>
                <w:sz w:val="20"/>
                <w:szCs w:val="20"/>
                <w:color w:val="auto"/>
              </w:rPr>
            </w:pPr>
            <w:r>
              <w:rPr>
                <w:rFonts w:ascii="Arial" w:cs="Arial" w:eastAsia="Arial" w:hAnsi="Arial"/>
                <w:sz w:val="14"/>
                <w:szCs w:val="14"/>
                <w:color w:val="181818"/>
              </w:rPr>
              <w:t>66</w:t>
            </w:r>
          </w:p>
        </w:tc>
        <w:tc>
          <w:tcPr>
            <w:tcW w:w="0" w:type="dxa"/>
            <w:vAlign w:val="bottom"/>
          </w:tcPr>
          <w:p>
            <w:pPr>
              <w:spacing w:after="0"/>
              <w:rPr>
                <w:sz w:val="1"/>
                <w:szCs w:val="1"/>
                <w:color w:val="auto"/>
              </w:rPr>
            </w:pPr>
          </w:p>
        </w:tc>
      </w:tr>
      <w:tr>
        <w:trPr>
          <w:trHeight w:val="100"/>
        </w:trPr>
        <w:tc>
          <w:tcPr>
            <w:tcW w:w="1660" w:type="dxa"/>
            <w:vAlign w:val="bottom"/>
            <w:tcBorders>
              <w:left w:val="single" w:sz="8" w:color="auto"/>
            </w:tcBorders>
            <w:vMerge w:val="continue"/>
            <w:shd w:val="clear" w:color="auto" w:fill="09314A"/>
          </w:tcPr>
          <w:p>
            <w:pPr>
              <w:spacing w:after="0"/>
              <w:rPr>
                <w:sz w:val="8"/>
                <w:szCs w:val="8"/>
                <w:color w:val="auto"/>
              </w:rPr>
            </w:pPr>
          </w:p>
        </w:tc>
        <w:tc>
          <w:tcPr>
            <w:tcW w:w="5640" w:type="dxa"/>
            <w:vAlign w:val="bottom"/>
            <w:vMerge w:val="restart"/>
          </w:tcPr>
          <w:p>
            <w:pPr>
              <w:ind w:left="160"/>
              <w:spacing w:after="0"/>
              <w:rPr>
                <w:sz w:val="20"/>
                <w:szCs w:val="20"/>
                <w:color w:val="auto"/>
              </w:rPr>
            </w:pPr>
            <w:r>
              <w:rPr>
                <w:rFonts w:ascii="Arial" w:cs="Arial" w:eastAsia="Arial" w:hAnsi="Arial"/>
                <w:sz w:val="14"/>
                <w:szCs w:val="14"/>
                <w:color w:val="181818"/>
              </w:rPr>
              <w:t>votes on the compensation of our named executive officers</w:t>
            </w:r>
          </w:p>
        </w:tc>
        <w:tc>
          <w:tcPr>
            <w:tcW w:w="2420" w:type="dxa"/>
            <w:vAlign w:val="bottom"/>
            <w:vMerge w:val="continue"/>
          </w:tcPr>
          <w:p>
            <w:pPr>
              <w:spacing w:after="0"/>
              <w:rPr>
                <w:sz w:val="8"/>
                <w:szCs w:val="8"/>
                <w:color w:val="auto"/>
              </w:rPr>
            </w:pPr>
          </w:p>
        </w:tc>
        <w:tc>
          <w:tcPr>
            <w:tcW w:w="1540" w:type="dxa"/>
            <w:vAlign w:val="bottom"/>
            <w:tcBorders>
              <w:right w:val="single" w:sz="8" w:color="18181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660" w:type="dxa"/>
            <w:vAlign w:val="bottom"/>
            <w:tcBorders>
              <w:left w:val="single" w:sz="8" w:color="auto"/>
            </w:tcBorders>
            <w:vMerge w:val="continue"/>
            <w:shd w:val="clear" w:color="auto" w:fill="09314A"/>
          </w:tcPr>
          <w:p>
            <w:pPr>
              <w:spacing w:after="0"/>
              <w:rPr>
                <w:sz w:val="8"/>
                <w:szCs w:val="8"/>
                <w:color w:val="auto"/>
              </w:rPr>
            </w:pPr>
          </w:p>
        </w:tc>
        <w:tc>
          <w:tcPr>
            <w:tcW w:w="5640" w:type="dxa"/>
            <w:vAlign w:val="bottom"/>
            <w:vMerge w:val="continue"/>
          </w:tcPr>
          <w:p>
            <w:pPr>
              <w:spacing w:after="0"/>
              <w:rPr>
                <w:sz w:val="8"/>
                <w:szCs w:val="8"/>
                <w:color w:val="auto"/>
              </w:rPr>
            </w:pPr>
          </w:p>
        </w:tc>
        <w:tc>
          <w:tcPr>
            <w:tcW w:w="2420" w:type="dxa"/>
            <w:vAlign w:val="bottom"/>
            <w:vMerge w:val="continue"/>
          </w:tcPr>
          <w:p>
            <w:pPr>
              <w:spacing w:after="0"/>
              <w:rPr>
                <w:sz w:val="8"/>
                <w:szCs w:val="8"/>
                <w:color w:val="auto"/>
              </w:rPr>
            </w:pPr>
          </w:p>
        </w:tc>
        <w:tc>
          <w:tcPr>
            <w:tcW w:w="1540" w:type="dxa"/>
            <w:vAlign w:val="bottom"/>
            <w:tcBorders>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660" w:type="dxa"/>
            <w:vAlign w:val="bottom"/>
            <w:tcBorders>
              <w:left w:val="single" w:sz="8" w:color="auto"/>
              <w:bottom w:val="single" w:sz="8" w:color="09314A"/>
            </w:tcBorders>
            <w:shd w:val="clear" w:color="auto" w:fill="09314A"/>
          </w:tcPr>
          <w:p>
            <w:pPr>
              <w:spacing w:after="0"/>
              <w:rPr>
                <w:sz w:val="6"/>
                <w:szCs w:val="6"/>
                <w:color w:val="auto"/>
              </w:rPr>
            </w:pPr>
          </w:p>
        </w:tc>
        <w:tc>
          <w:tcPr>
            <w:tcW w:w="5640" w:type="dxa"/>
            <w:vAlign w:val="bottom"/>
            <w:tcBorders>
              <w:bottom w:val="single" w:sz="8" w:color="181818"/>
            </w:tcBorders>
          </w:tcPr>
          <w:p>
            <w:pPr>
              <w:spacing w:after="0"/>
              <w:rPr>
                <w:sz w:val="6"/>
                <w:szCs w:val="6"/>
                <w:color w:val="auto"/>
              </w:rPr>
            </w:pPr>
          </w:p>
        </w:tc>
        <w:tc>
          <w:tcPr>
            <w:tcW w:w="2420" w:type="dxa"/>
            <w:vAlign w:val="bottom"/>
            <w:tcBorders>
              <w:bottom w:val="single" w:sz="8" w:color="181818"/>
            </w:tcBorders>
          </w:tcPr>
          <w:p>
            <w:pPr>
              <w:spacing w:after="0"/>
              <w:rPr>
                <w:sz w:val="6"/>
                <w:szCs w:val="6"/>
                <w:color w:val="auto"/>
              </w:rPr>
            </w:pPr>
          </w:p>
        </w:tc>
        <w:tc>
          <w:tcPr>
            <w:tcW w:w="154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tcBorders>
            <w:vMerge w:val="restart"/>
            <w:shd w:val="clear" w:color="auto" w:fill="09314A"/>
          </w:tcPr>
          <w:p>
            <w:pPr>
              <w:jc w:val="center"/>
              <w:spacing w:after="0"/>
              <w:rPr>
                <w:sz w:val="20"/>
                <w:szCs w:val="20"/>
                <w:color w:val="auto"/>
              </w:rPr>
            </w:pPr>
            <w:r>
              <w:rPr>
                <w:rFonts w:ascii="Arial" w:cs="Arial" w:eastAsia="Arial" w:hAnsi="Arial"/>
                <w:sz w:val="29"/>
                <w:szCs w:val="29"/>
                <w:b w:val="1"/>
                <w:bCs w:val="1"/>
                <w:color w:val="FFFFFF"/>
                <w:w w:val="98"/>
              </w:rPr>
              <w:t>5</w:t>
            </w:r>
          </w:p>
        </w:tc>
        <w:tc>
          <w:tcPr>
            <w:tcW w:w="5640" w:type="dxa"/>
            <w:vAlign w:val="bottom"/>
          </w:tcPr>
          <w:p>
            <w:pPr>
              <w:ind w:left="160"/>
              <w:spacing w:after="0"/>
              <w:rPr>
                <w:sz w:val="20"/>
                <w:szCs w:val="20"/>
                <w:color w:val="auto"/>
              </w:rPr>
            </w:pPr>
            <w:r>
              <w:rPr>
                <w:rFonts w:ascii="Arial" w:cs="Arial" w:eastAsia="Arial" w:hAnsi="Arial"/>
                <w:sz w:val="14"/>
                <w:szCs w:val="14"/>
                <w:color w:val="181818"/>
              </w:rPr>
              <w:t>Ratification of the appointment of Deloitte &amp; Touche LLP as our independent</w:t>
            </w:r>
          </w:p>
        </w:tc>
        <w:tc>
          <w:tcPr>
            <w:tcW w:w="2420" w:type="dxa"/>
            <w:vAlign w:val="bottom"/>
            <w:vMerge w:val="restart"/>
          </w:tcPr>
          <w:p>
            <w:pPr>
              <w:jc w:val="center"/>
              <w:spacing w:after="0"/>
              <w:rPr>
                <w:sz w:val="20"/>
                <w:szCs w:val="20"/>
                <w:color w:val="auto"/>
              </w:rPr>
            </w:pPr>
            <w:r>
              <w:rPr>
                <w:rFonts w:ascii="Arial" w:cs="Arial" w:eastAsia="Arial" w:hAnsi="Arial"/>
                <w:sz w:val="29"/>
                <w:szCs w:val="29"/>
                <w:b w:val="1"/>
                <w:bCs w:val="1"/>
                <w:color w:val="1B6F80"/>
              </w:rPr>
              <w:t xml:space="preserve">ü </w:t>
            </w:r>
            <w:r>
              <w:rPr>
                <w:rFonts w:ascii="Arial" w:cs="Arial" w:eastAsia="Arial" w:hAnsi="Arial"/>
                <w:sz w:val="26"/>
                <w:szCs w:val="26"/>
                <w:b w:val="1"/>
                <w:bCs w:val="1"/>
                <w:color w:val="181818"/>
              </w:rPr>
              <w:t>FOR</w:t>
            </w:r>
          </w:p>
        </w:tc>
        <w:tc>
          <w:tcPr>
            <w:tcW w:w="1540" w:type="dxa"/>
            <w:vAlign w:val="bottom"/>
            <w:tcBorders>
              <w:right w:val="single" w:sz="8" w:color="181818"/>
            </w:tcBorders>
            <w:vMerge w:val="restart"/>
          </w:tcPr>
          <w:p>
            <w:pPr>
              <w:jc w:val="center"/>
              <w:spacing w:after="0"/>
              <w:rPr>
                <w:sz w:val="20"/>
                <w:szCs w:val="20"/>
                <w:color w:val="auto"/>
              </w:rPr>
            </w:pPr>
            <w:r>
              <w:rPr>
                <w:rFonts w:ascii="Arial" w:cs="Arial" w:eastAsia="Arial" w:hAnsi="Arial"/>
                <w:sz w:val="14"/>
                <w:szCs w:val="14"/>
                <w:color w:val="181818"/>
              </w:rPr>
              <w:t>68</w:t>
            </w:r>
          </w:p>
        </w:tc>
        <w:tc>
          <w:tcPr>
            <w:tcW w:w="0" w:type="dxa"/>
            <w:vAlign w:val="bottom"/>
          </w:tcPr>
          <w:p>
            <w:pPr>
              <w:spacing w:after="0"/>
              <w:rPr>
                <w:sz w:val="1"/>
                <w:szCs w:val="1"/>
                <w:color w:val="auto"/>
              </w:rPr>
            </w:pPr>
          </w:p>
        </w:tc>
      </w:tr>
      <w:tr>
        <w:trPr>
          <w:trHeight w:val="113"/>
        </w:trPr>
        <w:tc>
          <w:tcPr>
            <w:tcW w:w="1660" w:type="dxa"/>
            <w:vAlign w:val="bottom"/>
            <w:tcBorders>
              <w:left w:val="single" w:sz="8" w:color="auto"/>
            </w:tcBorders>
            <w:vMerge w:val="continue"/>
            <w:shd w:val="clear" w:color="auto" w:fill="09314A"/>
          </w:tcPr>
          <w:p>
            <w:pPr>
              <w:spacing w:after="0"/>
              <w:rPr>
                <w:sz w:val="9"/>
                <w:szCs w:val="9"/>
                <w:color w:val="auto"/>
              </w:rPr>
            </w:pPr>
          </w:p>
        </w:tc>
        <w:tc>
          <w:tcPr>
            <w:tcW w:w="5640" w:type="dxa"/>
            <w:vAlign w:val="bottom"/>
            <w:vMerge w:val="restart"/>
          </w:tcPr>
          <w:p>
            <w:pPr>
              <w:ind w:left="160"/>
              <w:spacing w:after="0"/>
              <w:rPr>
                <w:sz w:val="20"/>
                <w:szCs w:val="20"/>
                <w:color w:val="auto"/>
              </w:rPr>
            </w:pPr>
            <w:r>
              <w:rPr>
                <w:rFonts w:ascii="Arial" w:cs="Arial" w:eastAsia="Arial" w:hAnsi="Arial"/>
                <w:sz w:val="14"/>
                <w:szCs w:val="14"/>
                <w:color w:val="181818"/>
              </w:rPr>
              <w:t>registered public accounting firm for the fiscal year ending March 31, 2027</w:t>
            </w:r>
          </w:p>
        </w:tc>
        <w:tc>
          <w:tcPr>
            <w:tcW w:w="2420" w:type="dxa"/>
            <w:vAlign w:val="bottom"/>
            <w:vMerge w:val="continue"/>
          </w:tcPr>
          <w:p>
            <w:pPr>
              <w:spacing w:after="0"/>
              <w:rPr>
                <w:sz w:val="9"/>
                <w:szCs w:val="9"/>
                <w:color w:val="auto"/>
              </w:rPr>
            </w:pPr>
          </w:p>
        </w:tc>
        <w:tc>
          <w:tcPr>
            <w:tcW w:w="1540" w:type="dxa"/>
            <w:vAlign w:val="bottom"/>
            <w:tcBorders>
              <w:right w:val="single" w:sz="8" w:color="18181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60" w:type="dxa"/>
            <w:vAlign w:val="bottom"/>
            <w:tcBorders>
              <w:left w:val="single" w:sz="8" w:color="auto"/>
              <w:bottom w:val="single" w:sz="8" w:color="181818"/>
            </w:tcBorders>
            <w:vMerge w:val="continue"/>
            <w:shd w:val="clear" w:color="auto" w:fill="09314A"/>
          </w:tcPr>
          <w:p>
            <w:pPr>
              <w:spacing w:after="0"/>
              <w:rPr>
                <w:sz w:val="8"/>
                <w:szCs w:val="8"/>
                <w:color w:val="auto"/>
              </w:rPr>
            </w:pPr>
          </w:p>
        </w:tc>
        <w:tc>
          <w:tcPr>
            <w:tcW w:w="5640" w:type="dxa"/>
            <w:vAlign w:val="bottom"/>
            <w:tcBorders>
              <w:bottom w:val="single" w:sz="8" w:color="181818"/>
            </w:tcBorders>
            <w:vMerge w:val="continue"/>
          </w:tcPr>
          <w:p>
            <w:pPr>
              <w:spacing w:after="0"/>
              <w:rPr>
                <w:sz w:val="8"/>
                <w:szCs w:val="8"/>
                <w:color w:val="auto"/>
              </w:rPr>
            </w:pPr>
          </w:p>
        </w:tc>
        <w:tc>
          <w:tcPr>
            <w:tcW w:w="2420" w:type="dxa"/>
            <w:vAlign w:val="bottom"/>
            <w:tcBorders>
              <w:bottom w:val="single" w:sz="8" w:color="181818"/>
            </w:tcBorders>
            <w:vMerge w:val="continue"/>
          </w:tcPr>
          <w:p>
            <w:pPr>
              <w:spacing w:after="0"/>
              <w:rPr>
                <w:sz w:val="8"/>
                <w:szCs w:val="8"/>
                <w:color w:val="auto"/>
              </w:rPr>
            </w:pPr>
          </w:p>
        </w:tc>
        <w:tc>
          <w:tcPr>
            <w:tcW w:w="1540" w:type="dxa"/>
            <w:vAlign w:val="bottom"/>
            <w:tcBorders>
              <w:bottom w:val="single" w:sz="8" w:color="181818"/>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-1190625</wp:posOffset>
            </wp:positionV>
            <wp:extent cx="1045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-933450</wp:posOffset>
            </wp:positionV>
            <wp:extent cx="1045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-599440</wp:posOffset>
            </wp:positionV>
            <wp:extent cx="10458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-264795</wp:posOffset>
            </wp:positionV>
            <wp:extent cx="1045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98425</wp:posOffset>
            </wp:positionV>
            <wp:extent cx="8890" cy="848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48360"/>
                    </a:xfrm>
                    <a:prstGeom prst="rect">
                      <a:avLst/>
                    </a:prstGeom>
                    <a:noFill/>
                  </pic:spPr>
                </pic:pic>
              </a:graphicData>
            </a:graphic>
          </wp:anchor>
        </w:drawing>
        <w:drawing>
          <wp:anchor simplePos="0" relativeHeight="251657728" behindDoc="1" locked="0" layoutInCell="0" allowOverlap="1">
            <wp:simplePos x="0" y="0"/>
            <wp:positionH relativeFrom="column">
              <wp:posOffset>5421630</wp:posOffset>
            </wp:positionH>
            <wp:positionV relativeFrom="paragraph">
              <wp:posOffset>98425</wp:posOffset>
            </wp:positionV>
            <wp:extent cx="8255" cy="848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4836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964"/>
        </w:trPr>
        <w:tc>
          <w:tcPr>
            <w:tcW w:w="3460" w:type="dxa"/>
            <w:vAlign w:val="bottom"/>
            <w:shd w:val="clear" w:color="auto" w:fill="1B6F80"/>
          </w:tcPr>
          <w:p>
            <w:pPr>
              <w:jc w:val="center"/>
              <w:spacing w:after="0"/>
              <w:rPr>
                <w:sz w:val="20"/>
                <w:szCs w:val="20"/>
                <w:color w:val="auto"/>
              </w:rPr>
            </w:pPr>
            <w:r>
              <w:rPr>
                <w:rFonts w:ascii="Arial" w:cs="Arial" w:eastAsia="Arial" w:hAnsi="Arial"/>
                <w:sz w:val="16"/>
                <w:szCs w:val="16"/>
                <w:b w:val="1"/>
                <w:bCs w:val="1"/>
                <w:color w:val="FFFFFF"/>
              </w:rPr>
              <w:t>Date and Time</w:t>
            </w:r>
          </w:p>
        </w:tc>
        <w:tc>
          <w:tcPr>
            <w:tcW w:w="5080" w:type="dxa"/>
            <w:vAlign w:val="bottom"/>
            <w:shd w:val="clear" w:color="auto" w:fill="1B6F80"/>
          </w:tcPr>
          <w:p>
            <w:pPr>
              <w:jc w:val="center"/>
              <w:spacing w:after="0"/>
              <w:rPr>
                <w:sz w:val="20"/>
                <w:szCs w:val="20"/>
                <w:color w:val="auto"/>
              </w:rPr>
            </w:pPr>
            <w:r>
              <w:rPr>
                <w:rFonts w:ascii="Arial" w:cs="Arial" w:eastAsia="Arial" w:hAnsi="Arial"/>
                <w:sz w:val="16"/>
                <w:szCs w:val="16"/>
                <w:b w:val="1"/>
                <w:bCs w:val="1"/>
                <w:color w:val="FFFFFF"/>
              </w:rPr>
              <w:t>Virtual Meeting</w:t>
            </w:r>
          </w:p>
        </w:tc>
        <w:tc>
          <w:tcPr>
            <w:tcW w:w="2720" w:type="dxa"/>
            <w:vAlign w:val="bottom"/>
            <w:shd w:val="clear" w:color="auto" w:fill="1B6F80"/>
          </w:tcPr>
          <w:p>
            <w:pPr>
              <w:jc w:val="center"/>
              <w:spacing w:after="0"/>
              <w:rPr>
                <w:sz w:val="20"/>
                <w:szCs w:val="20"/>
                <w:color w:val="auto"/>
              </w:rPr>
            </w:pPr>
            <w:r>
              <w:rPr>
                <w:rFonts w:ascii="Arial" w:cs="Arial" w:eastAsia="Arial" w:hAnsi="Arial"/>
                <w:sz w:val="16"/>
                <w:szCs w:val="16"/>
                <w:b w:val="1"/>
                <w:bCs w:val="1"/>
                <w:color w:val="FFFFFF"/>
                <w:w w:val="99"/>
              </w:rPr>
              <w:t>Record Date</w:t>
            </w:r>
          </w:p>
        </w:tc>
      </w:tr>
      <w:tr>
        <w:trPr>
          <w:trHeight w:val="222"/>
        </w:trPr>
        <w:tc>
          <w:tcPr>
            <w:tcW w:w="3460" w:type="dxa"/>
            <w:vAlign w:val="bottom"/>
            <w:shd w:val="clear" w:color="auto" w:fill="1B6F80"/>
          </w:tcPr>
          <w:p>
            <w:pPr>
              <w:jc w:val="center"/>
              <w:spacing w:after="0"/>
              <w:rPr>
                <w:sz w:val="20"/>
                <w:szCs w:val="20"/>
                <w:color w:val="auto"/>
              </w:rPr>
            </w:pPr>
            <w:r>
              <w:rPr>
                <w:rFonts w:ascii="Arial" w:cs="Arial" w:eastAsia="Arial" w:hAnsi="Arial"/>
                <w:sz w:val="16"/>
                <w:szCs w:val="16"/>
                <w:color w:val="FFFFFF"/>
              </w:rPr>
              <w:t>August 4, 2026 | 9:30 AM EDT</w:t>
            </w:r>
          </w:p>
        </w:tc>
        <w:tc>
          <w:tcPr>
            <w:tcW w:w="5080" w:type="dxa"/>
            <w:vAlign w:val="bottom"/>
            <w:shd w:val="clear" w:color="auto" w:fill="1B6F80"/>
          </w:tcPr>
          <w:p>
            <w:pPr>
              <w:jc w:val="center"/>
              <w:spacing w:after="0"/>
              <w:rPr>
                <w:sz w:val="20"/>
                <w:szCs w:val="20"/>
                <w:color w:val="auto"/>
              </w:rPr>
            </w:pPr>
            <w:r>
              <w:rPr>
                <w:rFonts w:ascii="Arial" w:cs="Arial" w:eastAsia="Arial" w:hAnsi="Arial"/>
                <w:sz w:val="16"/>
                <w:szCs w:val="16"/>
                <w:color w:val="FFFFFF"/>
              </w:rPr>
              <w:t>www.virtualshareholdermeeting.com/atex2026</w:t>
            </w:r>
          </w:p>
        </w:tc>
        <w:tc>
          <w:tcPr>
            <w:tcW w:w="2720" w:type="dxa"/>
            <w:vAlign w:val="bottom"/>
            <w:shd w:val="clear" w:color="auto" w:fill="1B6F80"/>
          </w:tcPr>
          <w:p>
            <w:pPr>
              <w:jc w:val="center"/>
              <w:spacing w:after="0"/>
              <w:rPr>
                <w:sz w:val="20"/>
                <w:szCs w:val="20"/>
                <w:color w:val="auto"/>
              </w:rPr>
            </w:pPr>
            <w:r>
              <w:rPr>
                <w:rFonts w:ascii="Arial" w:cs="Arial" w:eastAsia="Arial" w:hAnsi="Arial"/>
                <w:sz w:val="16"/>
                <w:szCs w:val="16"/>
                <w:color w:val="FFFFFF"/>
              </w:rPr>
              <w:t>June 11, 2026</w:t>
            </w:r>
          </w:p>
        </w:tc>
      </w:tr>
      <w:tr>
        <w:trPr>
          <w:trHeight w:val="150"/>
        </w:trPr>
        <w:tc>
          <w:tcPr>
            <w:tcW w:w="3460" w:type="dxa"/>
            <w:vAlign w:val="bottom"/>
            <w:shd w:val="clear" w:color="auto" w:fill="1B6F80"/>
          </w:tcPr>
          <w:p>
            <w:pPr>
              <w:spacing w:after="0"/>
              <w:rPr>
                <w:sz w:val="13"/>
                <w:szCs w:val="13"/>
                <w:color w:val="auto"/>
              </w:rPr>
            </w:pPr>
          </w:p>
        </w:tc>
        <w:tc>
          <w:tcPr>
            <w:tcW w:w="5080" w:type="dxa"/>
            <w:vAlign w:val="bottom"/>
            <w:shd w:val="clear" w:color="auto" w:fill="1B6F80"/>
          </w:tcPr>
          <w:p>
            <w:pPr>
              <w:spacing w:after="0"/>
              <w:rPr>
                <w:sz w:val="13"/>
                <w:szCs w:val="13"/>
                <w:color w:val="auto"/>
              </w:rPr>
            </w:pPr>
          </w:p>
        </w:tc>
        <w:tc>
          <w:tcPr>
            <w:tcW w:w="2720" w:type="dxa"/>
            <w:vAlign w:val="bottom"/>
            <w:shd w:val="clear" w:color="auto" w:fill="1B6F80"/>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-796290</wp:posOffset>
            </wp:positionV>
            <wp:extent cx="32575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-796290</wp:posOffset>
            </wp:positionV>
            <wp:extent cx="32575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-796290</wp:posOffset>
            </wp:positionV>
            <wp:extent cx="32575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If you need technical support to access the Annual Meeting, toll-free and international numbers are available on the virtual meeting website to assist you.</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Technical support will be available 15 minutes before the start time of the Annual Meeting and through the conclusion of the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How to Cast Your Vote</w:t>
      </w:r>
    </w:p>
    <w:p>
      <w:pPr>
        <w:spacing w:after="0" w:line="123"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You have four different methods to vote your proxy. Please see the enclosed proxy card or voting instruction form for additional details regarding each voting method.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743"/>
        </w:trPr>
        <w:tc>
          <w:tcPr>
            <w:tcW w:w="2680" w:type="dxa"/>
            <w:vAlign w:val="bottom"/>
            <w:tcBorders>
              <w:right w:val="single" w:sz="8" w:color="181818"/>
            </w:tcBorders>
            <w:vMerge w:val="restart"/>
            <w:shd w:val="clear" w:color="auto" w:fill="F4F3F3"/>
          </w:tcPr>
          <w:p>
            <w:pPr>
              <w:jc w:val="center"/>
              <w:spacing w:after="0"/>
              <w:rPr>
                <w:sz w:val="20"/>
                <w:szCs w:val="20"/>
                <w:color w:val="auto"/>
              </w:rPr>
            </w:pPr>
            <w:r>
              <w:rPr>
                <w:rFonts w:ascii="Arial" w:cs="Arial" w:eastAsia="Arial" w:hAnsi="Arial"/>
                <w:sz w:val="16"/>
                <w:szCs w:val="16"/>
                <w:b w:val="1"/>
                <w:bCs w:val="1"/>
                <w:color w:val="181818"/>
              </w:rPr>
              <w:t>By Internet</w:t>
            </w:r>
          </w:p>
        </w:tc>
        <w:tc>
          <w:tcPr>
            <w:tcW w:w="2600" w:type="dxa"/>
            <w:vAlign w:val="bottom"/>
            <w:vMerge w:val="restart"/>
            <w:shd w:val="clear" w:color="auto" w:fill="F4F3F3"/>
          </w:tcPr>
          <w:p>
            <w:pPr>
              <w:jc w:val="center"/>
              <w:spacing w:after="0"/>
              <w:rPr>
                <w:sz w:val="20"/>
                <w:szCs w:val="20"/>
                <w:color w:val="auto"/>
              </w:rPr>
            </w:pPr>
            <w:r>
              <w:rPr>
                <w:rFonts w:ascii="Arial" w:cs="Arial" w:eastAsia="Arial" w:hAnsi="Arial"/>
                <w:sz w:val="16"/>
                <w:szCs w:val="16"/>
                <w:b w:val="1"/>
                <w:bCs w:val="1"/>
                <w:color w:val="181818"/>
                <w:w w:val="99"/>
              </w:rPr>
              <w:t>By Telephone</w:t>
            </w:r>
          </w:p>
        </w:tc>
        <w:tc>
          <w:tcPr>
            <w:tcW w:w="20" w:type="dxa"/>
            <w:vAlign w:val="bottom"/>
            <w:shd w:val="clear" w:color="auto" w:fill="F4F3F3"/>
          </w:tcPr>
          <w:p>
            <w:pPr>
              <w:spacing w:after="0"/>
              <w:rPr>
                <w:sz w:val="24"/>
                <w:szCs w:val="24"/>
                <w:color w:val="auto"/>
              </w:rPr>
            </w:pPr>
          </w:p>
        </w:tc>
        <w:tc>
          <w:tcPr>
            <w:tcW w:w="2600" w:type="dxa"/>
            <w:vAlign w:val="bottom"/>
            <w:vMerge w:val="restart"/>
            <w:shd w:val="clear" w:color="auto" w:fill="F4F3F3"/>
          </w:tcPr>
          <w:p>
            <w:pPr>
              <w:jc w:val="center"/>
              <w:spacing w:after="0"/>
              <w:rPr>
                <w:sz w:val="20"/>
                <w:szCs w:val="20"/>
                <w:color w:val="auto"/>
              </w:rPr>
            </w:pPr>
            <w:r>
              <w:rPr>
                <w:rFonts w:ascii="Arial" w:cs="Arial" w:eastAsia="Arial" w:hAnsi="Arial"/>
                <w:sz w:val="16"/>
                <w:szCs w:val="16"/>
                <w:b w:val="1"/>
                <w:bCs w:val="1"/>
                <w:color w:val="181818"/>
                <w:w w:val="99"/>
              </w:rPr>
              <w:t>By Mail</w:t>
            </w:r>
          </w:p>
        </w:tc>
        <w:tc>
          <w:tcPr>
            <w:tcW w:w="20" w:type="dxa"/>
            <w:vAlign w:val="bottom"/>
            <w:shd w:val="clear" w:color="auto" w:fill="F4F3F3"/>
          </w:tcPr>
          <w:p>
            <w:pPr>
              <w:spacing w:after="0"/>
              <w:rPr>
                <w:sz w:val="24"/>
                <w:szCs w:val="24"/>
                <w:color w:val="auto"/>
              </w:rPr>
            </w:pPr>
          </w:p>
        </w:tc>
        <w:tc>
          <w:tcPr>
            <w:tcW w:w="3340" w:type="dxa"/>
            <w:vAlign w:val="bottom"/>
            <w:vMerge w:val="restart"/>
            <w:shd w:val="clear" w:color="auto" w:fill="F4F3F3"/>
          </w:tcPr>
          <w:p>
            <w:pPr>
              <w:jc w:val="center"/>
              <w:spacing w:after="0"/>
              <w:rPr>
                <w:sz w:val="20"/>
                <w:szCs w:val="20"/>
                <w:color w:val="auto"/>
              </w:rPr>
            </w:pPr>
            <w:r>
              <w:rPr>
                <w:rFonts w:ascii="Arial" w:cs="Arial" w:eastAsia="Arial" w:hAnsi="Arial"/>
                <w:sz w:val="16"/>
                <w:szCs w:val="16"/>
                <w:b w:val="1"/>
                <w:bCs w:val="1"/>
                <w:color w:val="181818"/>
              </w:rPr>
              <w:t>At the Meeting</w:t>
            </w:r>
          </w:p>
        </w:tc>
        <w:tc>
          <w:tcPr>
            <w:tcW w:w="0" w:type="dxa"/>
            <w:vAlign w:val="bottom"/>
          </w:tcPr>
          <w:p>
            <w:pPr>
              <w:spacing w:after="0"/>
              <w:rPr>
                <w:sz w:val="1"/>
                <w:szCs w:val="1"/>
                <w:color w:val="auto"/>
              </w:rPr>
            </w:pPr>
          </w:p>
        </w:tc>
      </w:tr>
      <w:tr>
        <w:trPr>
          <w:trHeight w:val="249"/>
        </w:trPr>
        <w:tc>
          <w:tcPr>
            <w:tcW w:w="2680" w:type="dxa"/>
            <w:vAlign w:val="bottom"/>
            <w:tcBorders>
              <w:right w:val="single" w:sz="8" w:color="181818"/>
            </w:tcBorders>
            <w:vMerge w:val="continue"/>
            <w:shd w:val="clear" w:color="auto" w:fill="F4F3F3"/>
          </w:tcPr>
          <w:p>
            <w:pPr>
              <w:spacing w:after="0"/>
              <w:rPr>
                <w:sz w:val="21"/>
                <w:szCs w:val="21"/>
                <w:color w:val="auto"/>
              </w:rPr>
            </w:pPr>
          </w:p>
        </w:tc>
        <w:tc>
          <w:tcPr>
            <w:tcW w:w="2600" w:type="dxa"/>
            <w:vAlign w:val="bottom"/>
            <w:vMerge w:val="continue"/>
            <w:shd w:val="clear" w:color="auto" w:fill="F4F3F3"/>
          </w:tcPr>
          <w:p>
            <w:pPr>
              <w:spacing w:after="0"/>
              <w:rPr>
                <w:sz w:val="21"/>
                <w:szCs w:val="21"/>
                <w:color w:val="auto"/>
              </w:rPr>
            </w:pPr>
          </w:p>
        </w:tc>
        <w:tc>
          <w:tcPr>
            <w:tcW w:w="20" w:type="dxa"/>
            <w:vAlign w:val="bottom"/>
            <w:shd w:val="clear" w:color="auto" w:fill="181818"/>
          </w:tcPr>
          <w:p>
            <w:pPr>
              <w:spacing w:after="0"/>
              <w:rPr>
                <w:sz w:val="21"/>
                <w:szCs w:val="21"/>
                <w:color w:val="auto"/>
              </w:rPr>
            </w:pPr>
          </w:p>
        </w:tc>
        <w:tc>
          <w:tcPr>
            <w:tcW w:w="2600" w:type="dxa"/>
            <w:vAlign w:val="bottom"/>
            <w:vMerge w:val="continue"/>
            <w:shd w:val="clear" w:color="auto" w:fill="F4F3F3"/>
          </w:tcPr>
          <w:p>
            <w:pPr>
              <w:spacing w:after="0"/>
              <w:rPr>
                <w:sz w:val="21"/>
                <w:szCs w:val="21"/>
                <w:color w:val="auto"/>
              </w:rPr>
            </w:pPr>
          </w:p>
        </w:tc>
        <w:tc>
          <w:tcPr>
            <w:tcW w:w="20" w:type="dxa"/>
            <w:vAlign w:val="bottom"/>
            <w:shd w:val="clear" w:color="auto" w:fill="181818"/>
          </w:tcPr>
          <w:p>
            <w:pPr>
              <w:spacing w:after="0"/>
              <w:rPr>
                <w:sz w:val="21"/>
                <w:szCs w:val="21"/>
                <w:color w:val="auto"/>
              </w:rPr>
            </w:pPr>
          </w:p>
        </w:tc>
        <w:tc>
          <w:tcPr>
            <w:tcW w:w="3340" w:type="dxa"/>
            <w:vAlign w:val="bottom"/>
            <w:vMerge w:val="continue"/>
            <w:shd w:val="clear" w:color="auto" w:fill="F4F3F3"/>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181818"/>
              </w:rPr>
              <w:t>Vote 24/7 www.proxyvote.com</w:t>
            </w:r>
          </w:p>
        </w:tc>
        <w:tc>
          <w:tcPr>
            <w:tcW w:w="2600" w:type="dxa"/>
            <w:vAlign w:val="bottom"/>
            <w:shd w:val="clear" w:color="auto" w:fill="F4F3F3"/>
          </w:tcPr>
          <w:p>
            <w:pPr>
              <w:jc w:val="center"/>
              <w:spacing w:after="0"/>
              <w:rPr>
                <w:sz w:val="20"/>
                <w:szCs w:val="20"/>
                <w:color w:val="auto"/>
              </w:rPr>
            </w:pPr>
            <w:r>
              <w:rPr>
                <w:rFonts w:ascii="Arial" w:cs="Arial" w:eastAsia="Arial" w:hAnsi="Arial"/>
                <w:sz w:val="14"/>
                <w:szCs w:val="14"/>
                <w:color w:val="181818"/>
              </w:rPr>
              <w:t>Dial toll-free 24/7 800-690-6903</w:t>
            </w:r>
          </w:p>
        </w:tc>
        <w:tc>
          <w:tcPr>
            <w:tcW w:w="20" w:type="dxa"/>
            <w:vAlign w:val="bottom"/>
            <w:shd w:val="clear" w:color="auto" w:fill="181818"/>
          </w:tcPr>
          <w:p>
            <w:pPr>
              <w:spacing w:after="0"/>
              <w:rPr>
                <w:sz w:val="18"/>
                <w:szCs w:val="18"/>
                <w:color w:val="auto"/>
              </w:rPr>
            </w:pPr>
          </w:p>
        </w:tc>
        <w:tc>
          <w:tcPr>
            <w:tcW w:w="2600" w:type="dxa"/>
            <w:vAlign w:val="bottom"/>
            <w:shd w:val="clear" w:color="auto" w:fill="F4F3F3"/>
          </w:tcPr>
          <w:p>
            <w:pPr>
              <w:jc w:val="center"/>
              <w:spacing w:after="0"/>
              <w:rPr>
                <w:sz w:val="20"/>
                <w:szCs w:val="20"/>
                <w:color w:val="auto"/>
              </w:rPr>
            </w:pPr>
            <w:r>
              <w:rPr>
                <w:rFonts w:ascii="Arial" w:cs="Arial" w:eastAsia="Arial" w:hAnsi="Arial"/>
                <w:sz w:val="14"/>
                <w:szCs w:val="14"/>
                <w:color w:val="181818"/>
              </w:rPr>
              <w:t>Vote, sign and send the Proxy Card</w:t>
            </w:r>
          </w:p>
        </w:tc>
        <w:tc>
          <w:tcPr>
            <w:tcW w:w="20" w:type="dxa"/>
            <w:vAlign w:val="bottom"/>
            <w:shd w:val="clear" w:color="auto" w:fill="181818"/>
          </w:tcPr>
          <w:p>
            <w:pPr>
              <w:spacing w:after="0"/>
              <w:rPr>
                <w:sz w:val="18"/>
                <w:szCs w:val="18"/>
                <w:color w:val="auto"/>
              </w:rPr>
            </w:pPr>
          </w:p>
        </w:tc>
        <w:tc>
          <w:tcPr>
            <w:tcW w:w="3340" w:type="dxa"/>
            <w:vAlign w:val="bottom"/>
            <w:shd w:val="clear" w:color="auto" w:fill="F4F3F3"/>
          </w:tcPr>
          <w:p>
            <w:pPr>
              <w:jc w:val="center"/>
              <w:spacing w:after="0"/>
              <w:rPr>
                <w:sz w:val="20"/>
                <w:szCs w:val="20"/>
                <w:color w:val="auto"/>
              </w:rPr>
            </w:pPr>
            <w:r>
              <w:rPr>
                <w:rFonts w:ascii="Arial" w:cs="Arial" w:eastAsia="Arial" w:hAnsi="Arial"/>
                <w:sz w:val="14"/>
                <w:szCs w:val="14"/>
                <w:color w:val="181818"/>
                <w:w w:val="99"/>
              </w:rPr>
              <w:t>Vote at</w:t>
            </w:r>
          </w:p>
        </w:tc>
        <w:tc>
          <w:tcPr>
            <w:tcW w:w="0" w:type="dxa"/>
            <w:vAlign w:val="bottom"/>
          </w:tcPr>
          <w:p>
            <w:pPr>
              <w:spacing w:after="0"/>
              <w:rPr>
                <w:sz w:val="1"/>
                <w:szCs w:val="1"/>
                <w:color w:val="auto"/>
              </w:rPr>
            </w:pPr>
          </w:p>
        </w:tc>
      </w:tr>
      <w:tr>
        <w:trPr>
          <w:trHeight w:val="176"/>
        </w:trPr>
        <w:tc>
          <w:tcPr>
            <w:tcW w:w="26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181818"/>
              </w:rPr>
              <w:t>by 11:59 pm EDT,</w:t>
            </w:r>
          </w:p>
        </w:tc>
        <w:tc>
          <w:tcPr>
            <w:tcW w:w="2600" w:type="dxa"/>
            <w:vAlign w:val="bottom"/>
            <w:shd w:val="clear" w:color="auto" w:fill="F4F3F3"/>
          </w:tcPr>
          <w:p>
            <w:pPr>
              <w:jc w:val="center"/>
              <w:spacing w:after="0"/>
              <w:rPr>
                <w:sz w:val="20"/>
                <w:szCs w:val="20"/>
                <w:color w:val="auto"/>
              </w:rPr>
            </w:pPr>
            <w:r>
              <w:rPr>
                <w:rFonts w:ascii="Arial" w:cs="Arial" w:eastAsia="Arial" w:hAnsi="Arial"/>
                <w:sz w:val="14"/>
                <w:szCs w:val="14"/>
                <w:color w:val="181818"/>
              </w:rPr>
              <w:t>by 11:59 pm EDT, August 3, 2026</w:t>
            </w:r>
          </w:p>
        </w:tc>
        <w:tc>
          <w:tcPr>
            <w:tcW w:w="20" w:type="dxa"/>
            <w:vAlign w:val="bottom"/>
            <w:shd w:val="clear" w:color="auto" w:fill="181818"/>
          </w:tcPr>
          <w:p>
            <w:pPr>
              <w:spacing w:after="0"/>
              <w:rPr>
                <w:sz w:val="15"/>
                <w:szCs w:val="15"/>
                <w:color w:val="auto"/>
              </w:rPr>
            </w:pPr>
          </w:p>
        </w:tc>
        <w:tc>
          <w:tcPr>
            <w:tcW w:w="2600" w:type="dxa"/>
            <w:vAlign w:val="bottom"/>
            <w:shd w:val="clear" w:color="auto" w:fill="F4F3F3"/>
          </w:tcPr>
          <w:p>
            <w:pPr>
              <w:jc w:val="center"/>
              <w:spacing w:after="0"/>
              <w:rPr>
                <w:sz w:val="20"/>
                <w:szCs w:val="20"/>
                <w:color w:val="auto"/>
              </w:rPr>
            </w:pPr>
            <w:r>
              <w:rPr>
                <w:rFonts w:ascii="Arial" w:cs="Arial" w:eastAsia="Arial" w:hAnsi="Arial"/>
                <w:sz w:val="14"/>
                <w:szCs w:val="14"/>
                <w:color w:val="181818"/>
              </w:rPr>
              <w:t>before the Annual Meeting</w:t>
            </w:r>
          </w:p>
        </w:tc>
        <w:tc>
          <w:tcPr>
            <w:tcW w:w="20" w:type="dxa"/>
            <w:vAlign w:val="bottom"/>
            <w:shd w:val="clear" w:color="auto" w:fill="181818"/>
          </w:tcPr>
          <w:p>
            <w:pPr>
              <w:spacing w:after="0"/>
              <w:rPr>
                <w:sz w:val="15"/>
                <w:szCs w:val="15"/>
                <w:color w:val="auto"/>
              </w:rPr>
            </w:pPr>
          </w:p>
        </w:tc>
        <w:tc>
          <w:tcPr>
            <w:tcW w:w="3340" w:type="dxa"/>
            <w:vAlign w:val="bottom"/>
            <w:shd w:val="clear" w:color="auto" w:fill="F4F3F3"/>
          </w:tcPr>
          <w:p>
            <w:pPr>
              <w:jc w:val="center"/>
              <w:spacing w:after="0"/>
              <w:rPr>
                <w:sz w:val="20"/>
                <w:szCs w:val="20"/>
                <w:color w:val="auto"/>
              </w:rPr>
            </w:pPr>
            <w:r>
              <w:rPr>
                <w:rFonts w:ascii="Arial" w:cs="Arial" w:eastAsia="Arial" w:hAnsi="Arial"/>
                <w:sz w:val="14"/>
                <w:szCs w:val="14"/>
                <w:color w:val="181818"/>
              </w:rPr>
              <w:t>www.virtualshareholdermeeting.com/atex2026</w:t>
            </w:r>
          </w:p>
        </w:tc>
        <w:tc>
          <w:tcPr>
            <w:tcW w:w="0" w:type="dxa"/>
            <w:vAlign w:val="bottom"/>
          </w:tcPr>
          <w:p>
            <w:pPr>
              <w:spacing w:after="0"/>
              <w:rPr>
                <w:sz w:val="1"/>
                <w:szCs w:val="1"/>
                <w:color w:val="auto"/>
              </w:rPr>
            </w:pPr>
          </w:p>
        </w:tc>
      </w:tr>
      <w:tr>
        <w:trPr>
          <w:trHeight w:val="194"/>
        </w:trPr>
        <w:tc>
          <w:tcPr>
            <w:tcW w:w="26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181818"/>
              </w:rPr>
              <w:t>August 3, 2026</w:t>
            </w:r>
          </w:p>
        </w:tc>
        <w:tc>
          <w:tcPr>
            <w:tcW w:w="2600" w:type="dxa"/>
            <w:vAlign w:val="bottom"/>
            <w:shd w:val="clear" w:color="auto" w:fill="F4F3F3"/>
          </w:tcPr>
          <w:p>
            <w:pPr>
              <w:spacing w:after="0"/>
              <w:rPr>
                <w:sz w:val="16"/>
                <w:szCs w:val="16"/>
                <w:color w:val="auto"/>
              </w:rPr>
            </w:pPr>
          </w:p>
        </w:tc>
        <w:tc>
          <w:tcPr>
            <w:tcW w:w="20" w:type="dxa"/>
            <w:vAlign w:val="bottom"/>
            <w:shd w:val="clear" w:color="auto" w:fill="181818"/>
          </w:tcPr>
          <w:p>
            <w:pPr>
              <w:spacing w:after="0"/>
              <w:rPr>
                <w:sz w:val="16"/>
                <w:szCs w:val="16"/>
                <w:color w:val="auto"/>
              </w:rPr>
            </w:pPr>
          </w:p>
        </w:tc>
        <w:tc>
          <w:tcPr>
            <w:tcW w:w="2600" w:type="dxa"/>
            <w:vAlign w:val="bottom"/>
            <w:shd w:val="clear" w:color="auto" w:fill="F4F3F3"/>
          </w:tcPr>
          <w:p>
            <w:pPr>
              <w:spacing w:after="0"/>
              <w:rPr>
                <w:sz w:val="16"/>
                <w:szCs w:val="16"/>
                <w:color w:val="auto"/>
              </w:rPr>
            </w:pPr>
          </w:p>
        </w:tc>
        <w:tc>
          <w:tcPr>
            <w:tcW w:w="20" w:type="dxa"/>
            <w:vAlign w:val="bottom"/>
            <w:shd w:val="clear" w:color="auto" w:fill="181818"/>
          </w:tcPr>
          <w:p>
            <w:pPr>
              <w:spacing w:after="0"/>
              <w:rPr>
                <w:sz w:val="16"/>
                <w:szCs w:val="16"/>
                <w:color w:val="auto"/>
              </w:rPr>
            </w:pPr>
          </w:p>
        </w:tc>
        <w:tc>
          <w:tcPr>
            <w:tcW w:w="3340" w:type="dxa"/>
            <w:vAlign w:val="bottom"/>
            <w:shd w:val="clear" w:color="auto" w:fill="F4F3F3"/>
          </w:tcPr>
          <w:p>
            <w:pPr>
              <w:jc w:val="center"/>
              <w:spacing w:after="0"/>
              <w:rPr>
                <w:sz w:val="20"/>
                <w:szCs w:val="20"/>
                <w:color w:val="auto"/>
              </w:rPr>
            </w:pPr>
            <w:r>
              <w:rPr>
                <w:rFonts w:ascii="Arial" w:cs="Arial" w:eastAsia="Arial" w:hAnsi="Arial"/>
                <w:sz w:val="14"/>
                <w:szCs w:val="14"/>
                <w:color w:val="181818"/>
              </w:rPr>
              <w:t>during the Annual Meeting</w:t>
            </w:r>
          </w:p>
        </w:tc>
        <w:tc>
          <w:tcPr>
            <w:tcW w:w="0" w:type="dxa"/>
            <w:vAlign w:val="bottom"/>
          </w:tcPr>
          <w:p>
            <w:pPr>
              <w:spacing w:after="0"/>
              <w:rPr>
                <w:sz w:val="1"/>
                <w:szCs w:val="1"/>
                <w:color w:val="auto"/>
              </w:rPr>
            </w:pPr>
          </w:p>
        </w:tc>
      </w:tr>
      <w:tr>
        <w:trPr>
          <w:trHeight w:val="22"/>
        </w:trPr>
        <w:tc>
          <w:tcPr>
            <w:tcW w:w="2680" w:type="dxa"/>
            <w:vAlign w:val="bottom"/>
            <w:tcBorders>
              <w:right w:val="single" w:sz="8" w:color="181818"/>
            </w:tcBorders>
            <w:shd w:val="clear" w:color="auto" w:fill="F4F3F3"/>
          </w:tcPr>
          <w:p>
            <w:pPr>
              <w:spacing w:after="0" w:line="20" w:lineRule="exact"/>
              <w:rPr>
                <w:sz w:val="1"/>
                <w:szCs w:val="1"/>
                <w:color w:val="auto"/>
              </w:rPr>
            </w:pPr>
          </w:p>
        </w:tc>
        <w:tc>
          <w:tcPr>
            <w:tcW w:w="2600" w:type="dxa"/>
            <w:vAlign w:val="bottom"/>
            <w:shd w:val="clear" w:color="auto" w:fill="F4F3F3"/>
          </w:tcPr>
          <w:p>
            <w:pPr>
              <w:spacing w:after="0" w:line="20" w:lineRule="exact"/>
              <w:rPr>
                <w:sz w:val="1"/>
                <w:szCs w:val="1"/>
                <w:color w:val="auto"/>
              </w:rPr>
            </w:pPr>
          </w:p>
        </w:tc>
        <w:tc>
          <w:tcPr>
            <w:tcW w:w="20" w:type="dxa"/>
            <w:vAlign w:val="bottom"/>
            <w:shd w:val="clear" w:color="auto" w:fill="181818"/>
          </w:tcPr>
          <w:p>
            <w:pPr>
              <w:spacing w:after="0" w:line="20" w:lineRule="exact"/>
              <w:rPr>
                <w:sz w:val="1"/>
                <w:szCs w:val="1"/>
                <w:color w:val="auto"/>
              </w:rPr>
            </w:pPr>
          </w:p>
        </w:tc>
        <w:tc>
          <w:tcPr>
            <w:tcW w:w="2600" w:type="dxa"/>
            <w:vAlign w:val="bottom"/>
            <w:shd w:val="clear" w:color="auto" w:fill="F4F3F3"/>
          </w:tcPr>
          <w:p>
            <w:pPr>
              <w:spacing w:after="0" w:line="20" w:lineRule="exact"/>
              <w:rPr>
                <w:sz w:val="1"/>
                <w:szCs w:val="1"/>
                <w:color w:val="auto"/>
              </w:rPr>
            </w:pPr>
          </w:p>
        </w:tc>
        <w:tc>
          <w:tcPr>
            <w:tcW w:w="20" w:type="dxa"/>
            <w:vAlign w:val="bottom"/>
            <w:shd w:val="clear" w:color="auto" w:fill="181818"/>
          </w:tcPr>
          <w:p>
            <w:pPr>
              <w:spacing w:after="0" w:line="20" w:lineRule="exact"/>
              <w:rPr>
                <w:sz w:val="1"/>
                <w:szCs w:val="1"/>
                <w:color w:val="auto"/>
              </w:rPr>
            </w:pPr>
          </w:p>
        </w:tc>
        <w:tc>
          <w:tcPr>
            <w:tcW w:w="3340" w:type="dxa"/>
            <w:vAlign w:val="bottom"/>
            <w:shd w:val="clear" w:color="auto" w:fill="F4F3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-976630</wp:posOffset>
            </wp:positionV>
            <wp:extent cx="368935" cy="368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935" cy="36830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-976630</wp:posOffset>
            </wp:positionV>
            <wp:extent cx="34290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-959485</wp:posOffset>
            </wp:positionV>
            <wp:extent cx="342900"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-976630</wp:posOffset>
            </wp:positionV>
            <wp:extent cx="368300" cy="368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514350</wp:posOffset>
            </wp:positionV>
            <wp:extent cx="7157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79" w:right="318"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421640</wp:posOffset>
            </wp:positionV>
            <wp:extent cx="5554980" cy="7620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4980" cy="7620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180"/>
        <w:spacing w:after="0"/>
        <w:rPr>
          <w:sz w:val="20"/>
          <w:szCs w:val="20"/>
          <w:color w:val="auto"/>
        </w:rPr>
      </w:pPr>
      <w:r>
        <w:rPr>
          <w:rFonts w:ascii="Arial" w:cs="Arial" w:eastAsia="Arial" w:hAnsi="Arial"/>
          <w:sz w:val="34"/>
          <w:szCs w:val="34"/>
          <w:b w:val="1"/>
          <w:bCs w:val="1"/>
          <w:color w:val="1B6F80"/>
        </w:rPr>
        <w:t>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2180" w:right="2420"/>
        <w:spacing w:after="0" w:line="303" w:lineRule="auto"/>
        <w:rPr>
          <w:sz w:val="20"/>
          <w:szCs w:val="20"/>
          <w:color w:val="auto"/>
        </w:rPr>
      </w:pPr>
      <w:r>
        <w:rPr>
          <w:rFonts w:ascii="Arial" w:cs="Arial" w:eastAsia="Arial" w:hAnsi="Arial"/>
          <w:sz w:val="16"/>
          <w:szCs w:val="16"/>
          <w:color w:val="auto"/>
        </w:rPr>
        <w:t>At Anterix, we enable the future of utilities and other critical infrastructure enterprises through modern connectivity. As the market leader in mission-critical private wireless broadband spectrum, during fiscal 2026 we evolved our strategy to a broader operating model under which we deliver secure, private 900 MHz licensed spectrum and advanced intelligent infrastructure products and solutions that enhance efficiency, strengthen resilience, and accelerate digital transformation. Backed by a growing ecosystem of industry-leading partners, Anterix provides the connectivity foundation that powers a more resourceful and resilient future.</w:t>
      </w:r>
    </w:p>
    <w:p>
      <w:pPr>
        <w:spacing w:after="0" w:line="72" w:lineRule="exact"/>
        <w:rPr>
          <w:sz w:val="20"/>
          <w:szCs w:val="20"/>
          <w:color w:val="auto"/>
        </w:rPr>
      </w:pPr>
    </w:p>
    <w:p>
      <w:pPr>
        <w:jc w:val="both"/>
        <w:ind w:left="2180" w:right="2420"/>
        <w:spacing w:after="0" w:line="313" w:lineRule="auto"/>
        <w:rPr>
          <w:sz w:val="20"/>
          <w:szCs w:val="20"/>
          <w:color w:val="auto"/>
        </w:rPr>
      </w:pPr>
      <w:r>
        <w:rPr>
          <w:rFonts w:ascii="Arial" w:cs="Arial" w:eastAsia="Arial" w:hAnsi="Arial"/>
          <w:sz w:val="16"/>
          <w:szCs w:val="16"/>
          <w:color w:val="auto"/>
        </w:rPr>
        <w:t>Beyond spectrum, we offer solutions to accelerate customer time-to-value through our TowerX™ nationwide tower access program, CatalyX® turnkey connectivity management, and the Anterix Active Ecosystem of more than 150 technology innovators.</w:t>
      </w:r>
    </w:p>
    <w:p>
      <w:pPr>
        <w:spacing w:after="0" w:line="121" w:lineRule="exact"/>
        <w:rPr>
          <w:sz w:val="20"/>
          <w:szCs w:val="20"/>
          <w:color w:val="auto"/>
        </w:rPr>
      </w:pPr>
    </w:p>
    <w:p>
      <w:pPr>
        <w:ind w:left="2180"/>
        <w:spacing w:after="0"/>
        <w:rPr>
          <w:sz w:val="20"/>
          <w:szCs w:val="20"/>
          <w:color w:val="auto"/>
        </w:rPr>
      </w:pPr>
      <w:r>
        <w:rPr>
          <w:rFonts w:ascii="Arial" w:cs="Arial" w:eastAsia="Arial" w:hAnsi="Arial"/>
          <w:sz w:val="23"/>
          <w:szCs w:val="23"/>
          <w:b w:val="1"/>
          <w:bCs w:val="1"/>
          <w:color w:val="1B6F80"/>
        </w:rPr>
        <w:t>Business Overview—Fiscal 2026</w:t>
      </w:r>
    </w:p>
    <w:p>
      <w:pPr>
        <w:spacing w:after="0" w:line="150" w:lineRule="exact"/>
        <w:rPr>
          <w:sz w:val="20"/>
          <w:szCs w:val="20"/>
          <w:color w:val="auto"/>
        </w:rPr>
      </w:pPr>
    </w:p>
    <w:p>
      <w:pPr>
        <w:jc w:val="both"/>
        <w:ind w:left="2680" w:right="2420" w:hanging="333"/>
        <w:spacing w:after="0" w:line="214" w:lineRule="auto"/>
        <w:tabs>
          <w:tab w:leader="none" w:pos="2667" w:val="left"/>
        </w:tabs>
        <w:numPr>
          <w:ilvl w:val="0"/>
          <w:numId w:val="11"/>
        </w:numPr>
        <w:rPr>
          <w:rFonts w:ascii="Arial" w:cs="Arial" w:eastAsia="Arial" w:hAnsi="Arial"/>
          <w:sz w:val="22"/>
          <w:szCs w:val="22"/>
          <w:b w:val="1"/>
          <w:bCs w:val="1"/>
          <w:color w:val="1B6F80"/>
        </w:rPr>
      </w:pPr>
      <w:r>
        <w:rPr>
          <w:rFonts w:ascii="Arial" w:cs="Arial" w:eastAsia="Arial" w:hAnsi="Arial"/>
          <w:sz w:val="16"/>
          <w:szCs w:val="16"/>
          <w:color w:val="auto"/>
        </w:rPr>
        <w:t>Secured FCC Report &amp; Order enabling broadband deployment across the full 10 MHz of the 900 MHz band, unlocking opportunities for Anterix, its ecosystem of innovators, and critical infrastructure enterprises nationwide.</w:t>
      </w:r>
    </w:p>
    <w:p>
      <w:pPr>
        <w:spacing w:after="0" w:line="94" w:lineRule="exact"/>
        <w:rPr>
          <w:rFonts w:ascii="Arial" w:cs="Arial" w:eastAsia="Arial" w:hAnsi="Arial"/>
          <w:sz w:val="22"/>
          <w:szCs w:val="22"/>
          <w:b w:val="1"/>
          <w:bCs w:val="1"/>
          <w:color w:val="1B6F80"/>
        </w:rPr>
      </w:pPr>
    </w:p>
    <w:p>
      <w:pPr>
        <w:jc w:val="both"/>
        <w:ind w:left="2680" w:right="2420" w:hanging="333"/>
        <w:spacing w:after="0" w:line="214" w:lineRule="auto"/>
        <w:tabs>
          <w:tab w:leader="none" w:pos="2667" w:val="left"/>
        </w:tabs>
        <w:numPr>
          <w:ilvl w:val="0"/>
          <w:numId w:val="11"/>
        </w:numPr>
        <w:rPr>
          <w:rFonts w:ascii="Arial" w:cs="Arial" w:eastAsia="Arial" w:hAnsi="Arial"/>
          <w:sz w:val="22"/>
          <w:szCs w:val="22"/>
          <w:b w:val="1"/>
          <w:bCs w:val="1"/>
          <w:color w:val="1B6F80"/>
        </w:rPr>
      </w:pPr>
      <w:r>
        <w:rPr>
          <w:rFonts w:ascii="Arial" w:cs="Arial" w:eastAsia="Arial" w:hAnsi="Arial"/>
          <w:sz w:val="16"/>
          <w:szCs w:val="16"/>
          <w:color w:val="auto"/>
        </w:rPr>
        <w:t>Executed a $13-million spectrum sale agreement with CPS Energy, the nation’s largest community-owned provider of electricity and natural gas, to strengthen its grid operations, enhance reliability, and accelerate innovation at scale.</w:t>
      </w:r>
    </w:p>
    <w:p>
      <w:pPr>
        <w:spacing w:after="0" w:line="94" w:lineRule="exact"/>
        <w:rPr>
          <w:rFonts w:ascii="Arial" w:cs="Arial" w:eastAsia="Arial" w:hAnsi="Arial"/>
          <w:sz w:val="22"/>
          <w:szCs w:val="22"/>
          <w:b w:val="1"/>
          <w:bCs w:val="1"/>
          <w:color w:val="1B6F80"/>
        </w:rPr>
      </w:pPr>
    </w:p>
    <w:p>
      <w:pPr>
        <w:ind w:left="2680" w:right="2420" w:hanging="333"/>
        <w:spacing w:after="0" w:line="216" w:lineRule="auto"/>
        <w:tabs>
          <w:tab w:leader="none" w:pos="2667" w:val="left"/>
        </w:tabs>
        <w:numPr>
          <w:ilvl w:val="0"/>
          <w:numId w:val="11"/>
        </w:numPr>
        <w:rPr>
          <w:rFonts w:ascii="Arial" w:cs="Arial" w:eastAsia="Arial" w:hAnsi="Arial"/>
          <w:sz w:val="22"/>
          <w:szCs w:val="22"/>
          <w:b w:val="1"/>
          <w:bCs w:val="1"/>
          <w:color w:val="1B6F80"/>
        </w:rPr>
      </w:pPr>
      <w:r>
        <w:rPr>
          <w:rFonts w:ascii="Arial" w:cs="Arial" w:eastAsia="Arial" w:hAnsi="Arial"/>
          <w:sz w:val="16"/>
          <w:szCs w:val="16"/>
          <w:color w:val="auto"/>
        </w:rPr>
        <w:t>Completed a $3.2-million spectrum sale agreement with Texas-New Mexico Power, expanding coverage to more than 93% of Texas counties.</w:t>
      </w:r>
    </w:p>
    <w:p>
      <w:pPr>
        <w:spacing w:after="0" w:line="92" w:lineRule="exact"/>
        <w:rPr>
          <w:rFonts w:ascii="Arial" w:cs="Arial" w:eastAsia="Arial" w:hAnsi="Arial"/>
          <w:sz w:val="22"/>
          <w:szCs w:val="22"/>
          <w:b w:val="1"/>
          <w:bCs w:val="1"/>
          <w:color w:val="1B6F80"/>
        </w:rPr>
      </w:pPr>
    </w:p>
    <w:p>
      <w:pPr>
        <w:ind w:left="2680" w:right="2420" w:hanging="333"/>
        <w:spacing w:after="0" w:line="216" w:lineRule="auto"/>
        <w:tabs>
          <w:tab w:leader="none" w:pos="2667" w:val="left"/>
        </w:tabs>
        <w:numPr>
          <w:ilvl w:val="0"/>
          <w:numId w:val="11"/>
        </w:numPr>
        <w:rPr>
          <w:rFonts w:ascii="Arial" w:cs="Arial" w:eastAsia="Arial" w:hAnsi="Arial"/>
          <w:sz w:val="22"/>
          <w:szCs w:val="22"/>
          <w:b w:val="1"/>
          <w:bCs w:val="1"/>
          <w:color w:val="1B6F80"/>
        </w:rPr>
      </w:pPr>
      <w:r>
        <w:rPr>
          <w:rFonts w:ascii="Arial" w:cs="Arial" w:eastAsia="Arial" w:hAnsi="Arial"/>
          <w:sz w:val="16"/>
          <w:szCs w:val="16"/>
          <w:color w:val="auto"/>
        </w:rPr>
        <w:t>Signed a $7.7 million spectrum sale agreement with Northwestern Energy, covering several counties in Montana, South Dakota, and Wyoming.</w:t>
      </w:r>
    </w:p>
    <w:p>
      <w:pPr>
        <w:spacing w:after="0" w:line="92" w:lineRule="exact"/>
        <w:rPr>
          <w:rFonts w:ascii="Arial" w:cs="Arial" w:eastAsia="Arial" w:hAnsi="Arial"/>
          <w:sz w:val="22"/>
          <w:szCs w:val="22"/>
          <w:b w:val="1"/>
          <w:bCs w:val="1"/>
          <w:color w:val="1B6F80"/>
        </w:rPr>
      </w:pPr>
    </w:p>
    <w:p>
      <w:pPr>
        <w:jc w:val="both"/>
        <w:ind w:left="2680" w:right="2420" w:hanging="333"/>
        <w:spacing w:after="0" w:line="214" w:lineRule="auto"/>
        <w:tabs>
          <w:tab w:leader="none" w:pos="2667" w:val="left"/>
        </w:tabs>
        <w:numPr>
          <w:ilvl w:val="0"/>
          <w:numId w:val="11"/>
        </w:numPr>
        <w:rPr>
          <w:rFonts w:ascii="Arial" w:cs="Arial" w:eastAsia="Arial" w:hAnsi="Arial"/>
          <w:sz w:val="22"/>
          <w:szCs w:val="22"/>
          <w:b w:val="1"/>
          <w:bCs w:val="1"/>
          <w:color w:val="1B6F80"/>
        </w:rPr>
      </w:pPr>
      <w:r>
        <w:rPr>
          <w:rFonts w:ascii="Arial" w:cs="Arial" w:eastAsia="Arial" w:hAnsi="Arial"/>
          <w:sz w:val="16"/>
          <w:szCs w:val="16"/>
          <w:color w:val="auto"/>
        </w:rPr>
        <w:t>Launched TowerX™, a powerful turnkey tower optimization and access program to help critical infrastructure enterprises deploy 900 MHz private wireless broadband networks faster, smarter, and more cost-effectively.</w:t>
      </w:r>
    </w:p>
    <w:p>
      <w:pPr>
        <w:spacing w:after="0" w:line="94" w:lineRule="exact"/>
        <w:rPr>
          <w:rFonts w:ascii="Arial" w:cs="Arial" w:eastAsia="Arial" w:hAnsi="Arial"/>
          <w:sz w:val="22"/>
          <w:szCs w:val="22"/>
          <w:b w:val="1"/>
          <w:bCs w:val="1"/>
          <w:color w:val="1B6F80"/>
        </w:rPr>
      </w:pPr>
    </w:p>
    <w:p>
      <w:pPr>
        <w:ind w:left="2680" w:right="2420" w:hanging="333"/>
        <w:spacing w:after="0" w:line="216" w:lineRule="auto"/>
        <w:tabs>
          <w:tab w:leader="none" w:pos="2667" w:val="left"/>
        </w:tabs>
        <w:numPr>
          <w:ilvl w:val="0"/>
          <w:numId w:val="11"/>
        </w:numPr>
        <w:rPr>
          <w:rFonts w:ascii="Arial" w:cs="Arial" w:eastAsia="Arial" w:hAnsi="Arial"/>
          <w:sz w:val="22"/>
          <w:szCs w:val="22"/>
          <w:b w:val="1"/>
          <w:bCs w:val="1"/>
          <w:color w:val="1B6F80"/>
        </w:rPr>
      </w:pPr>
      <w:r>
        <w:rPr>
          <w:rFonts w:ascii="Arial" w:cs="Arial" w:eastAsia="Arial" w:hAnsi="Arial"/>
          <w:sz w:val="16"/>
          <w:szCs w:val="16"/>
          <w:color w:val="auto"/>
        </w:rPr>
        <w:t>Further strengthened our balance sheet, with zero debt and $127 million of contracted proceeds received from customers in Fiscal 2026.</w:t>
      </w:r>
    </w:p>
    <w:p>
      <w:pPr>
        <w:spacing w:after="0" w:line="92" w:lineRule="exact"/>
        <w:rPr>
          <w:rFonts w:ascii="Arial" w:cs="Arial" w:eastAsia="Arial" w:hAnsi="Arial"/>
          <w:sz w:val="22"/>
          <w:szCs w:val="22"/>
          <w:b w:val="1"/>
          <w:bCs w:val="1"/>
          <w:color w:val="1B6F80"/>
        </w:rPr>
      </w:pPr>
    </w:p>
    <w:p>
      <w:pPr>
        <w:ind w:left="2680" w:right="2420" w:hanging="333"/>
        <w:spacing w:after="0" w:line="216" w:lineRule="auto"/>
        <w:tabs>
          <w:tab w:leader="none" w:pos="2667" w:val="left"/>
        </w:tabs>
        <w:numPr>
          <w:ilvl w:val="0"/>
          <w:numId w:val="11"/>
        </w:numPr>
        <w:rPr>
          <w:rFonts w:ascii="Arial" w:cs="Arial" w:eastAsia="Arial" w:hAnsi="Arial"/>
          <w:sz w:val="22"/>
          <w:szCs w:val="22"/>
          <w:b w:val="1"/>
          <w:bCs w:val="1"/>
          <w:color w:val="1B6F80"/>
        </w:rPr>
      </w:pPr>
      <w:r>
        <w:rPr>
          <w:rFonts w:ascii="Arial" w:cs="Arial" w:eastAsia="Arial" w:hAnsi="Arial"/>
          <w:sz w:val="16"/>
          <w:szCs w:val="16"/>
          <w:color w:val="auto"/>
        </w:rPr>
        <w:t>Appointed Elena Marquez as Chief Financial Officer, Heather Martin as Chief Marketing Officer and Chief of Staff, and Ross Spero as Chief Product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1638935</wp:posOffset>
            </wp:positionV>
            <wp:extent cx="7157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40"/>
          </w:cols>
          <w:pgMar w:left="340" w:top="308" w:right="33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2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308" w:right="338" w:bottom="1440" w:gutter="0" w:footer="0" w:header="0"/>
          <w:type w:val="continuous"/>
        </w:sectPr>
      </w:pPr>
    </w:p>
    <w:bookmarkStart w:id="6" w:name="page7"/>
    <w:bookmarkEnd w:id="6"/>
    <w:p>
      <w:pPr>
        <w:ind w:left="9440"/>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Corporate Governance Highlights</w:t>
      </w:r>
    </w:p>
    <w:p>
      <w:pPr>
        <w:spacing w:after="0" w:line="123"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Our corporate governance framework is a critical factor in our continued success. It helps us to enhance accountability, protect stockholder interests, promote ethical conduct, improve decision-making, enhance corporate performance, and maintain investor confidence.</w:t>
      </w:r>
    </w:p>
    <w:p>
      <w:pPr>
        <w:spacing w:after="0" w:line="40"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reflected below, our Board of Directors (the "Board") has adopted strong governance structures and practices to enhance our independent oversight, effectiveness, and accountability to stockholders. Our corporate governance highlights are summarized below, followed by an in-depth description in the "Corporate Governance Matters" section of this Proxy Statement. You can also access key governing documents such as our Code of Business Conduct, Corporate Governance Guidelines, and charters of each Board committee at www.anterix.com in the “Investors” section.</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Strong Governance Practices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970"/>
        </w:trPr>
        <w:tc>
          <w:tcPr>
            <w:tcW w:w="3760" w:type="dxa"/>
            <w:vAlign w:val="bottom"/>
            <w:tcBorders>
              <w:top w:val="single" w:sz="8" w:color="181818"/>
              <w:left w:val="single" w:sz="8" w:color="181818"/>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Annual Election</w:t>
            </w:r>
          </w:p>
        </w:tc>
        <w:tc>
          <w:tcPr>
            <w:tcW w:w="3760" w:type="dxa"/>
            <w:vAlign w:val="bottom"/>
            <w:tcBorders>
              <w:top w:val="single" w:sz="8" w:color="181818"/>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Executive Succession</w:t>
            </w:r>
          </w:p>
        </w:tc>
        <w:tc>
          <w:tcPr>
            <w:tcW w:w="3760" w:type="dxa"/>
            <w:vAlign w:val="bottom"/>
            <w:tcBorders>
              <w:top w:val="single" w:sz="8" w:color="181818"/>
              <w:right w:val="single" w:sz="8" w:color="181818"/>
            </w:tcBorders>
            <w:shd w:val="clear" w:color="auto" w:fill="1B6F80"/>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760" w:type="dxa"/>
            <w:vAlign w:val="bottom"/>
            <w:tcBorders>
              <w:left w:val="single" w:sz="8" w:color="181818"/>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of Directors</w:t>
            </w:r>
          </w:p>
        </w:tc>
        <w:tc>
          <w:tcPr>
            <w:tcW w:w="3760" w:type="dxa"/>
            <w:vAlign w:val="bottom"/>
            <w:tcBorders>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Planning</w:t>
            </w:r>
          </w:p>
        </w:tc>
        <w:tc>
          <w:tcPr>
            <w:tcW w:w="3760" w:type="dxa"/>
            <w:vAlign w:val="bottom"/>
            <w:tcBorders>
              <w:right w:val="single" w:sz="8" w:color="181818"/>
            </w:tcBorders>
            <w:vMerge w:val="restart"/>
            <w:shd w:val="clear" w:color="auto" w:fill="1B6F80"/>
          </w:tcPr>
          <w:p>
            <w:pPr>
              <w:jc w:val="center"/>
              <w:spacing w:after="0"/>
              <w:rPr>
                <w:sz w:val="20"/>
                <w:szCs w:val="20"/>
                <w:color w:val="auto"/>
              </w:rPr>
            </w:pPr>
            <w:r>
              <w:rPr>
                <w:rFonts w:ascii="Arial" w:cs="Arial" w:eastAsia="Arial" w:hAnsi="Arial"/>
                <w:sz w:val="14"/>
                <w:szCs w:val="14"/>
                <w:b w:val="1"/>
                <w:bCs w:val="1"/>
                <w:color w:val="FFFFFF"/>
              </w:rPr>
              <w:t>Board Oversight of Human</w:t>
            </w:r>
          </w:p>
        </w:tc>
        <w:tc>
          <w:tcPr>
            <w:tcW w:w="0" w:type="dxa"/>
            <w:vAlign w:val="bottom"/>
          </w:tcPr>
          <w:p>
            <w:pPr>
              <w:spacing w:after="0"/>
              <w:rPr>
                <w:sz w:val="1"/>
                <w:szCs w:val="1"/>
                <w:color w:val="auto"/>
              </w:rPr>
            </w:pPr>
          </w:p>
        </w:tc>
      </w:tr>
      <w:tr>
        <w:trPr>
          <w:trHeight w:val="27"/>
        </w:trPr>
        <w:tc>
          <w:tcPr>
            <w:tcW w:w="3760" w:type="dxa"/>
            <w:vAlign w:val="bottom"/>
            <w:tcBorders>
              <w:left w:val="single" w:sz="8" w:color="181818"/>
              <w:right w:val="single" w:sz="8" w:color="181818"/>
            </w:tcBorders>
            <w:shd w:val="clear" w:color="auto" w:fill="E5FF70"/>
          </w:tcPr>
          <w:p>
            <w:pPr>
              <w:spacing w:after="0"/>
              <w:rPr>
                <w:sz w:val="2"/>
                <w:szCs w:val="2"/>
                <w:color w:val="auto"/>
              </w:rPr>
            </w:pPr>
          </w:p>
        </w:tc>
        <w:tc>
          <w:tcPr>
            <w:tcW w:w="3760" w:type="dxa"/>
            <w:vAlign w:val="bottom"/>
            <w:tcBorders>
              <w:right w:val="single" w:sz="8" w:color="181818"/>
            </w:tcBorders>
            <w:shd w:val="clear" w:color="auto" w:fill="D9D9D9"/>
          </w:tcPr>
          <w:p>
            <w:pPr>
              <w:spacing w:after="0"/>
              <w:rPr>
                <w:sz w:val="2"/>
                <w:szCs w:val="2"/>
                <w:color w:val="auto"/>
              </w:rPr>
            </w:pPr>
          </w:p>
        </w:tc>
        <w:tc>
          <w:tcPr>
            <w:tcW w:w="3760" w:type="dxa"/>
            <w:vAlign w:val="bottom"/>
            <w:tcBorders>
              <w:right w:val="single" w:sz="8" w:color="181818"/>
            </w:tcBorders>
            <w:vMerge w:val="continue"/>
            <w:shd w:val="clear" w:color="auto" w:fill="1B6F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760" w:type="dxa"/>
            <w:vAlign w:val="bottom"/>
            <w:tcBorders>
              <w:left w:val="single" w:sz="8" w:color="181818"/>
              <w:bottom w:val="single" w:sz="8" w:color="181818"/>
              <w:right w:val="single" w:sz="8" w:color="181818"/>
            </w:tcBorders>
            <w:shd w:val="clear" w:color="auto" w:fill="E5FF70"/>
          </w:tcPr>
          <w:p>
            <w:pPr>
              <w:spacing w:after="0"/>
              <w:rPr>
                <w:sz w:val="13"/>
                <w:szCs w:val="13"/>
                <w:color w:val="auto"/>
              </w:rPr>
            </w:pPr>
          </w:p>
        </w:tc>
        <w:tc>
          <w:tcPr>
            <w:tcW w:w="3760" w:type="dxa"/>
            <w:vAlign w:val="bottom"/>
            <w:tcBorders>
              <w:bottom w:val="single" w:sz="8" w:color="181818"/>
              <w:right w:val="single" w:sz="8" w:color="181818"/>
            </w:tcBorders>
            <w:shd w:val="clear" w:color="auto" w:fill="D9D9D9"/>
          </w:tcPr>
          <w:p>
            <w:pPr>
              <w:spacing w:after="0"/>
              <w:rPr>
                <w:sz w:val="13"/>
                <w:szCs w:val="13"/>
                <w:color w:val="auto"/>
              </w:rPr>
            </w:pPr>
          </w:p>
        </w:tc>
        <w:tc>
          <w:tcPr>
            <w:tcW w:w="3760" w:type="dxa"/>
            <w:vAlign w:val="bottom"/>
            <w:tcBorders>
              <w:bottom w:val="single" w:sz="8" w:color="1B6F80"/>
              <w:right w:val="single" w:sz="8" w:color="181818"/>
            </w:tcBorders>
            <w:shd w:val="clear" w:color="auto" w:fill="1B6F80"/>
          </w:tcPr>
          <w:p>
            <w:pPr>
              <w:jc w:val="center"/>
              <w:spacing w:after="0" w:line="155" w:lineRule="exact"/>
              <w:rPr>
                <w:sz w:val="20"/>
                <w:szCs w:val="20"/>
                <w:color w:val="auto"/>
              </w:rPr>
            </w:pPr>
            <w:r>
              <w:rPr>
                <w:rFonts w:ascii="Arial" w:cs="Arial" w:eastAsia="Arial" w:hAnsi="Arial"/>
                <w:sz w:val="14"/>
                <w:szCs w:val="14"/>
                <w:b w:val="1"/>
                <w:bCs w:val="1"/>
                <w:color w:val="FFFFFF"/>
              </w:rPr>
              <w:t>Capital Management,</w:t>
            </w:r>
          </w:p>
        </w:tc>
        <w:tc>
          <w:tcPr>
            <w:tcW w:w="0" w:type="dxa"/>
            <w:vAlign w:val="bottom"/>
          </w:tcPr>
          <w:p>
            <w:pPr>
              <w:spacing w:after="0"/>
              <w:rPr>
                <w:sz w:val="1"/>
                <w:szCs w:val="1"/>
                <w:color w:val="auto"/>
              </w:rPr>
            </w:pPr>
          </w:p>
        </w:tc>
      </w:tr>
      <w:tr>
        <w:trPr>
          <w:trHeight w:val="202"/>
        </w:trPr>
        <w:tc>
          <w:tcPr>
            <w:tcW w:w="3760" w:type="dxa"/>
            <w:vAlign w:val="bottom"/>
            <w:tcBorders>
              <w:top w:val="single" w:sz="8" w:color="1B6F80"/>
              <w:left w:val="single" w:sz="8" w:color="181818"/>
              <w:right w:val="single" w:sz="8" w:color="181818"/>
            </w:tcBorders>
            <w:shd w:val="clear" w:color="auto" w:fill="1B6F80"/>
          </w:tcPr>
          <w:p>
            <w:pPr>
              <w:spacing w:after="0"/>
              <w:rPr>
                <w:sz w:val="17"/>
                <w:szCs w:val="17"/>
                <w:color w:val="auto"/>
              </w:rPr>
            </w:pPr>
          </w:p>
        </w:tc>
        <w:tc>
          <w:tcPr>
            <w:tcW w:w="3760" w:type="dxa"/>
            <w:vAlign w:val="bottom"/>
            <w:tcBorders>
              <w:top w:val="single" w:sz="8" w:color="AED0C7"/>
              <w:right w:val="single" w:sz="8" w:color="181818"/>
            </w:tcBorders>
            <w:shd w:val="clear" w:color="auto" w:fill="AED0C7"/>
          </w:tcPr>
          <w:p>
            <w:pPr>
              <w:spacing w:after="0"/>
              <w:rPr>
                <w:sz w:val="17"/>
                <w:szCs w:val="17"/>
                <w:color w:val="auto"/>
              </w:rPr>
            </w:pPr>
          </w:p>
        </w:tc>
        <w:tc>
          <w:tcPr>
            <w:tcW w:w="3760" w:type="dxa"/>
            <w:vAlign w:val="bottom"/>
            <w:tcBorders>
              <w:top w:val="single" w:sz="8" w:color="1B6F80"/>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Corporate Culture, Ethics</w:t>
            </w:r>
          </w:p>
        </w:tc>
        <w:tc>
          <w:tcPr>
            <w:tcW w:w="0" w:type="dxa"/>
            <w:vAlign w:val="bottom"/>
          </w:tcPr>
          <w:p>
            <w:pPr>
              <w:spacing w:after="0"/>
              <w:rPr>
                <w:sz w:val="1"/>
                <w:szCs w:val="1"/>
                <w:color w:val="auto"/>
              </w:rPr>
            </w:pPr>
          </w:p>
        </w:tc>
      </w:tr>
      <w:tr>
        <w:trPr>
          <w:trHeight w:val="393"/>
        </w:trPr>
        <w:tc>
          <w:tcPr>
            <w:tcW w:w="3760" w:type="dxa"/>
            <w:vAlign w:val="bottom"/>
            <w:tcBorders>
              <w:left w:val="single" w:sz="8" w:color="181818"/>
              <w:bottom w:val="single" w:sz="8" w:color="1B6F80"/>
              <w:right w:val="single" w:sz="8" w:color="181818"/>
            </w:tcBorders>
            <w:vMerge w:val="restart"/>
            <w:shd w:val="clear" w:color="auto" w:fill="1B6F80"/>
          </w:tcPr>
          <w:p>
            <w:pPr>
              <w:jc w:val="center"/>
              <w:spacing w:after="0"/>
              <w:rPr>
                <w:sz w:val="20"/>
                <w:szCs w:val="20"/>
                <w:color w:val="auto"/>
              </w:rPr>
            </w:pPr>
            <w:r>
              <w:rPr>
                <w:rFonts w:ascii="Arial" w:cs="Arial" w:eastAsia="Arial" w:hAnsi="Arial"/>
                <w:sz w:val="14"/>
                <w:szCs w:val="14"/>
                <w:b w:val="1"/>
                <w:bCs w:val="1"/>
                <w:color w:val="FFFFFF"/>
              </w:rPr>
              <w:t>Board Oversight</w:t>
            </w:r>
          </w:p>
        </w:tc>
        <w:tc>
          <w:tcPr>
            <w:tcW w:w="3760" w:type="dxa"/>
            <w:vAlign w:val="bottom"/>
            <w:tcBorders>
              <w:bottom w:val="single" w:sz="8" w:color="AED0C7"/>
              <w:right w:val="single" w:sz="8" w:color="181818"/>
            </w:tcBorders>
            <w:vMerge w:val="restart"/>
            <w:shd w:val="clear" w:color="auto" w:fill="AED0C7"/>
          </w:tcPr>
          <w:p>
            <w:pPr>
              <w:jc w:val="center"/>
              <w:spacing w:after="0"/>
              <w:rPr>
                <w:sz w:val="20"/>
                <w:szCs w:val="20"/>
                <w:color w:val="auto"/>
              </w:rPr>
            </w:pPr>
            <w:r>
              <w:rPr>
                <w:rFonts w:ascii="Arial" w:cs="Arial" w:eastAsia="Arial" w:hAnsi="Arial"/>
                <w:sz w:val="14"/>
                <w:szCs w:val="14"/>
                <w:b w:val="1"/>
                <w:bCs w:val="1"/>
                <w:color w:val="181818"/>
              </w:rPr>
              <w:t>Anti-hedging and</w:t>
            </w:r>
          </w:p>
        </w:tc>
        <w:tc>
          <w:tcPr>
            <w:tcW w:w="3760" w:type="dxa"/>
            <w:vAlign w:val="bottom"/>
            <w:tcBorders>
              <w:bottom w:val="single" w:sz="8" w:color="181818"/>
              <w:right w:val="single" w:sz="8" w:color="181818"/>
            </w:tcBorders>
            <w:shd w:val="clear" w:color="auto" w:fill="1B6F8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60" w:type="dxa"/>
            <w:vAlign w:val="bottom"/>
            <w:tcBorders>
              <w:left w:val="single" w:sz="8" w:color="181818"/>
              <w:right w:val="single" w:sz="8" w:color="181818"/>
            </w:tcBorders>
            <w:vMerge w:val="continue"/>
            <w:shd w:val="clear" w:color="auto" w:fill="1B6F80"/>
          </w:tcPr>
          <w:p>
            <w:pPr>
              <w:spacing w:after="0"/>
              <w:rPr>
                <w:sz w:val="22"/>
                <w:szCs w:val="22"/>
                <w:color w:val="auto"/>
              </w:rPr>
            </w:pPr>
          </w:p>
        </w:tc>
        <w:tc>
          <w:tcPr>
            <w:tcW w:w="3760" w:type="dxa"/>
            <w:vAlign w:val="bottom"/>
            <w:tcBorders>
              <w:right w:val="single" w:sz="8" w:color="181818"/>
            </w:tcBorders>
            <w:vMerge w:val="continue"/>
            <w:shd w:val="clear" w:color="auto" w:fill="AED0C7"/>
          </w:tcPr>
          <w:p>
            <w:pPr>
              <w:spacing w:after="0"/>
              <w:rPr>
                <w:sz w:val="22"/>
                <w:szCs w:val="22"/>
                <w:color w:val="auto"/>
              </w:rPr>
            </w:pPr>
          </w:p>
        </w:tc>
        <w:tc>
          <w:tcPr>
            <w:tcW w:w="3760" w:type="dxa"/>
            <w:vAlign w:val="bottom"/>
            <w:tcBorders>
              <w:right w:val="single" w:sz="8" w:color="181818"/>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760" w:type="dxa"/>
            <w:vAlign w:val="bottom"/>
            <w:tcBorders>
              <w:left w:val="single" w:sz="8" w:color="181818"/>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of ESG</w:t>
            </w:r>
          </w:p>
        </w:tc>
        <w:tc>
          <w:tcPr>
            <w:tcW w:w="3760" w:type="dxa"/>
            <w:vAlign w:val="bottom"/>
            <w:tcBorders>
              <w:right w:val="single" w:sz="8" w:color="181818"/>
            </w:tcBorders>
            <w:shd w:val="clear" w:color="auto" w:fill="AED0C7"/>
          </w:tcPr>
          <w:p>
            <w:pPr>
              <w:jc w:val="center"/>
              <w:spacing w:after="0"/>
              <w:rPr>
                <w:sz w:val="20"/>
                <w:szCs w:val="20"/>
                <w:color w:val="auto"/>
              </w:rPr>
            </w:pPr>
            <w:r>
              <w:rPr>
                <w:rFonts w:ascii="Arial" w:cs="Arial" w:eastAsia="Arial" w:hAnsi="Arial"/>
                <w:sz w:val="14"/>
                <w:szCs w:val="14"/>
                <w:b w:val="1"/>
                <w:bCs w:val="1"/>
                <w:color w:val="181818"/>
              </w:rPr>
              <w:t>Anti-pledging Policies</w:t>
            </w:r>
          </w:p>
        </w:tc>
        <w:tc>
          <w:tcPr>
            <w:tcW w:w="3760" w:type="dxa"/>
            <w:vAlign w:val="bottom"/>
            <w:tcBorders>
              <w:right w:val="single" w:sz="8" w:color="181818"/>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3760" w:type="dxa"/>
            <w:vAlign w:val="bottom"/>
            <w:tcBorders>
              <w:left w:val="single" w:sz="8" w:color="181818"/>
              <w:bottom w:val="single" w:sz="8" w:color="181818"/>
              <w:right w:val="single" w:sz="8" w:color="181818"/>
            </w:tcBorders>
            <w:shd w:val="clear" w:color="auto" w:fill="1B6F80"/>
          </w:tcPr>
          <w:p>
            <w:pPr>
              <w:spacing w:after="0"/>
              <w:rPr>
                <w:sz w:val="11"/>
                <w:szCs w:val="11"/>
                <w:color w:val="auto"/>
              </w:rPr>
            </w:pPr>
          </w:p>
        </w:tc>
        <w:tc>
          <w:tcPr>
            <w:tcW w:w="3760" w:type="dxa"/>
            <w:vAlign w:val="bottom"/>
            <w:tcBorders>
              <w:bottom w:val="single" w:sz="8" w:color="181818"/>
              <w:right w:val="single" w:sz="8" w:color="181818"/>
            </w:tcBorders>
            <w:shd w:val="clear" w:color="auto" w:fill="AED0C7"/>
          </w:tcPr>
          <w:p>
            <w:pPr>
              <w:spacing w:after="0"/>
              <w:rPr>
                <w:sz w:val="11"/>
                <w:szCs w:val="11"/>
                <w:color w:val="auto"/>
              </w:rPr>
            </w:pPr>
          </w:p>
        </w:tc>
        <w:tc>
          <w:tcPr>
            <w:tcW w:w="3760" w:type="dxa"/>
            <w:vAlign w:val="bottom"/>
            <w:tcBorders>
              <w:bottom w:val="single" w:sz="8" w:color="D9D9D9"/>
              <w:right w:val="single" w:sz="8" w:color="181818"/>
            </w:tcBorders>
            <w:vMerge w:val="restart"/>
            <w:shd w:val="clear" w:color="auto" w:fill="D9D9D9"/>
          </w:tcPr>
          <w:p>
            <w:pPr>
              <w:jc w:val="center"/>
              <w:spacing w:after="0"/>
              <w:rPr>
                <w:sz w:val="20"/>
                <w:szCs w:val="20"/>
                <w:color w:val="auto"/>
              </w:rPr>
            </w:pPr>
            <w:r>
              <w:rPr>
                <w:rFonts w:ascii="Arial" w:cs="Arial" w:eastAsia="Arial" w:hAnsi="Arial"/>
                <w:sz w:val="14"/>
                <w:szCs w:val="14"/>
                <w:b w:val="1"/>
                <w:bCs w:val="1"/>
                <w:color w:val="181818"/>
              </w:rPr>
              <w:t>Stock Ownership</w:t>
            </w:r>
          </w:p>
        </w:tc>
        <w:tc>
          <w:tcPr>
            <w:tcW w:w="0" w:type="dxa"/>
            <w:vAlign w:val="bottom"/>
          </w:tcPr>
          <w:p>
            <w:pPr>
              <w:spacing w:after="0"/>
              <w:rPr>
                <w:sz w:val="1"/>
                <w:szCs w:val="1"/>
                <w:color w:val="auto"/>
              </w:rPr>
            </w:pPr>
          </w:p>
        </w:tc>
      </w:tr>
      <w:tr>
        <w:trPr>
          <w:trHeight w:val="545"/>
        </w:trPr>
        <w:tc>
          <w:tcPr>
            <w:tcW w:w="3760" w:type="dxa"/>
            <w:vAlign w:val="bottom"/>
            <w:tcBorders>
              <w:left w:val="single" w:sz="8" w:color="181818"/>
              <w:right w:val="single" w:sz="8" w:color="181818"/>
            </w:tcBorders>
            <w:shd w:val="clear" w:color="auto" w:fill="AED0C7"/>
          </w:tcPr>
          <w:p>
            <w:pPr>
              <w:spacing w:after="0"/>
              <w:rPr>
                <w:sz w:val="24"/>
                <w:szCs w:val="24"/>
                <w:color w:val="auto"/>
              </w:rPr>
            </w:pPr>
          </w:p>
        </w:tc>
        <w:tc>
          <w:tcPr>
            <w:tcW w:w="3760" w:type="dxa"/>
            <w:vAlign w:val="bottom"/>
            <w:tcBorders>
              <w:right w:val="single" w:sz="8" w:color="181818"/>
            </w:tcBorders>
            <w:shd w:val="clear" w:color="auto" w:fill="E5FF70"/>
          </w:tcPr>
          <w:p>
            <w:pPr>
              <w:spacing w:after="0"/>
              <w:rPr>
                <w:sz w:val="24"/>
                <w:szCs w:val="24"/>
                <w:color w:val="auto"/>
              </w:rPr>
            </w:pPr>
          </w:p>
        </w:tc>
        <w:tc>
          <w:tcPr>
            <w:tcW w:w="3760" w:type="dxa"/>
            <w:vAlign w:val="bottom"/>
            <w:tcBorders>
              <w:right w:val="single" w:sz="8" w:color="181818"/>
            </w:tcBorders>
            <w:vMerge w:val="continue"/>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60" w:type="dxa"/>
            <w:vAlign w:val="bottom"/>
            <w:tcBorders>
              <w:left w:val="single" w:sz="8" w:color="181818"/>
              <w:right w:val="single" w:sz="8" w:color="181818"/>
            </w:tcBorders>
            <w:shd w:val="clear" w:color="auto" w:fill="AED0C7"/>
          </w:tcPr>
          <w:p>
            <w:pPr>
              <w:spacing w:after="0"/>
              <w:rPr>
                <w:sz w:val="15"/>
                <w:szCs w:val="15"/>
                <w:color w:val="auto"/>
              </w:rPr>
            </w:pPr>
          </w:p>
        </w:tc>
        <w:tc>
          <w:tcPr>
            <w:tcW w:w="3760" w:type="dxa"/>
            <w:vAlign w:val="bottom"/>
            <w:tcBorders>
              <w:right w:val="single" w:sz="8" w:color="181818"/>
            </w:tcBorders>
            <w:shd w:val="clear" w:color="auto" w:fill="E5FF70"/>
          </w:tcPr>
          <w:p>
            <w:pPr>
              <w:spacing w:after="0"/>
              <w:rPr>
                <w:sz w:val="15"/>
                <w:szCs w:val="15"/>
                <w:color w:val="auto"/>
              </w:rPr>
            </w:pPr>
          </w:p>
        </w:tc>
        <w:tc>
          <w:tcPr>
            <w:tcW w:w="3760" w:type="dxa"/>
            <w:vAlign w:val="bottom"/>
            <w:tcBorders>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Requirements for Directors</w:t>
            </w:r>
          </w:p>
        </w:tc>
        <w:tc>
          <w:tcPr>
            <w:tcW w:w="0" w:type="dxa"/>
            <w:vAlign w:val="bottom"/>
          </w:tcPr>
          <w:p>
            <w:pPr>
              <w:spacing w:after="0"/>
              <w:rPr>
                <w:sz w:val="1"/>
                <w:szCs w:val="1"/>
                <w:color w:val="auto"/>
              </w:rPr>
            </w:pPr>
          </w:p>
        </w:tc>
      </w:tr>
      <w:tr>
        <w:trPr>
          <w:trHeight w:val="202"/>
        </w:trPr>
        <w:tc>
          <w:tcPr>
            <w:tcW w:w="3760" w:type="dxa"/>
            <w:vAlign w:val="bottom"/>
            <w:tcBorders>
              <w:left w:val="single" w:sz="8" w:color="181818"/>
              <w:right w:val="single" w:sz="8" w:color="181818"/>
            </w:tcBorders>
            <w:vMerge w:val="restart"/>
            <w:shd w:val="clear" w:color="auto" w:fill="AED0C7"/>
          </w:tcPr>
          <w:p>
            <w:pPr>
              <w:jc w:val="center"/>
              <w:spacing w:after="0"/>
              <w:rPr>
                <w:sz w:val="20"/>
                <w:szCs w:val="20"/>
                <w:color w:val="auto"/>
              </w:rPr>
            </w:pPr>
            <w:r>
              <w:rPr>
                <w:rFonts w:ascii="Arial" w:cs="Arial" w:eastAsia="Arial" w:hAnsi="Arial"/>
                <w:sz w:val="14"/>
                <w:szCs w:val="14"/>
                <w:b w:val="1"/>
                <w:bCs w:val="1"/>
                <w:color w:val="181818"/>
              </w:rPr>
              <w:t>Enterprise Risk</w:t>
            </w:r>
          </w:p>
        </w:tc>
        <w:tc>
          <w:tcPr>
            <w:tcW w:w="3760" w:type="dxa"/>
            <w:vAlign w:val="bottom"/>
            <w:tcBorders>
              <w:right w:val="single" w:sz="8" w:color="181818"/>
            </w:tcBorders>
            <w:vMerge w:val="restart"/>
            <w:shd w:val="clear" w:color="auto" w:fill="E5FF70"/>
          </w:tcPr>
          <w:p>
            <w:pPr>
              <w:jc w:val="center"/>
              <w:spacing w:after="0"/>
              <w:rPr>
                <w:sz w:val="20"/>
                <w:szCs w:val="20"/>
                <w:color w:val="auto"/>
              </w:rPr>
            </w:pPr>
            <w:r>
              <w:rPr>
                <w:rFonts w:ascii="Arial" w:cs="Arial" w:eastAsia="Arial" w:hAnsi="Arial"/>
                <w:sz w:val="14"/>
                <w:szCs w:val="14"/>
                <w:b w:val="1"/>
                <w:bCs w:val="1"/>
                <w:color w:val="181818"/>
              </w:rPr>
              <w:t>Annual Advisory Vote on</w:t>
            </w:r>
          </w:p>
        </w:tc>
        <w:tc>
          <w:tcPr>
            <w:tcW w:w="3760" w:type="dxa"/>
            <w:vAlign w:val="bottom"/>
            <w:tcBorders>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and Executive Officers</w:t>
            </w:r>
          </w:p>
        </w:tc>
        <w:tc>
          <w:tcPr>
            <w:tcW w:w="0" w:type="dxa"/>
            <w:vAlign w:val="bottom"/>
          </w:tcPr>
          <w:p>
            <w:pPr>
              <w:spacing w:after="0"/>
              <w:rPr>
                <w:sz w:val="1"/>
                <w:szCs w:val="1"/>
                <w:color w:val="auto"/>
              </w:rPr>
            </w:pPr>
          </w:p>
        </w:tc>
      </w:tr>
      <w:tr>
        <w:trPr>
          <w:trHeight w:val="27"/>
        </w:trPr>
        <w:tc>
          <w:tcPr>
            <w:tcW w:w="3760" w:type="dxa"/>
            <w:vAlign w:val="bottom"/>
            <w:tcBorders>
              <w:left w:val="single" w:sz="8" w:color="181818"/>
              <w:right w:val="single" w:sz="8" w:color="181818"/>
            </w:tcBorders>
            <w:vMerge w:val="continue"/>
            <w:shd w:val="clear" w:color="auto" w:fill="AED0C7"/>
          </w:tcPr>
          <w:p>
            <w:pPr>
              <w:spacing w:after="0"/>
              <w:rPr>
                <w:sz w:val="2"/>
                <w:szCs w:val="2"/>
                <w:color w:val="auto"/>
              </w:rPr>
            </w:pPr>
          </w:p>
        </w:tc>
        <w:tc>
          <w:tcPr>
            <w:tcW w:w="3760" w:type="dxa"/>
            <w:vAlign w:val="bottom"/>
            <w:tcBorders>
              <w:right w:val="single" w:sz="8" w:color="181818"/>
            </w:tcBorders>
            <w:vMerge w:val="continue"/>
            <w:shd w:val="clear" w:color="auto" w:fill="E5FF70"/>
          </w:tcPr>
          <w:p>
            <w:pPr>
              <w:spacing w:after="0"/>
              <w:rPr>
                <w:sz w:val="2"/>
                <w:szCs w:val="2"/>
                <w:color w:val="auto"/>
              </w:rPr>
            </w:pPr>
          </w:p>
        </w:tc>
        <w:tc>
          <w:tcPr>
            <w:tcW w:w="3760" w:type="dxa"/>
            <w:vAlign w:val="bottom"/>
            <w:tcBorders>
              <w:right w:val="single" w:sz="8" w:color="181818"/>
            </w:tcBorders>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760" w:type="dxa"/>
            <w:vAlign w:val="bottom"/>
            <w:tcBorders>
              <w:left w:val="single" w:sz="8" w:color="181818"/>
              <w:right w:val="single" w:sz="8" w:color="181818"/>
            </w:tcBorders>
            <w:shd w:val="clear" w:color="auto" w:fill="AED0C7"/>
          </w:tcPr>
          <w:p>
            <w:pPr>
              <w:jc w:val="center"/>
              <w:spacing w:after="0"/>
              <w:rPr>
                <w:sz w:val="20"/>
                <w:szCs w:val="20"/>
                <w:color w:val="auto"/>
              </w:rPr>
            </w:pPr>
            <w:r>
              <w:rPr>
                <w:rFonts w:ascii="Arial" w:cs="Arial" w:eastAsia="Arial" w:hAnsi="Arial"/>
                <w:sz w:val="14"/>
                <w:szCs w:val="14"/>
                <w:b w:val="1"/>
                <w:bCs w:val="1"/>
                <w:color w:val="181818"/>
              </w:rPr>
              <w:t>Management</w:t>
            </w:r>
          </w:p>
        </w:tc>
        <w:tc>
          <w:tcPr>
            <w:tcW w:w="3760" w:type="dxa"/>
            <w:vAlign w:val="bottom"/>
            <w:tcBorders>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Executive Compensation</w:t>
            </w:r>
          </w:p>
        </w:tc>
        <w:tc>
          <w:tcPr>
            <w:tcW w:w="3760" w:type="dxa"/>
            <w:vAlign w:val="bottom"/>
            <w:tcBorders>
              <w:right w:val="single" w:sz="8" w:color="181818"/>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760" w:type="dxa"/>
            <w:vAlign w:val="bottom"/>
            <w:tcBorders>
              <w:left w:val="single" w:sz="8" w:color="181818"/>
              <w:bottom w:val="single" w:sz="8" w:color="181818"/>
              <w:right w:val="single" w:sz="8" w:color="181818"/>
            </w:tcBorders>
            <w:shd w:val="clear" w:color="auto" w:fill="AED0C7"/>
          </w:tcPr>
          <w:p>
            <w:pPr>
              <w:spacing w:after="0"/>
              <w:rPr>
                <w:sz w:val="14"/>
                <w:szCs w:val="14"/>
                <w:color w:val="auto"/>
              </w:rPr>
            </w:pPr>
          </w:p>
        </w:tc>
        <w:tc>
          <w:tcPr>
            <w:tcW w:w="3760" w:type="dxa"/>
            <w:vAlign w:val="bottom"/>
            <w:tcBorders>
              <w:bottom w:val="single" w:sz="8" w:color="181818"/>
              <w:right w:val="single" w:sz="8" w:color="181818"/>
            </w:tcBorders>
            <w:shd w:val="clear" w:color="auto" w:fill="E5FF70"/>
          </w:tcPr>
          <w:p>
            <w:pPr>
              <w:spacing w:after="0"/>
              <w:rPr>
                <w:sz w:val="14"/>
                <w:szCs w:val="14"/>
                <w:color w:val="auto"/>
              </w:rPr>
            </w:pPr>
          </w:p>
        </w:tc>
        <w:tc>
          <w:tcPr>
            <w:tcW w:w="3760" w:type="dxa"/>
            <w:vAlign w:val="bottom"/>
            <w:tcBorders>
              <w:bottom w:val="single" w:sz="8" w:color="181818"/>
              <w:right w:val="single" w:sz="8" w:color="181818"/>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-2399665</wp:posOffset>
            </wp:positionV>
            <wp:extent cx="283210"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-2399665</wp:posOffset>
            </wp:positionV>
            <wp:extent cx="282575" cy="28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-2253615</wp:posOffset>
            </wp:positionV>
            <wp:extent cx="282575" cy="282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-1542415</wp:posOffset>
            </wp:positionV>
            <wp:extent cx="282575"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-1568450</wp:posOffset>
            </wp:positionV>
            <wp:extent cx="282575"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-993775</wp:posOffset>
            </wp:positionV>
            <wp:extent cx="282575" cy="282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-736600</wp:posOffset>
            </wp:positionV>
            <wp:extent cx="283210" cy="282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-736600</wp:posOffset>
            </wp:positionV>
            <wp:extent cx="282575" cy="282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Board Composition and Processes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546"/>
        </w:trPr>
        <w:tc>
          <w:tcPr>
            <w:tcW w:w="2840" w:type="dxa"/>
            <w:vAlign w:val="bottom"/>
            <w:tcBorders>
              <w:top w:val="single" w:sz="8" w:color="181818"/>
              <w:left w:val="single" w:sz="8" w:color="181818"/>
              <w:right w:val="single" w:sz="8" w:color="181818"/>
            </w:tcBorders>
            <w:shd w:val="clear" w:color="auto" w:fill="E5FF70"/>
          </w:tcPr>
          <w:p>
            <w:pPr>
              <w:jc w:val="center"/>
              <w:spacing w:after="0"/>
              <w:rPr>
                <w:sz w:val="20"/>
                <w:szCs w:val="20"/>
                <w:color w:val="auto"/>
              </w:rPr>
            </w:pPr>
            <w:r>
              <w:rPr>
                <w:rFonts w:ascii="Arial" w:cs="Arial" w:eastAsia="Arial" w:hAnsi="Arial"/>
                <w:sz w:val="31"/>
                <w:szCs w:val="31"/>
                <w:b w:val="1"/>
                <w:bCs w:val="1"/>
                <w:color w:val="181818"/>
                <w:w w:val="96"/>
              </w:rPr>
              <w:t>5 of 7</w:t>
            </w:r>
          </w:p>
        </w:tc>
        <w:tc>
          <w:tcPr>
            <w:tcW w:w="3140" w:type="dxa"/>
            <w:vAlign w:val="bottom"/>
            <w:tcBorders>
              <w:top w:val="single" w:sz="8" w:color="181818"/>
              <w:right w:val="single" w:sz="8" w:color="181818"/>
            </w:tcBorders>
            <w:shd w:val="clear" w:color="auto" w:fill="D9D9D9"/>
          </w:tcPr>
          <w:p>
            <w:pPr>
              <w:spacing w:after="0"/>
              <w:rPr>
                <w:sz w:val="24"/>
                <w:szCs w:val="24"/>
                <w:color w:val="auto"/>
              </w:rPr>
            </w:pPr>
          </w:p>
        </w:tc>
        <w:tc>
          <w:tcPr>
            <w:tcW w:w="5300" w:type="dxa"/>
            <w:vAlign w:val="bottom"/>
            <w:tcBorders>
              <w:top w:val="single" w:sz="8" w:color="181818"/>
              <w:right w:val="single" w:sz="8" w:color="181818"/>
            </w:tcBorders>
            <w:shd w:val="clear" w:color="auto" w:fill="AED0C7"/>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840" w:type="dxa"/>
            <w:vAlign w:val="bottom"/>
            <w:tcBorders>
              <w:left w:val="single" w:sz="8" w:color="181818"/>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Nominees</w:t>
            </w:r>
          </w:p>
        </w:tc>
        <w:tc>
          <w:tcPr>
            <w:tcW w:w="3140" w:type="dxa"/>
            <w:vAlign w:val="bottom"/>
            <w:tcBorders>
              <w:right w:val="single" w:sz="8" w:color="181818"/>
            </w:tcBorders>
            <w:vMerge w:val="restart"/>
            <w:shd w:val="clear" w:color="auto" w:fill="D9D9D9"/>
          </w:tcPr>
          <w:p>
            <w:pPr>
              <w:jc w:val="center"/>
              <w:spacing w:after="0"/>
              <w:rPr>
                <w:sz w:val="20"/>
                <w:szCs w:val="20"/>
                <w:color w:val="auto"/>
              </w:rPr>
            </w:pPr>
            <w:r>
              <w:rPr>
                <w:rFonts w:ascii="Arial" w:cs="Arial" w:eastAsia="Arial" w:hAnsi="Arial"/>
                <w:sz w:val="14"/>
                <w:szCs w:val="14"/>
                <w:b w:val="1"/>
                <w:bCs w:val="1"/>
                <w:color w:val="181818"/>
              </w:rPr>
              <w:t>Separate Chair and CEO and</w:t>
            </w:r>
          </w:p>
        </w:tc>
        <w:tc>
          <w:tcPr>
            <w:tcW w:w="5300" w:type="dxa"/>
            <w:vAlign w:val="bottom"/>
            <w:tcBorders>
              <w:right w:val="single" w:sz="8" w:color="181818"/>
            </w:tcBorders>
            <w:shd w:val="clear" w:color="auto" w:fill="AED0C7"/>
          </w:tcPr>
          <w:p>
            <w:pPr>
              <w:jc w:val="center"/>
              <w:spacing w:after="0"/>
              <w:rPr>
                <w:sz w:val="20"/>
                <w:szCs w:val="20"/>
                <w:color w:val="auto"/>
              </w:rPr>
            </w:pPr>
            <w:r>
              <w:rPr>
                <w:rFonts w:ascii="Arial" w:cs="Arial" w:eastAsia="Arial" w:hAnsi="Arial"/>
                <w:sz w:val="14"/>
                <w:szCs w:val="14"/>
                <w:b w:val="1"/>
                <w:bCs w:val="1"/>
                <w:color w:val="181818"/>
              </w:rPr>
              <w:t>Majority Voting for Director Elections</w:t>
            </w:r>
          </w:p>
        </w:tc>
        <w:tc>
          <w:tcPr>
            <w:tcW w:w="0" w:type="dxa"/>
            <w:vAlign w:val="bottom"/>
          </w:tcPr>
          <w:p>
            <w:pPr>
              <w:spacing w:after="0"/>
              <w:rPr>
                <w:sz w:val="1"/>
                <w:szCs w:val="1"/>
                <w:color w:val="auto"/>
              </w:rPr>
            </w:pPr>
          </w:p>
        </w:tc>
      </w:tr>
      <w:tr>
        <w:trPr>
          <w:trHeight w:val="68"/>
        </w:trPr>
        <w:tc>
          <w:tcPr>
            <w:tcW w:w="2840" w:type="dxa"/>
            <w:vAlign w:val="bottom"/>
            <w:tcBorders>
              <w:left w:val="single" w:sz="8" w:color="181818"/>
              <w:right w:val="single" w:sz="8" w:color="181818"/>
            </w:tcBorders>
            <w:vMerge w:val="restart"/>
            <w:shd w:val="clear" w:color="auto" w:fill="E5FF70"/>
          </w:tcPr>
          <w:p>
            <w:pPr>
              <w:jc w:val="center"/>
              <w:spacing w:after="0"/>
              <w:rPr>
                <w:sz w:val="20"/>
                <w:szCs w:val="20"/>
                <w:color w:val="auto"/>
              </w:rPr>
            </w:pPr>
            <w:r>
              <w:rPr>
                <w:rFonts w:ascii="Arial" w:cs="Arial" w:eastAsia="Arial" w:hAnsi="Arial"/>
                <w:sz w:val="14"/>
                <w:szCs w:val="14"/>
                <w:b w:val="1"/>
                <w:bCs w:val="1"/>
                <w:color w:val="181818"/>
              </w:rPr>
              <w:t>Independent</w:t>
            </w:r>
          </w:p>
        </w:tc>
        <w:tc>
          <w:tcPr>
            <w:tcW w:w="3140" w:type="dxa"/>
            <w:vAlign w:val="bottom"/>
            <w:tcBorders>
              <w:right w:val="single" w:sz="8" w:color="181818"/>
            </w:tcBorders>
            <w:vMerge w:val="continue"/>
            <w:shd w:val="clear" w:color="auto" w:fill="D9D9D9"/>
          </w:tcPr>
          <w:p>
            <w:pPr>
              <w:spacing w:after="0"/>
              <w:rPr>
                <w:sz w:val="5"/>
                <w:szCs w:val="5"/>
                <w:color w:val="auto"/>
              </w:rPr>
            </w:pPr>
          </w:p>
        </w:tc>
        <w:tc>
          <w:tcPr>
            <w:tcW w:w="5300" w:type="dxa"/>
            <w:vAlign w:val="bottom"/>
            <w:tcBorders>
              <w:right w:val="single" w:sz="8" w:color="181818"/>
            </w:tcBorders>
            <w:vMerge w:val="restart"/>
            <w:shd w:val="clear" w:color="auto" w:fill="AED0C7"/>
          </w:tcPr>
          <w:p>
            <w:pPr>
              <w:jc w:val="center"/>
              <w:spacing w:after="0"/>
              <w:rPr>
                <w:sz w:val="20"/>
                <w:szCs w:val="20"/>
                <w:color w:val="auto"/>
              </w:rPr>
            </w:pPr>
            <w:r>
              <w:rPr>
                <w:rFonts w:ascii="Arial" w:cs="Arial" w:eastAsia="Arial" w:hAnsi="Arial"/>
                <w:sz w:val="14"/>
                <w:szCs w:val="14"/>
                <w:b w:val="1"/>
                <w:bCs w:val="1"/>
                <w:color w:val="181818"/>
              </w:rPr>
              <w:t>with Resignation Policy</w:t>
            </w:r>
          </w:p>
        </w:tc>
        <w:tc>
          <w:tcPr>
            <w:tcW w:w="0" w:type="dxa"/>
            <w:vAlign w:val="bottom"/>
          </w:tcPr>
          <w:p>
            <w:pPr>
              <w:spacing w:after="0"/>
              <w:rPr>
                <w:sz w:val="1"/>
                <w:szCs w:val="1"/>
                <w:color w:val="auto"/>
              </w:rPr>
            </w:pPr>
          </w:p>
        </w:tc>
      </w:tr>
      <w:tr>
        <w:trPr>
          <w:trHeight w:val="148"/>
        </w:trPr>
        <w:tc>
          <w:tcPr>
            <w:tcW w:w="2840" w:type="dxa"/>
            <w:vAlign w:val="bottom"/>
            <w:tcBorders>
              <w:left w:val="single" w:sz="8" w:color="181818"/>
              <w:right w:val="single" w:sz="8" w:color="181818"/>
            </w:tcBorders>
            <w:vMerge w:val="continue"/>
            <w:shd w:val="clear" w:color="auto" w:fill="E5FF70"/>
          </w:tcPr>
          <w:p>
            <w:pPr>
              <w:spacing w:after="0"/>
              <w:rPr>
                <w:sz w:val="12"/>
                <w:szCs w:val="12"/>
                <w:color w:val="auto"/>
              </w:rPr>
            </w:pPr>
          </w:p>
        </w:tc>
        <w:tc>
          <w:tcPr>
            <w:tcW w:w="3140" w:type="dxa"/>
            <w:vAlign w:val="bottom"/>
            <w:tcBorders>
              <w:right w:val="single" w:sz="8" w:color="181818"/>
            </w:tcBorders>
            <w:vMerge w:val="restart"/>
            <w:shd w:val="clear" w:color="auto" w:fill="D9D9D9"/>
          </w:tcPr>
          <w:p>
            <w:pPr>
              <w:jc w:val="center"/>
              <w:spacing w:after="0"/>
              <w:rPr>
                <w:sz w:val="20"/>
                <w:szCs w:val="20"/>
                <w:color w:val="auto"/>
              </w:rPr>
            </w:pPr>
            <w:r>
              <w:rPr>
                <w:rFonts w:ascii="Arial" w:cs="Arial" w:eastAsia="Arial" w:hAnsi="Arial"/>
                <w:sz w:val="14"/>
                <w:szCs w:val="14"/>
                <w:b w:val="1"/>
                <w:bCs w:val="1"/>
                <w:color w:val="181818"/>
              </w:rPr>
              <w:t>Lead Independent Director</w:t>
            </w:r>
          </w:p>
        </w:tc>
        <w:tc>
          <w:tcPr>
            <w:tcW w:w="5300" w:type="dxa"/>
            <w:vAlign w:val="bottom"/>
            <w:tcBorders>
              <w:right w:val="single" w:sz="8" w:color="181818"/>
            </w:tcBorders>
            <w:vMerge w:val="continue"/>
            <w:shd w:val="clear" w:color="auto" w:fill="AED0C7"/>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40" w:type="dxa"/>
            <w:vAlign w:val="bottom"/>
            <w:tcBorders>
              <w:left w:val="single" w:sz="8" w:color="181818"/>
              <w:right w:val="single" w:sz="8" w:color="181818"/>
            </w:tcBorders>
            <w:shd w:val="clear" w:color="auto" w:fill="E5FF70"/>
          </w:tcPr>
          <w:p>
            <w:pPr>
              <w:spacing w:after="0"/>
              <w:rPr>
                <w:sz w:val="4"/>
                <w:szCs w:val="4"/>
                <w:color w:val="auto"/>
              </w:rPr>
            </w:pPr>
          </w:p>
        </w:tc>
        <w:tc>
          <w:tcPr>
            <w:tcW w:w="3140" w:type="dxa"/>
            <w:vAlign w:val="bottom"/>
            <w:tcBorders>
              <w:right w:val="single" w:sz="8" w:color="181818"/>
            </w:tcBorders>
            <w:vMerge w:val="continue"/>
            <w:shd w:val="clear" w:color="auto" w:fill="D9D9D9"/>
          </w:tcPr>
          <w:p>
            <w:pPr>
              <w:spacing w:after="0"/>
              <w:rPr>
                <w:sz w:val="4"/>
                <w:szCs w:val="4"/>
                <w:color w:val="auto"/>
              </w:rPr>
            </w:pPr>
          </w:p>
        </w:tc>
        <w:tc>
          <w:tcPr>
            <w:tcW w:w="5300" w:type="dxa"/>
            <w:vAlign w:val="bottom"/>
            <w:tcBorders>
              <w:right w:val="single" w:sz="8" w:color="181818"/>
            </w:tcBorders>
            <w:shd w:val="clear" w:color="auto" w:fill="AED0C7"/>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840" w:type="dxa"/>
            <w:vAlign w:val="bottom"/>
            <w:tcBorders>
              <w:left w:val="single" w:sz="8" w:color="181818"/>
              <w:bottom w:val="single" w:sz="8" w:color="181818"/>
              <w:right w:val="single" w:sz="8" w:color="181818"/>
            </w:tcBorders>
            <w:shd w:val="clear" w:color="auto" w:fill="E5FF70"/>
          </w:tcPr>
          <w:p>
            <w:pPr>
              <w:spacing w:after="0"/>
              <w:rPr>
                <w:sz w:val="6"/>
                <w:szCs w:val="6"/>
                <w:color w:val="auto"/>
              </w:rPr>
            </w:pPr>
          </w:p>
        </w:tc>
        <w:tc>
          <w:tcPr>
            <w:tcW w:w="3140" w:type="dxa"/>
            <w:vAlign w:val="bottom"/>
            <w:tcBorders>
              <w:bottom w:val="single" w:sz="8" w:color="181818"/>
              <w:right w:val="single" w:sz="8" w:color="181818"/>
            </w:tcBorders>
            <w:shd w:val="clear" w:color="auto" w:fill="D9D9D9"/>
          </w:tcPr>
          <w:p>
            <w:pPr>
              <w:spacing w:after="0"/>
              <w:rPr>
                <w:sz w:val="6"/>
                <w:szCs w:val="6"/>
                <w:color w:val="auto"/>
              </w:rPr>
            </w:pPr>
          </w:p>
        </w:tc>
        <w:tc>
          <w:tcPr>
            <w:tcW w:w="5300" w:type="dxa"/>
            <w:vAlign w:val="bottom"/>
            <w:tcBorders>
              <w:bottom w:val="single" w:sz="8" w:color="181818"/>
              <w:right w:val="single" w:sz="8" w:color="181818"/>
            </w:tcBorders>
            <w:shd w:val="clear" w:color="auto" w:fill="AED0C7"/>
          </w:tcPr>
          <w:p>
            <w:pPr>
              <w:spacing w:after="0"/>
              <w:rPr>
                <w:sz w:val="6"/>
                <w:szCs w:val="6"/>
                <w:color w:val="auto"/>
              </w:rPr>
            </w:pPr>
          </w:p>
        </w:tc>
        <w:tc>
          <w:tcPr>
            <w:tcW w:w="0" w:type="dxa"/>
            <w:vAlign w:val="bottom"/>
          </w:tcPr>
          <w:p>
            <w:pPr>
              <w:spacing w:after="0"/>
              <w:rPr>
                <w:sz w:val="1"/>
                <w:szCs w:val="1"/>
                <w:color w:val="auto"/>
              </w:rPr>
            </w:pPr>
          </w:p>
        </w:tc>
      </w:tr>
      <w:tr>
        <w:trPr>
          <w:trHeight w:val="937"/>
        </w:trPr>
        <w:tc>
          <w:tcPr>
            <w:tcW w:w="2840" w:type="dxa"/>
            <w:vAlign w:val="bottom"/>
            <w:tcBorders>
              <w:left w:val="single" w:sz="8" w:color="181818"/>
              <w:right w:val="single" w:sz="8" w:color="181818"/>
            </w:tcBorders>
            <w:shd w:val="clear" w:color="auto" w:fill="1B6F80"/>
          </w:tcPr>
          <w:p>
            <w:pPr>
              <w:spacing w:after="0"/>
              <w:rPr>
                <w:sz w:val="24"/>
                <w:szCs w:val="24"/>
                <w:color w:val="auto"/>
              </w:rPr>
            </w:pPr>
          </w:p>
        </w:tc>
        <w:tc>
          <w:tcPr>
            <w:tcW w:w="3140" w:type="dxa"/>
            <w:vAlign w:val="bottom"/>
            <w:tcBorders>
              <w:right w:val="single" w:sz="8" w:color="181818"/>
            </w:tcBorders>
            <w:shd w:val="clear" w:color="auto" w:fill="AED0C7"/>
          </w:tcPr>
          <w:p>
            <w:pPr>
              <w:jc w:val="center"/>
              <w:spacing w:after="0"/>
              <w:rPr>
                <w:sz w:val="20"/>
                <w:szCs w:val="20"/>
                <w:color w:val="auto"/>
              </w:rPr>
            </w:pPr>
            <w:r>
              <w:rPr>
                <w:rFonts w:ascii="Arial" w:cs="Arial" w:eastAsia="Arial" w:hAnsi="Arial"/>
                <w:sz w:val="14"/>
                <w:szCs w:val="14"/>
                <w:b w:val="1"/>
                <w:bCs w:val="1"/>
                <w:color w:val="181818"/>
              </w:rPr>
              <w:t>Regular Independent</w:t>
            </w:r>
          </w:p>
        </w:tc>
        <w:tc>
          <w:tcPr>
            <w:tcW w:w="5300" w:type="dxa"/>
            <w:vAlign w:val="bottom"/>
            <w:tcBorders>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Director Orientation and</w:t>
            </w:r>
          </w:p>
        </w:tc>
        <w:tc>
          <w:tcPr>
            <w:tcW w:w="0" w:type="dxa"/>
            <w:vAlign w:val="bottom"/>
          </w:tcPr>
          <w:p>
            <w:pPr>
              <w:spacing w:after="0"/>
              <w:rPr>
                <w:sz w:val="1"/>
                <w:szCs w:val="1"/>
                <w:color w:val="auto"/>
              </w:rPr>
            </w:pPr>
          </w:p>
        </w:tc>
      </w:tr>
      <w:tr>
        <w:trPr>
          <w:trHeight w:val="202"/>
        </w:trPr>
        <w:tc>
          <w:tcPr>
            <w:tcW w:w="2840" w:type="dxa"/>
            <w:vAlign w:val="bottom"/>
            <w:tcBorders>
              <w:left w:val="single" w:sz="8" w:color="181818"/>
              <w:right w:val="single" w:sz="8" w:color="181818"/>
            </w:tcBorders>
            <w:shd w:val="clear" w:color="auto" w:fill="1B6F80"/>
          </w:tcPr>
          <w:p>
            <w:pPr>
              <w:spacing w:after="0"/>
              <w:rPr>
                <w:sz w:val="17"/>
                <w:szCs w:val="17"/>
                <w:color w:val="auto"/>
              </w:rPr>
            </w:pPr>
          </w:p>
        </w:tc>
        <w:tc>
          <w:tcPr>
            <w:tcW w:w="3140" w:type="dxa"/>
            <w:vAlign w:val="bottom"/>
            <w:tcBorders>
              <w:right w:val="single" w:sz="8" w:color="181818"/>
            </w:tcBorders>
            <w:shd w:val="clear" w:color="auto" w:fill="AED0C7"/>
          </w:tcPr>
          <w:p>
            <w:pPr>
              <w:jc w:val="center"/>
              <w:spacing w:after="0"/>
              <w:rPr>
                <w:sz w:val="20"/>
                <w:szCs w:val="20"/>
                <w:color w:val="auto"/>
              </w:rPr>
            </w:pPr>
            <w:r>
              <w:rPr>
                <w:rFonts w:ascii="Arial" w:cs="Arial" w:eastAsia="Arial" w:hAnsi="Arial"/>
                <w:sz w:val="14"/>
                <w:szCs w:val="14"/>
                <w:b w:val="1"/>
                <w:bCs w:val="1"/>
                <w:color w:val="181818"/>
              </w:rPr>
              <w:t>Director Executive Sessions</w:t>
            </w:r>
          </w:p>
        </w:tc>
        <w:tc>
          <w:tcPr>
            <w:tcW w:w="5300" w:type="dxa"/>
            <w:vAlign w:val="bottom"/>
            <w:tcBorders>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Continuing Education</w:t>
            </w:r>
          </w:p>
        </w:tc>
        <w:tc>
          <w:tcPr>
            <w:tcW w:w="0" w:type="dxa"/>
            <w:vAlign w:val="bottom"/>
          </w:tcPr>
          <w:p>
            <w:pPr>
              <w:spacing w:after="0"/>
              <w:rPr>
                <w:sz w:val="1"/>
                <w:szCs w:val="1"/>
                <w:color w:val="auto"/>
              </w:rPr>
            </w:pPr>
          </w:p>
        </w:tc>
      </w:tr>
      <w:tr>
        <w:trPr>
          <w:trHeight w:val="137"/>
        </w:trPr>
        <w:tc>
          <w:tcPr>
            <w:tcW w:w="2840" w:type="dxa"/>
            <w:vAlign w:val="bottom"/>
            <w:tcBorders>
              <w:left w:val="single" w:sz="8" w:color="181818"/>
              <w:bottom w:val="single" w:sz="8" w:color="1B6F80"/>
              <w:right w:val="single" w:sz="8" w:color="181818"/>
            </w:tcBorders>
            <w:vMerge w:val="restart"/>
            <w:shd w:val="clear" w:color="auto" w:fill="1B6F80"/>
          </w:tcPr>
          <w:p>
            <w:pPr>
              <w:jc w:val="center"/>
              <w:spacing w:after="0"/>
              <w:rPr>
                <w:sz w:val="20"/>
                <w:szCs w:val="20"/>
                <w:color w:val="auto"/>
              </w:rPr>
            </w:pPr>
            <w:r>
              <w:rPr>
                <w:rFonts w:ascii="Arial" w:cs="Arial" w:eastAsia="Arial" w:hAnsi="Arial"/>
                <w:sz w:val="14"/>
                <w:szCs w:val="14"/>
                <w:b w:val="1"/>
                <w:bCs w:val="1"/>
                <w:color w:val="FFFFFF"/>
              </w:rPr>
              <w:t>Protections Against</w:t>
            </w:r>
          </w:p>
        </w:tc>
        <w:tc>
          <w:tcPr>
            <w:tcW w:w="3140" w:type="dxa"/>
            <w:vAlign w:val="bottom"/>
            <w:tcBorders>
              <w:bottom w:val="single" w:sz="8" w:color="181818"/>
              <w:right w:val="single" w:sz="8" w:color="181818"/>
            </w:tcBorders>
            <w:shd w:val="clear" w:color="auto" w:fill="AED0C7"/>
          </w:tcPr>
          <w:p>
            <w:pPr>
              <w:spacing w:after="0"/>
              <w:rPr>
                <w:sz w:val="11"/>
                <w:szCs w:val="11"/>
                <w:color w:val="auto"/>
              </w:rPr>
            </w:pPr>
          </w:p>
        </w:tc>
        <w:tc>
          <w:tcPr>
            <w:tcW w:w="5300" w:type="dxa"/>
            <w:vAlign w:val="bottom"/>
            <w:tcBorders>
              <w:bottom w:val="single" w:sz="8" w:color="181818"/>
              <w:right w:val="single" w:sz="8" w:color="181818"/>
            </w:tcBorders>
            <w:shd w:val="clear" w:color="auto" w:fill="1B6F80"/>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2840" w:type="dxa"/>
            <w:vAlign w:val="bottom"/>
            <w:tcBorders>
              <w:left w:val="single" w:sz="8" w:color="181818"/>
              <w:right w:val="single" w:sz="8" w:color="181818"/>
            </w:tcBorders>
            <w:vMerge w:val="continue"/>
            <w:shd w:val="clear" w:color="auto" w:fill="1B6F80"/>
          </w:tcPr>
          <w:p>
            <w:pPr>
              <w:spacing w:after="0"/>
              <w:rPr>
                <w:sz w:val="24"/>
                <w:szCs w:val="24"/>
                <w:color w:val="auto"/>
              </w:rPr>
            </w:pPr>
          </w:p>
        </w:tc>
        <w:tc>
          <w:tcPr>
            <w:tcW w:w="3140" w:type="dxa"/>
            <w:vAlign w:val="bottom"/>
            <w:tcBorders>
              <w:right w:val="single" w:sz="8" w:color="181818"/>
            </w:tcBorders>
            <w:shd w:val="clear" w:color="auto" w:fill="E5FF70"/>
          </w:tcPr>
          <w:p>
            <w:pPr>
              <w:spacing w:after="0"/>
              <w:rPr>
                <w:sz w:val="24"/>
                <w:szCs w:val="24"/>
                <w:color w:val="auto"/>
              </w:rPr>
            </w:pPr>
          </w:p>
        </w:tc>
        <w:tc>
          <w:tcPr>
            <w:tcW w:w="5300" w:type="dxa"/>
            <w:vAlign w:val="bottom"/>
            <w:tcBorders>
              <w:right w:val="single" w:sz="8" w:color="181818"/>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40" w:type="dxa"/>
            <w:vAlign w:val="bottom"/>
            <w:tcBorders>
              <w:left w:val="single" w:sz="8" w:color="181818"/>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Overboarding</w:t>
            </w:r>
          </w:p>
        </w:tc>
        <w:tc>
          <w:tcPr>
            <w:tcW w:w="3140" w:type="dxa"/>
            <w:vAlign w:val="bottom"/>
            <w:tcBorders>
              <w:right w:val="single" w:sz="8" w:color="181818"/>
            </w:tcBorders>
            <w:shd w:val="clear" w:color="auto" w:fill="E5FF70"/>
          </w:tcPr>
          <w:p>
            <w:pPr>
              <w:spacing w:after="0"/>
              <w:rPr>
                <w:sz w:val="17"/>
                <w:szCs w:val="17"/>
                <w:color w:val="auto"/>
              </w:rPr>
            </w:pPr>
          </w:p>
        </w:tc>
        <w:tc>
          <w:tcPr>
            <w:tcW w:w="5300" w:type="dxa"/>
            <w:vAlign w:val="bottom"/>
            <w:tcBorders>
              <w:right w:val="single" w:sz="8" w:color="181818"/>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2840" w:type="dxa"/>
            <w:vAlign w:val="bottom"/>
            <w:tcBorders>
              <w:left w:val="single" w:sz="8" w:color="181818"/>
              <w:right w:val="single" w:sz="8" w:color="181818"/>
            </w:tcBorders>
            <w:shd w:val="clear" w:color="auto" w:fill="1B6F80"/>
          </w:tcPr>
          <w:p>
            <w:pPr>
              <w:spacing w:after="0"/>
              <w:rPr>
                <w:sz w:val="24"/>
                <w:szCs w:val="24"/>
                <w:color w:val="auto"/>
              </w:rPr>
            </w:pPr>
          </w:p>
        </w:tc>
        <w:tc>
          <w:tcPr>
            <w:tcW w:w="3140" w:type="dxa"/>
            <w:vAlign w:val="bottom"/>
            <w:tcBorders>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Annual Review of Director</w:t>
            </w:r>
          </w:p>
        </w:tc>
        <w:tc>
          <w:tcPr>
            <w:tcW w:w="5300" w:type="dxa"/>
            <w:vAlign w:val="bottom"/>
            <w:tcBorders>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Annual Board</w:t>
            </w:r>
          </w:p>
        </w:tc>
        <w:tc>
          <w:tcPr>
            <w:tcW w:w="0" w:type="dxa"/>
            <w:vAlign w:val="bottom"/>
          </w:tcPr>
          <w:p>
            <w:pPr>
              <w:spacing w:after="0"/>
              <w:rPr>
                <w:sz w:val="1"/>
                <w:szCs w:val="1"/>
                <w:color w:val="auto"/>
              </w:rPr>
            </w:pPr>
          </w:p>
        </w:tc>
      </w:tr>
      <w:tr>
        <w:trPr>
          <w:trHeight w:val="202"/>
        </w:trPr>
        <w:tc>
          <w:tcPr>
            <w:tcW w:w="2840" w:type="dxa"/>
            <w:vAlign w:val="bottom"/>
            <w:tcBorders>
              <w:left w:val="single" w:sz="8" w:color="181818"/>
              <w:right w:val="single" w:sz="8" w:color="181818"/>
            </w:tcBorders>
            <w:shd w:val="clear" w:color="auto" w:fill="1B6F80"/>
          </w:tcPr>
          <w:p>
            <w:pPr>
              <w:spacing w:after="0"/>
              <w:rPr>
                <w:sz w:val="17"/>
                <w:szCs w:val="17"/>
                <w:color w:val="auto"/>
              </w:rPr>
            </w:pPr>
          </w:p>
        </w:tc>
        <w:tc>
          <w:tcPr>
            <w:tcW w:w="3140" w:type="dxa"/>
            <w:vAlign w:val="bottom"/>
            <w:tcBorders>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and Committee Qualifications</w:t>
            </w:r>
          </w:p>
        </w:tc>
        <w:tc>
          <w:tcPr>
            <w:tcW w:w="5300" w:type="dxa"/>
            <w:vAlign w:val="bottom"/>
            <w:tcBorders>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Self-Evaluation</w:t>
            </w:r>
          </w:p>
        </w:tc>
        <w:tc>
          <w:tcPr>
            <w:tcW w:w="0" w:type="dxa"/>
            <w:vAlign w:val="bottom"/>
          </w:tcPr>
          <w:p>
            <w:pPr>
              <w:spacing w:after="0"/>
              <w:rPr>
                <w:sz w:val="1"/>
                <w:szCs w:val="1"/>
                <w:color w:val="auto"/>
              </w:rPr>
            </w:pPr>
          </w:p>
        </w:tc>
      </w:tr>
      <w:tr>
        <w:trPr>
          <w:trHeight w:val="137"/>
        </w:trPr>
        <w:tc>
          <w:tcPr>
            <w:tcW w:w="2840" w:type="dxa"/>
            <w:vAlign w:val="bottom"/>
            <w:tcBorders>
              <w:left w:val="single" w:sz="8" w:color="181818"/>
              <w:bottom w:val="single" w:sz="8" w:color="181818"/>
              <w:right w:val="single" w:sz="8" w:color="181818"/>
            </w:tcBorders>
            <w:shd w:val="clear" w:color="auto" w:fill="1B6F80"/>
          </w:tcPr>
          <w:p>
            <w:pPr>
              <w:spacing w:after="0"/>
              <w:rPr>
                <w:sz w:val="11"/>
                <w:szCs w:val="11"/>
                <w:color w:val="auto"/>
              </w:rPr>
            </w:pPr>
          </w:p>
        </w:tc>
        <w:tc>
          <w:tcPr>
            <w:tcW w:w="3140" w:type="dxa"/>
            <w:vAlign w:val="bottom"/>
            <w:tcBorders>
              <w:bottom w:val="single" w:sz="8" w:color="181818"/>
              <w:right w:val="single" w:sz="8" w:color="181818"/>
            </w:tcBorders>
            <w:shd w:val="clear" w:color="auto" w:fill="E5FF70"/>
          </w:tcPr>
          <w:p>
            <w:pPr>
              <w:spacing w:after="0"/>
              <w:rPr>
                <w:sz w:val="11"/>
                <w:szCs w:val="11"/>
                <w:color w:val="auto"/>
              </w:rPr>
            </w:pPr>
          </w:p>
        </w:tc>
        <w:tc>
          <w:tcPr>
            <w:tcW w:w="5300" w:type="dxa"/>
            <w:vAlign w:val="bottom"/>
            <w:tcBorders>
              <w:bottom w:val="single" w:sz="8" w:color="181818"/>
              <w:right w:val="single" w:sz="8" w:color="181818"/>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588"/>
        </w:trPr>
        <w:tc>
          <w:tcPr>
            <w:tcW w:w="2840" w:type="dxa"/>
            <w:vAlign w:val="bottom"/>
            <w:tcBorders>
              <w:bottom w:val="single" w:sz="8" w:color="181818"/>
            </w:tcBorders>
          </w:tcPr>
          <w:p>
            <w:pPr>
              <w:spacing w:after="0"/>
              <w:rPr>
                <w:sz w:val="24"/>
                <w:szCs w:val="24"/>
                <w:color w:val="auto"/>
              </w:rPr>
            </w:pPr>
          </w:p>
        </w:tc>
        <w:tc>
          <w:tcPr>
            <w:tcW w:w="3140" w:type="dxa"/>
            <w:vAlign w:val="bottom"/>
            <w:tcBorders>
              <w:bottom w:val="single" w:sz="8" w:color="181818"/>
            </w:tcBorders>
          </w:tcPr>
          <w:p>
            <w:pPr>
              <w:spacing w:after="0"/>
              <w:rPr>
                <w:sz w:val="24"/>
                <w:szCs w:val="24"/>
                <w:color w:val="auto"/>
              </w:rPr>
            </w:pPr>
          </w:p>
        </w:tc>
        <w:tc>
          <w:tcPr>
            <w:tcW w:w="5300" w:type="dxa"/>
            <w:vAlign w:val="bottom"/>
            <w:tcBorders>
              <w:bottom w:val="single" w:sz="8" w:color="181818"/>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40" w:type="dxa"/>
            <w:vAlign w:val="bottom"/>
          </w:tcPr>
          <w:p>
            <w:pPr>
              <w:ind w:left="20"/>
              <w:spacing w:after="0"/>
              <w:rPr>
                <w:sz w:val="20"/>
                <w:szCs w:val="20"/>
                <w:color w:val="auto"/>
              </w:rPr>
            </w:pPr>
            <w:r>
              <w:rPr>
                <w:rFonts w:ascii="Arial" w:cs="Arial" w:eastAsia="Arial" w:hAnsi="Arial"/>
                <w:sz w:val="14"/>
                <w:szCs w:val="14"/>
                <w:b w:val="1"/>
                <w:bCs w:val="1"/>
                <w:color w:val="09314A"/>
              </w:rPr>
              <w:t>ANTERIX INC.</w:t>
            </w:r>
          </w:p>
        </w:tc>
        <w:tc>
          <w:tcPr>
            <w:tcW w:w="3140" w:type="dxa"/>
            <w:vAlign w:val="bottom"/>
          </w:tcPr>
          <w:p>
            <w:pPr>
              <w:spacing w:after="0"/>
              <w:rPr>
                <w:sz w:val="17"/>
                <w:szCs w:val="17"/>
                <w:color w:val="auto"/>
              </w:rPr>
            </w:pPr>
          </w:p>
        </w:tc>
        <w:tc>
          <w:tcPr>
            <w:tcW w:w="5300" w:type="dxa"/>
            <w:vAlign w:val="bottom"/>
          </w:tcPr>
          <w:p>
            <w:pPr>
              <w:ind w:left="3380"/>
              <w:spacing w:after="0"/>
              <w:rPr>
                <w:sz w:val="20"/>
                <w:szCs w:val="20"/>
                <w:color w:val="auto"/>
              </w:rPr>
            </w:pP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3</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9A9A9A"/>
            </w:tcBorders>
          </w:tcPr>
          <w:p>
            <w:pPr>
              <w:spacing w:after="0"/>
              <w:rPr>
                <w:sz w:val="18"/>
                <w:szCs w:val="18"/>
                <w:color w:val="auto"/>
              </w:rPr>
            </w:pPr>
          </w:p>
        </w:tc>
        <w:tc>
          <w:tcPr>
            <w:tcW w:w="3140" w:type="dxa"/>
            <w:vAlign w:val="bottom"/>
            <w:tcBorders>
              <w:bottom w:val="single" w:sz="8" w:color="9A9A9A"/>
            </w:tcBorders>
          </w:tcPr>
          <w:p>
            <w:pPr>
              <w:spacing w:after="0"/>
              <w:rPr>
                <w:sz w:val="18"/>
                <w:szCs w:val="18"/>
                <w:color w:val="auto"/>
              </w:rPr>
            </w:pPr>
          </w:p>
        </w:tc>
        <w:tc>
          <w:tcPr>
            <w:tcW w:w="53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-2982595</wp:posOffset>
            </wp:positionV>
            <wp:extent cx="462915" cy="282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2915" cy="28257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-3007995</wp:posOffset>
            </wp:positionV>
            <wp:extent cx="26543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-1799590</wp:posOffset>
            </wp:positionV>
            <wp:extent cx="282575" cy="282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-2211070</wp:posOffset>
            </wp:positionV>
            <wp:extent cx="30861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-2211070</wp:posOffset>
            </wp:positionV>
            <wp:extent cx="283210" cy="282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-1388110</wp:posOffset>
            </wp:positionV>
            <wp:extent cx="282575"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-1388110</wp:posOffset>
            </wp:positionV>
            <wp:extent cx="283210"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3210" cy="283210"/>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Director Nominees</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320" w:type="dxa"/>
            <w:vAlign w:val="bottom"/>
            <w:tcBorders>
              <w:top w:val="single" w:sz="8" w:color="181818"/>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Director Name</w:t>
            </w:r>
          </w:p>
        </w:tc>
        <w:tc>
          <w:tcPr>
            <w:tcW w:w="1180" w:type="dxa"/>
            <w:vAlign w:val="bottom"/>
            <w:tcBorders>
              <w:top w:val="single" w:sz="8" w:color="181818"/>
            </w:tcBorders>
            <w:shd w:val="clear" w:color="auto" w:fill="1B6F80"/>
          </w:tcPr>
          <w:p>
            <w:pPr>
              <w:jc w:val="center"/>
              <w:ind w:left="128"/>
              <w:spacing w:after="0"/>
              <w:rPr>
                <w:sz w:val="20"/>
                <w:szCs w:val="20"/>
                <w:color w:val="auto"/>
              </w:rPr>
            </w:pPr>
            <w:r>
              <w:rPr>
                <w:rFonts w:ascii="Arial" w:cs="Arial" w:eastAsia="Arial" w:hAnsi="Arial"/>
                <w:sz w:val="14"/>
                <w:szCs w:val="14"/>
                <w:b w:val="1"/>
                <w:bCs w:val="1"/>
                <w:color w:val="FFFFFF"/>
                <w:w w:val="98"/>
              </w:rPr>
              <w:t>Age</w:t>
            </w:r>
          </w:p>
        </w:tc>
        <w:tc>
          <w:tcPr>
            <w:tcW w:w="1540" w:type="dxa"/>
            <w:vAlign w:val="bottom"/>
            <w:tcBorders>
              <w:top w:val="single" w:sz="8" w:color="181818"/>
            </w:tcBorders>
            <w:shd w:val="clear" w:color="auto" w:fill="1B6F80"/>
          </w:tcPr>
          <w:p>
            <w:pPr>
              <w:jc w:val="center"/>
              <w:ind w:left="28"/>
              <w:spacing w:after="0"/>
              <w:rPr>
                <w:sz w:val="20"/>
                <w:szCs w:val="20"/>
                <w:color w:val="auto"/>
              </w:rPr>
            </w:pPr>
            <w:r>
              <w:rPr>
                <w:rFonts w:ascii="Arial" w:cs="Arial" w:eastAsia="Arial" w:hAnsi="Arial"/>
                <w:sz w:val="14"/>
                <w:szCs w:val="14"/>
                <w:b w:val="1"/>
                <w:bCs w:val="1"/>
                <w:color w:val="FFFFFF"/>
              </w:rPr>
              <w:t>Director Since</w:t>
            </w:r>
          </w:p>
        </w:tc>
        <w:tc>
          <w:tcPr>
            <w:tcW w:w="5240" w:type="dxa"/>
            <w:vAlign w:val="bottom"/>
            <w:tcBorders>
              <w:top w:val="single" w:sz="8" w:color="181818"/>
              <w:right w:val="single" w:sz="8" w:color="181818"/>
            </w:tcBorders>
            <w:shd w:val="clear" w:color="auto" w:fill="1B6F80"/>
          </w:tcPr>
          <w:p>
            <w:pPr>
              <w:ind w:left="260"/>
              <w:spacing w:after="0"/>
              <w:rPr>
                <w:sz w:val="20"/>
                <w:szCs w:val="20"/>
                <w:color w:val="auto"/>
              </w:rPr>
            </w:pPr>
            <w:r>
              <w:rPr>
                <w:rFonts w:ascii="Arial" w:cs="Arial" w:eastAsia="Arial" w:hAnsi="Arial"/>
                <w:sz w:val="14"/>
                <w:szCs w:val="14"/>
                <w:b w:val="1"/>
                <w:bCs w:val="1"/>
                <w:color w:val="FFFFFF"/>
              </w:rPr>
              <w:t>Title</w:t>
            </w:r>
          </w:p>
        </w:tc>
        <w:tc>
          <w:tcPr>
            <w:tcW w:w="0" w:type="dxa"/>
            <w:vAlign w:val="bottom"/>
          </w:tcPr>
          <w:p>
            <w:pPr>
              <w:spacing w:after="0"/>
              <w:rPr>
                <w:sz w:val="1"/>
                <w:szCs w:val="1"/>
                <w:color w:val="auto"/>
              </w:rPr>
            </w:pPr>
          </w:p>
        </w:tc>
      </w:tr>
      <w:tr>
        <w:trPr>
          <w:trHeight w:val="70"/>
        </w:trPr>
        <w:tc>
          <w:tcPr>
            <w:tcW w:w="3320" w:type="dxa"/>
            <w:vAlign w:val="bottom"/>
            <w:tcBorders>
              <w:left w:val="single" w:sz="8" w:color="181818"/>
            </w:tcBorders>
            <w:shd w:val="clear" w:color="auto" w:fill="1B6F80"/>
          </w:tcPr>
          <w:p>
            <w:pPr>
              <w:spacing w:after="0"/>
              <w:rPr>
                <w:sz w:val="6"/>
                <w:szCs w:val="6"/>
                <w:color w:val="auto"/>
              </w:rPr>
            </w:pPr>
          </w:p>
        </w:tc>
        <w:tc>
          <w:tcPr>
            <w:tcW w:w="1180" w:type="dxa"/>
            <w:vAlign w:val="bottom"/>
            <w:shd w:val="clear" w:color="auto" w:fill="1B6F80"/>
          </w:tcPr>
          <w:p>
            <w:pPr>
              <w:spacing w:after="0"/>
              <w:rPr>
                <w:sz w:val="6"/>
                <w:szCs w:val="6"/>
                <w:color w:val="auto"/>
              </w:rPr>
            </w:pPr>
          </w:p>
        </w:tc>
        <w:tc>
          <w:tcPr>
            <w:tcW w:w="1540" w:type="dxa"/>
            <w:vAlign w:val="bottom"/>
            <w:shd w:val="clear" w:color="auto" w:fill="1B6F80"/>
          </w:tcPr>
          <w:p>
            <w:pPr>
              <w:spacing w:after="0"/>
              <w:rPr>
                <w:sz w:val="6"/>
                <w:szCs w:val="6"/>
                <w:color w:val="auto"/>
              </w:rPr>
            </w:pPr>
          </w:p>
        </w:tc>
        <w:tc>
          <w:tcPr>
            <w:tcW w:w="5240" w:type="dxa"/>
            <w:vAlign w:val="bottom"/>
            <w:tcBorders>
              <w:right w:val="single" w:sz="8" w:color="181818"/>
            </w:tcBorders>
            <w:shd w:val="clear" w:color="auto" w:fill="1B6F80"/>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3320" w:type="dxa"/>
            <w:vAlign w:val="bottom"/>
            <w:tcBorders>
              <w:left w:val="single" w:sz="8" w:color="181818"/>
            </w:tcBorders>
          </w:tcPr>
          <w:p>
            <w:pPr>
              <w:ind w:left="1320"/>
              <w:spacing w:after="0"/>
              <w:rPr>
                <w:sz w:val="20"/>
                <w:szCs w:val="20"/>
                <w:color w:val="auto"/>
              </w:rPr>
            </w:pPr>
            <w:r>
              <w:rPr>
                <w:rFonts w:ascii="Arial" w:cs="Arial" w:eastAsia="Arial" w:hAnsi="Arial"/>
                <w:sz w:val="14"/>
                <w:szCs w:val="14"/>
                <w:b w:val="1"/>
                <w:bCs w:val="1"/>
                <w:color w:val="181818"/>
              </w:rPr>
              <w:t>Jeffrey A. Altman</w:t>
            </w:r>
          </w:p>
        </w:tc>
        <w:tc>
          <w:tcPr>
            <w:tcW w:w="1180" w:type="dxa"/>
            <w:vAlign w:val="bottom"/>
            <w:vMerge w:val="restart"/>
          </w:tcPr>
          <w:p>
            <w:pPr>
              <w:jc w:val="center"/>
              <w:ind w:left="148"/>
              <w:spacing w:after="0"/>
              <w:rPr>
                <w:sz w:val="20"/>
                <w:szCs w:val="20"/>
                <w:color w:val="auto"/>
              </w:rPr>
            </w:pPr>
            <w:r>
              <w:rPr>
                <w:rFonts w:ascii="Arial" w:cs="Arial" w:eastAsia="Arial" w:hAnsi="Arial"/>
                <w:sz w:val="14"/>
                <w:szCs w:val="14"/>
                <w:color w:val="auto"/>
              </w:rPr>
              <w:t>59</w:t>
            </w:r>
          </w:p>
        </w:tc>
        <w:tc>
          <w:tcPr>
            <w:tcW w:w="1540" w:type="dxa"/>
            <w:vAlign w:val="bottom"/>
            <w:vMerge w:val="restart"/>
          </w:tcPr>
          <w:p>
            <w:pPr>
              <w:jc w:val="center"/>
              <w:ind w:left="28"/>
              <w:spacing w:after="0"/>
              <w:rPr>
                <w:sz w:val="20"/>
                <w:szCs w:val="20"/>
                <w:color w:val="auto"/>
              </w:rPr>
            </w:pPr>
            <w:r>
              <w:rPr>
                <w:rFonts w:ascii="Arial" w:cs="Arial" w:eastAsia="Arial" w:hAnsi="Arial"/>
                <w:sz w:val="14"/>
                <w:szCs w:val="14"/>
                <w:color w:val="auto"/>
              </w:rPr>
              <w:t>2023</w:t>
            </w:r>
          </w:p>
        </w:tc>
        <w:tc>
          <w:tcPr>
            <w:tcW w:w="5240" w:type="dxa"/>
            <w:vAlign w:val="bottom"/>
            <w:tcBorders>
              <w:right w:val="single" w:sz="8" w:color="181818"/>
            </w:tcBorders>
          </w:tcPr>
          <w:p>
            <w:pPr>
              <w:ind w:left="260"/>
              <w:spacing w:after="0"/>
              <w:rPr>
                <w:sz w:val="20"/>
                <w:szCs w:val="20"/>
                <w:color w:val="auto"/>
              </w:rPr>
            </w:pPr>
            <w:r>
              <w:rPr>
                <w:rFonts w:ascii="Arial" w:cs="Arial" w:eastAsia="Arial" w:hAnsi="Arial"/>
                <w:sz w:val="14"/>
                <w:szCs w:val="14"/>
                <w:color w:val="auto"/>
              </w:rPr>
              <w:t>Founding Partner and Chief Portfolio Manager,</w:t>
            </w:r>
          </w:p>
        </w:tc>
        <w:tc>
          <w:tcPr>
            <w:tcW w:w="0" w:type="dxa"/>
            <w:vAlign w:val="bottom"/>
          </w:tcPr>
          <w:p>
            <w:pPr>
              <w:spacing w:after="0"/>
              <w:rPr>
                <w:sz w:val="1"/>
                <w:szCs w:val="1"/>
                <w:color w:val="auto"/>
              </w:rPr>
            </w:pPr>
          </w:p>
        </w:tc>
      </w:tr>
      <w:tr>
        <w:trPr>
          <w:trHeight w:val="100"/>
        </w:trPr>
        <w:tc>
          <w:tcPr>
            <w:tcW w:w="3320" w:type="dxa"/>
            <w:vAlign w:val="bottom"/>
            <w:tcBorders>
              <w:left w:val="single" w:sz="8" w:color="181818"/>
            </w:tcBorders>
            <w:vMerge w:val="restart"/>
          </w:tcPr>
          <w:p>
            <w:pPr>
              <w:ind w:left="1320"/>
              <w:spacing w:after="0"/>
              <w:rPr>
                <w:sz w:val="20"/>
                <w:szCs w:val="20"/>
                <w:color w:val="auto"/>
              </w:rPr>
            </w:pPr>
            <w:r>
              <w:rPr>
                <w:rFonts w:ascii="Arial" w:cs="Arial" w:eastAsia="Arial" w:hAnsi="Arial"/>
                <w:sz w:val="14"/>
                <w:szCs w:val="14"/>
                <w:b w:val="1"/>
                <w:bCs w:val="1"/>
                <w:color w:val="09314A"/>
              </w:rPr>
              <w:t>INDEPENDENT</w:t>
            </w:r>
          </w:p>
        </w:tc>
        <w:tc>
          <w:tcPr>
            <w:tcW w:w="11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5240" w:type="dxa"/>
            <w:vAlign w:val="bottom"/>
            <w:tcBorders>
              <w:right w:val="single" w:sz="8" w:color="181818"/>
            </w:tcBorders>
            <w:vMerge w:val="restart"/>
          </w:tcPr>
          <w:p>
            <w:pPr>
              <w:ind w:left="260"/>
              <w:spacing w:after="0"/>
              <w:rPr>
                <w:sz w:val="20"/>
                <w:szCs w:val="20"/>
                <w:color w:val="auto"/>
              </w:rPr>
            </w:pPr>
            <w:r>
              <w:rPr>
                <w:rFonts w:ascii="Arial" w:cs="Arial" w:eastAsia="Arial" w:hAnsi="Arial"/>
                <w:sz w:val="14"/>
                <w:szCs w:val="14"/>
                <w:color w:val="auto"/>
              </w:rPr>
              <w:t>Owl Creek Asset Management</w:t>
            </w:r>
          </w:p>
        </w:tc>
        <w:tc>
          <w:tcPr>
            <w:tcW w:w="0" w:type="dxa"/>
            <w:vAlign w:val="bottom"/>
          </w:tcPr>
          <w:p>
            <w:pPr>
              <w:spacing w:after="0"/>
              <w:rPr>
                <w:sz w:val="1"/>
                <w:szCs w:val="1"/>
                <w:color w:val="auto"/>
              </w:rPr>
            </w:pPr>
          </w:p>
        </w:tc>
      </w:tr>
      <w:tr>
        <w:trPr>
          <w:trHeight w:val="141"/>
        </w:trPr>
        <w:tc>
          <w:tcPr>
            <w:tcW w:w="3320" w:type="dxa"/>
            <w:vAlign w:val="bottom"/>
            <w:tcBorders>
              <w:left w:val="single" w:sz="8" w:color="181818"/>
            </w:tcBorders>
            <w:vMerge w:val="continue"/>
          </w:tcPr>
          <w:p>
            <w:pPr>
              <w:spacing w:after="0"/>
              <w:rPr>
                <w:sz w:val="12"/>
                <w:szCs w:val="12"/>
                <w:color w:val="auto"/>
              </w:rPr>
            </w:pPr>
          </w:p>
        </w:tc>
        <w:tc>
          <w:tcPr>
            <w:tcW w:w="1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40" w:type="dxa"/>
            <w:vAlign w:val="bottom"/>
            <w:tcBorders>
              <w:right w:val="single" w:sz="8" w:color="181818"/>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3320" w:type="dxa"/>
            <w:vAlign w:val="bottom"/>
            <w:tcBorders>
              <w:left w:val="single" w:sz="8" w:color="181818"/>
              <w:bottom w:val="single" w:sz="8" w:color="181818"/>
            </w:tcBorders>
          </w:tcPr>
          <w:p>
            <w:pPr>
              <w:spacing w:after="0"/>
              <w:rPr>
                <w:sz w:val="18"/>
                <w:szCs w:val="18"/>
                <w:color w:val="auto"/>
              </w:rPr>
            </w:pPr>
          </w:p>
        </w:tc>
        <w:tc>
          <w:tcPr>
            <w:tcW w:w="1180" w:type="dxa"/>
            <w:vAlign w:val="bottom"/>
            <w:tcBorders>
              <w:bottom w:val="single" w:sz="8" w:color="181818"/>
            </w:tcBorders>
          </w:tcPr>
          <w:p>
            <w:pPr>
              <w:spacing w:after="0"/>
              <w:rPr>
                <w:sz w:val="18"/>
                <w:szCs w:val="18"/>
                <w:color w:val="auto"/>
              </w:rPr>
            </w:pPr>
          </w:p>
        </w:tc>
        <w:tc>
          <w:tcPr>
            <w:tcW w:w="1540" w:type="dxa"/>
            <w:vAlign w:val="bottom"/>
            <w:tcBorders>
              <w:bottom w:val="single" w:sz="8" w:color="181818"/>
            </w:tcBorders>
          </w:tcPr>
          <w:p>
            <w:pPr>
              <w:spacing w:after="0"/>
              <w:rPr>
                <w:sz w:val="18"/>
                <w:szCs w:val="18"/>
                <w:color w:val="auto"/>
              </w:rPr>
            </w:pPr>
          </w:p>
        </w:tc>
        <w:tc>
          <w:tcPr>
            <w:tcW w:w="5240" w:type="dxa"/>
            <w:vAlign w:val="bottom"/>
            <w:tcBorders>
              <w:bottom w:val="single" w:sz="8" w:color="181818"/>
              <w:right w:val="single" w:sz="8" w:color="181818"/>
            </w:tcBorders>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3320" w:type="dxa"/>
            <w:vAlign w:val="bottom"/>
            <w:tcBorders>
              <w:left w:val="single" w:sz="8" w:color="181818"/>
            </w:tcBorders>
          </w:tcPr>
          <w:p>
            <w:pPr>
              <w:ind w:left="1320"/>
              <w:spacing w:after="0"/>
              <w:rPr>
                <w:sz w:val="20"/>
                <w:szCs w:val="20"/>
                <w:color w:val="auto"/>
              </w:rPr>
            </w:pPr>
            <w:r>
              <w:rPr>
                <w:rFonts w:ascii="Arial" w:cs="Arial" w:eastAsia="Arial" w:hAnsi="Arial"/>
                <w:sz w:val="14"/>
                <w:szCs w:val="14"/>
                <w:b w:val="1"/>
                <w:bCs w:val="1"/>
                <w:color w:val="181818"/>
              </w:rPr>
              <w:t>Leslie B. Daniels</w:t>
            </w:r>
          </w:p>
        </w:tc>
        <w:tc>
          <w:tcPr>
            <w:tcW w:w="1180" w:type="dxa"/>
            <w:vAlign w:val="bottom"/>
            <w:vMerge w:val="restart"/>
          </w:tcPr>
          <w:p>
            <w:pPr>
              <w:jc w:val="center"/>
              <w:ind w:left="148"/>
              <w:spacing w:after="0"/>
              <w:rPr>
                <w:sz w:val="20"/>
                <w:szCs w:val="20"/>
                <w:color w:val="auto"/>
              </w:rPr>
            </w:pPr>
            <w:r>
              <w:rPr>
                <w:rFonts w:ascii="Arial" w:cs="Arial" w:eastAsia="Arial" w:hAnsi="Arial"/>
                <w:sz w:val="14"/>
                <w:szCs w:val="14"/>
                <w:color w:val="auto"/>
              </w:rPr>
              <w:t>79</w:t>
            </w:r>
          </w:p>
        </w:tc>
        <w:tc>
          <w:tcPr>
            <w:tcW w:w="1540" w:type="dxa"/>
            <w:vAlign w:val="bottom"/>
            <w:vMerge w:val="restart"/>
          </w:tcPr>
          <w:p>
            <w:pPr>
              <w:jc w:val="center"/>
              <w:ind w:left="28"/>
              <w:spacing w:after="0"/>
              <w:rPr>
                <w:sz w:val="20"/>
                <w:szCs w:val="20"/>
                <w:color w:val="auto"/>
              </w:rPr>
            </w:pPr>
            <w:r>
              <w:rPr>
                <w:rFonts w:ascii="Arial" w:cs="Arial" w:eastAsia="Arial" w:hAnsi="Arial"/>
                <w:sz w:val="14"/>
                <w:szCs w:val="14"/>
                <w:color w:val="auto"/>
              </w:rPr>
              <w:t>2020</w:t>
            </w:r>
          </w:p>
        </w:tc>
        <w:tc>
          <w:tcPr>
            <w:tcW w:w="5240" w:type="dxa"/>
            <w:vAlign w:val="bottom"/>
            <w:tcBorders>
              <w:right w:val="single" w:sz="8" w:color="181818"/>
            </w:tcBorders>
            <w:vMerge w:val="restart"/>
          </w:tcPr>
          <w:p>
            <w:pPr>
              <w:ind w:left="260"/>
              <w:spacing w:after="0"/>
              <w:rPr>
                <w:sz w:val="20"/>
                <w:szCs w:val="20"/>
                <w:color w:val="auto"/>
              </w:rPr>
            </w:pPr>
            <w:r>
              <w:rPr>
                <w:rFonts w:ascii="Arial" w:cs="Arial" w:eastAsia="Arial" w:hAnsi="Arial"/>
                <w:sz w:val="14"/>
                <w:szCs w:val="14"/>
                <w:color w:val="auto"/>
              </w:rPr>
              <w:t>Senior Advisor, AE Industrial Partners, LP</w:t>
            </w:r>
          </w:p>
        </w:tc>
        <w:tc>
          <w:tcPr>
            <w:tcW w:w="0" w:type="dxa"/>
            <w:vAlign w:val="bottom"/>
          </w:tcPr>
          <w:p>
            <w:pPr>
              <w:spacing w:after="0"/>
              <w:rPr>
                <w:sz w:val="1"/>
                <w:szCs w:val="1"/>
                <w:color w:val="auto"/>
              </w:rPr>
            </w:pPr>
          </w:p>
        </w:tc>
      </w:tr>
      <w:tr>
        <w:trPr>
          <w:trHeight w:val="88"/>
        </w:trPr>
        <w:tc>
          <w:tcPr>
            <w:tcW w:w="3320" w:type="dxa"/>
            <w:vAlign w:val="bottom"/>
            <w:tcBorders>
              <w:left w:val="single" w:sz="8" w:color="181818"/>
            </w:tcBorders>
            <w:vMerge w:val="restart"/>
          </w:tcPr>
          <w:p>
            <w:pPr>
              <w:ind w:left="1320"/>
              <w:spacing w:after="0"/>
              <w:rPr>
                <w:sz w:val="20"/>
                <w:szCs w:val="20"/>
                <w:color w:val="auto"/>
              </w:rPr>
            </w:pPr>
            <w:r>
              <w:rPr>
                <w:rFonts w:ascii="Arial" w:cs="Arial" w:eastAsia="Arial" w:hAnsi="Arial"/>
                <w:sz w:val="14"/>
                <w:szCs w:val="14"/>
                <w:b w:val="1"/>
                <w:bCs w:val="1"/>
                <w:color w:val="09314A"/>
              </w:rPr>
              <w:t>INDEPENDENT</w:t>
            </w: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5240" w:type="dxa"/>
            <w:vAlign w:val="bottom"/>
            <w:tcBorders>
              <w:right w:val="single" w:sz="8" w:color="18181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3320" w:type="dxa"/>
            <w:vAlign w:val="bottom"/>
            <w:tcBorders>
              <w:left w:val="single" w:sz="8" w:color="181818"/>
            </w:tcBorders>
            <w:vMerge w:val="continue"/>
          </w:tcPr>
          <w:p>
            <w:pPr>
              <w:spacing w:after="0"/>
              <w:rPr>
                <w:sz w:val="12"/>
                <w:szCs w:val="12"/>
                <w:color w:val="auto"/>
              </w:rPr>
            </w:pPr>
          </w:p>
        </w:tc>
        <w:tc>
          <w:tcPr>
            <w:tcW w:w="1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40" w:type="dxa"/>
            <w:vAlign w:val="bottom"/>
            <w:tcBorders>
              <w:right w:val="single" w:sz="8" w:color="181818"/>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3320" w:type="dxa"/>
            <w:vAlign w:val="bottom"/>
            <w:tcBorders>
              <w:left w:val="single" w:sz="8" w:color="181818"/>
              <w:bottom w:val="single" w:sz="8" w:color="181818"/>
            </w:tcBorders>
          </w:tcPr>
          <w:p>
            <w:pPr>
              <w:spacing w:after="0"/>
              <w:rPr>
                <w:sz w:val="18"/>
                <w:szCs w:val="18"/>
                <w:color w:val="auto"/>
              </w:rPr>
            </w:pPr>
          </w:p>
        </w:tc>
        <w:tc>
          <w:tcPr>
            <w:tcW w:w="1180" w:type="dxa"/>
            <w:vAlign w:val="bottom"/>
            <w:tcBorders>
              <w:bottom w:val="single" w:sz="8" w:color="181818"/>
            </w:tcBorders>
          </w:tcPr>
          <w:p>
            <w:pPr>
              <w:spacing w:after="0"/>
              <w:rPr>
                <w:sz w:val="18"/>
                <w:szCs w:val="18"/>
                <w:color w:val="auto"/>
              </w:rPr>
            </w:pPr>
          </w:p>
        </w:tc>
        <w:tc>
          <w:tcPr>
            <w:tcW w:w="1540" w:type="dxa"/>
            <w:vAlign w:val="bottom"/>
            <w:tcBorders>
              <w:bottom w:val="single" w:sz="8" w:color="181818"/>
            </w:tcBorders>
          </w:tcPr>
          <w:p>
            <w:pPr>
              <w:spacing w:after="0"/>
              <w:rPr>
                <w:sz w:val="18"/>
                <w:szCs w:val="18"/>
                <w:color w:val="auto"/>
              </w:rPr>
            </w:pPr>
          </w:p>
        </w:tc>
        <w:tc>
          <w:tcPr>
            <w:tcW w:w="5240" w:type="dxa"/>
            <w:vAlign w:val="bottom"/>
            <w:tcBorders>
              <w:bottom w:val="single" w:sz="8" w:color="181818"/>
              <w:right w:val="single" w:sz="8" w:color="181818"/>
            </w:tcBorders>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320" w:type="dxa"/>
            <w:vAlign w:val="bottom"/>
            <w:tcBorders>
              <w:left w:val="single" w:sz="8" w:color="181818"/>
            </w:tcBorders>
          </w:tcPr>
          <w:p>
            <w:pPr>
              <w:ind w:left="1320"/>
              <w:spacing w:after="0"/>
              <w:rPr>
                <w:sz w:val="20"/>
                <w:szCs w:val="20"/>
                <w:color w:val="auto"/>
              </w:rPr>
            </w:pPr>
            <w:r>
              <w:rPr>
                <w:rFonts w:ascii="Arial" w:cs="Arial" w:eastAsia="Arial" w:hAnsi="Arial"/>
                <w:sz w:val="14"/>
                <w:szCs w:val="14"/>
                <w:b w:val="1"/>
                <w:bCs w:val="1"/>
                <w:color w:val="181818"/>
              </w:rPr>
              <w:t>Mark A. Fleischhauer</w:t>
            </w:r>
          </w:p>
        </w:tc>
        <w:tc>
          <w:tcPr>
            <w:tcW w:w="1180" w:type="dxa"/>
            <w:vAlign w:val="bottom"/>
            <w:vMerge w:val="restart"/>
          </w:tcPr>
          <w:p>
            <w:pPr>
              <w:jc w:val="center"/>
              <w:ind w:left="148"/>
              <w:spacing w:after="0"/>
              <w:rPr>
                <w:sz w:val="20"/>
                <w:szCs w:val="20"/>
                <w:color w:val="auto"/>
              </w:rPr>
            </w:pPr>
            <w:r>
              <w:rPr>
                <w:rFonts w:ascii="Arial" w:cs="Arial" w:eastAsia="Arial" w:hAnsi="Arial"/>
                <w:sz w:val="14"/>
                <w:szCs w:val="14"/>
                <w:color w:val="auto"/>
              </w:rPr>
              <w:t>51</w:t>
            </w:r>
          </w:p>
        </w:tc>
        <w:tc>
          <w:tcPr>
            <w:tcW w:w="1540" w:type="dxa"/>
            <w:vAlign w:val="bottom"/>
            <w:vMerge w:val="restart"/>
          </w:tcPr>
          <w:p>
            <w:pPr>
              <w:jc w:val="center"/>
              <w:ind w:left="28"/>
              <w:spacing w:after="0"/>
              <w:rPr>
                <w:sz w:val="20"/>
                <w:szCs w:val="20"/>
                <w:color w:val="auto"/>
              </w:rPr>
            </w:pPr>
            <w:r>
              <w:rPr>
                <w:rFonts w:ascii="Arial" w:cs="Arial" w:eastAsia="Arial" w:hAnsi="Arial"/>
                <w:sz w:val="14"/>
                <w:szCs w:val="14"/>
                <w:color w:val="auto"/>
              </w:rPr>
              <w:t>2024</w:t>
            </w:r>
          </w:p>
        </w:tc>
        <w:tc>
          <w:tcPr>
            <w:tcW w:w="5240" w:type="dxa"/>
            <w:vAlign w:val="bottom"/>
            <w:tcBorders>
              <w:right w:val="single" w:sz="8" w:color="181818"/>
            </w:tcBorders>
            <w:vMerge w:val="restart"/>
          </w:tcPr>
          <w:p>
            <w:pPr>
              <w:ind w:left="260"/>
              <w:spacing w:after="0"/>
              <w:rPr>
                <w:sz w:val="20"/>
                <w:szCs w:val="20"/>
                <w:color w:val="auto"/>
              </w:rPr>
            </w:pPr>
            <w:r>
              <w:rPr>
                <w:rFonts w:ascii="Arial" w:cs="Arial" w:eastAsia="Arial" w:hAnsi="Arial"/>
                <w:sz w:val="14"/>
                <w:szCs w:val="14"/>
                <w:color w:val="auto"/>
              </w:rPr>
              <w:t>Partner (Retired), Owl Creek Asset Management</w:t>
            </w:r>
          </w:p>
        </w:tc>
        <w:tc>
          <w:tcPr>
            <w:tcW w:w="0" w:type="dxa"/>
            <w:vAlign w:val="bottom"/>
          </w:tcPr>
          <w:p>
            <w:pPr>
              <w:spacing w:after="0"/>
              <w:rPr>
                <w:sz w:val="1"/>
                <w:szCs w:val="1"/>
                <w:color w:val="auto"/>
              </w:rPr>
            </w:pPr>
          </w:p>
        </w:tc>
      </w:tr>
      <w:tr>
        <w:trPr>
          <w:trHeight w:val="89"/>
        </w:trPr>
        <w:tc>
          <w:tcPr>
            <w:tcW w:w="3320" w:type="dxa"/>
            <w:vAlign w:val="bottom"/>
            <w:tcBorders>
              <w:left w:val="single" w:sz="8" w:color="181818"/>
            </w:tcBorders>
            <w:vMerge w:val="restart"/>
          </w:tcPr>
          <w:p>
            <w:pPr>
              <w:ind w:left="1320"/>
              <w:spacing w:after="0"/>
              <w:rPr>
                <w:sz w:val="20"/>
                <w:szCs w:val="20"/>
                <w:color w:val="auto"/>
              </w:rPr>
            </w:pPr>
            <w:r>
              <w:rPr>
                <w:rFonts w:ascii="Arial" w:cs="Arial" w:eastAsia="Arial" w:hAnsi="Arial"/>
                <w:sz w:val="14"/>
                <w:szCs w:val="14"/>
                <w:b w:val="1"/>
                <w:bCs w:val="1"/>
                <w:color w:val="09314A"/>
              </w:rPr>
              <w:t>INDEPENDENT</w:t>
            </w: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5240" w:type="dxa"/>
            <w:vAlign w:val="bottom"/>
            <w:tcBorders>
              <w:right w:val="single" w:sz="8" w:color="18181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3320" w:type="dxa"/>
            <w:vAlign w:val="bottom"/>
            <w:tcBorders>
              <w:left w:val="single" w:sz="8" w:color="181818"/>
            </w:tcBorders>
            <w:vMerge w:val="continue"/>
          </w:tcPr>
          <w:p>
            <w:pPr>
              <w:spacing w:after="0"/>
              <w:rPr>
                <w:sz w:val="12"/>
                <w:szCs w:val="12"/>
                <w:color w:val="auto"/>
              </w:rPr>
            </w:pPr>
          </w:p>
        </w:tc>
        <w:tc>
          <w:tcPr>
            <w:tcW w:w="1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40" w:type="dxa"/>
            <w:vAlign w:val="bottom"/>
            <w:tcBorders>
              <w:right w:val="single" w:sz="8" w:color="181818"/>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3320" w:type="dxa"/>
            <w:vAlign w:val="bottom"/>
            <w:tcBorders>
              <w:left w:val="single" w:sz="8" w:color="181818"/>
              <w:bottom w:val="single" w:sz="8" w:color="181818"/>
            </w:tcBorders>
          </w:tcPr>
          <w:p>
            <w:pPr>
              <w:spacing w:after="0"/>
              <w:rPr>
                <w:sz w:val="18"/>
                <w:szCs w:val="18"/>
                <w:color w:val="auto"/>
              </w:rPr>
            </w:pPr>
          </w:p>
        </w:tc>
        <w:tc>
          <w:tcPr>
            <w:tcW w:w="1180" w:type="dxa"/>
            <w:vAlign w:val="bottom"/>
            <w:tcBorders>
              <w:bottom w:val="single" w:sz="8" w:color="181818"/>
            </w:tcBorders>
          </w:tcPr>
          <w:p>
            <w:pPr>
              <w:spacing w:after="0"/>
              <w:rPr>
                <w:sz w:val="18"/>
                <w:szCs w:val="18"/>
                <w:color w:val="auto"/>
              </w:rPr>
            </w:pPr>
          </w:p>
        </w:tc>
        <w:tc>
          <w:tcPr>
            <w:tcW w:w="1540" w:type="dxa"/>
            <w:vAlign w:val="bottom"/>
            <w:tcBorders>
              <w:bottom w:val="single" w:sz="8" w:color="181818"/>
            </w:tcBorders>
          </w:tcPr>
          <w:p>
            <w:pPr>
              <w:spacing w:after="0"/>
              <w:rPr>
                <w:sz w:val="18"/>
                <w:szCs w:val="18"/>
                <w:color w:val="auto"/>
              </w:rPr>
            </w:pPr>
          </w:p>
        </w:tc>
        <w:tc>
          <w:tcPr>
            <w:tcW w:w="5240" w:type="dxa"/>
            <w:vAlign w:val="bottom"/>
            <w:tcBorders>
              <w:bottom w:val="single" w:sz="8" w:color="181818"/>
              <w:right w:val="single" w:sz="8" w:color="181818"/>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320" w:type="dxa"/>
            <w:vAlign w:val="bottom"/>
            <w:tcBorders>
              <w:left w:val="single" w:sz="8" w:color="181818"/>
            </w:tcBorders>
          </w:tcPr>
          <w:p>
            <w:pPr>
              <w:ind w:left="1320"/>
              <w:spacing w:after="0"/>
              <w:rPr>
                <w:sz w:val="20"/>
                <w:szCs w:val="20"/>
                <w:color w:val="auto"/>
              </w:rPr>
            </w:pPr>
            <w:r>
              <w:rPr>
                <w:rFonts w:ascii="Arial" w:cs="Arial" w:eastAsia="Arial" w:hAnsi="Arial"/>
                <w:sz w:val="14"/>
                <w:szCs w:val="14"/>
                <w:b w:val="1"/>
                <w:bCs w:val="1"/>
                <w:color w:val="181818"/>
              </w:rPr>
              <w:t>William E. Heard</w:t>
            </w:r>
          </w:p>
        </w:tc>
        <w:tc>
          <w:tcPr>
            <w:tcW w:w="1180" w:type="dxa"/>
            <w:vAlign w:val="bottom"/>
            <w:vMerge w:val="restart"/>
          </w:tcPr>
          <w:p>
            <w:pPr>
              <w:jc w:val="center"/>
              <w:ind w:left="148"/>
              <w:spacing w:after="0"/>
              <w:rPr>
                <w:sz w:val="20"/>
                <w:szCs w:val="20"/>
                <w:color w:val="auto"/>
              </w:rPr>
            </w:pPr>
            <w:r>
              <w:rPr>
                <w:rFonts w:ascii="Arial" w:cs="Arial" w:eastAsia="Arial" w:hAnsi="Arial"/>
                <w:sz w:val="14"/>
                <w:szCs w:val="14"/>
                <w:color w:val="auto"/>
              </w:rPr>
              <w:t>43</w:t>
            </w:r>
          </w:p>
        </w:tc>
        <w:tc>
          <w:tcPr>
            <w:tcW w:w="1540" w:type="dxa"/>
            <w:vAlign w:val="bottom"/>
            <w:vMerge w:val="restart"/>
          </w:tcPr>
          <w:p>
            <w:pPr>
              <w:jc w:val="center"/>
              <w:ind w:left="28"/>
              <w:spacing w:after="0"/>
              <w:rPr>
                <w:sz w:val="20"/>
                <w:szCs w:val="20"/>
                <w:color w:val="auto"/>
              </w:rPr>
            </w:pPr>
            <w:r>
              <w:rPr>
                <w:rFonts w:ascii="Arial" w:cs="Arial" w:eastAsia="Arial" w:hAnsi="Arial"/>
                <w:sz w:val="14"/>
                <w:szCs w:val="14"/>
                <w:color w:val="auto"/>
              </w:rPr>
              <w:t>2024</w:t>
            </w:r>
          </w:p>
        </w:tc>
        <w:tc>
          <w:tcPr>
            <w:tcW w:w="5240" w:type="dxa"/>
            <w:vAlign w:val="bottom"/>
            <w:tcBorders>
              <w:right w:val="single" w:sz="8" w:color="181818"/>
            </w:tcBorders>
          </w:tcPr>
          <w:p>
            <w:pPr>
              <w:ind w:left="260"/>
              <w:spacing w:after="0"/>
              <w:rPr>
                <w:sz w:val="20"/>
                <w:szCs w:val="20"/>
                <w:color w:val="auto"/>
              </w:rPr>
            </w:pPr>
            <w:r>
              <w:rPr>
                <w:rFonts w:ascii="Arial" w:cs="Arial" w:eastAsia="Arial" w:hAnsi="Arial"/>
                <w:sz w:val="14"/>
                <w:szCs w:val="14"/>
                <w:color w:val="auto"/>
              </w:rPr>
              <w:t>CEO and Chief Investment Officer,</w:t>
            </w:r>
          </w:p>
        </w:tc>
        <w:tc>
          <w:tcPr>
            <w:tcW w:w="0" w:type="dxa"/>
            <w:vAlign w:val="bottom"/>
          </w:tcPr>
          <w:p>
            <w:pPr>
              <w:spacing w:after="0"/>
              <w:rPr>
                <w:sz w:val="1"/>
                <w:szCs w:val="1"/>
                <w:color w:val="auto"/>
              </w:rPr>
            </w:pPr>
          </w:p>
        </w:tc>
      </w:tr>
      <w:tr>
        <w:trPr>
          <w:trHeight w:val="100"/>
        </w:trPr>
        <w:tc>
          <w:tcPr>
            <w:tcW w:w="3320" w:type="dxa"/>
            <w:vAlign w:val="bottom"/>
            <w:tcBorders>
              <w:left w:val="single" w:sz="8" w:color="181818"/>
            </w:tcBorders>
            <w:vMerge w:val="restart"/>
          </w:tcPr>
          <w:p>
            <w:pPr>
              <w:ind w:left="1320"/>
              <w:spacing w:after="0"/>
              <w:rPr>
                <w:sz w:val="20"/>
                <w:szCs w:val="20"/>
                <w:color w:val="auto"/>
              </w:rPr>
            </w:pPr>
            <w:r>
              <w:rPr>
                <w:rFonts w:ascii="Arial" w:cs="Arial" w:eastAsia="Arial" w:hAnsi="Arial"/>
                <w:sz w:val="14"/>
                <w:szCs w:val="14"/>
                <w:b w:val="1"/>
                <w:bCs w:val="1"/>
                <w:color w:val="09314A"/>
              </w:rPr>
              <w:t>INDEPENDENT</w:t>
            </w:r>
          </w:p>
        </w:tc>
        <w:tc>
          <w:tcPr>
            <w:tcW w:w="11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5240" w:type="dxa"/>
            <w:vAlign w:val="bottom"/>
            <w:tcBorders>
              <w:right w:val="single" w:sz="8" w:color="181818"/>
            </w:tcBorders>
            <w:vMerge w:val="restart"/>
          </w:tcPr>
          <w:p>
            <w:pPr>
              <w:ind w:left="260"/>
              <w:spacing w:after="0"/>
              <w:rPr>
                <w:sz w:val="20"/>
                <w:szCs w:val="20"/>
                <w:color w:val="auto"/>
              </w:rPr>
            </w:pPr>
            <w:r>
              <w:rPr>
                <w:rFonts w:ascii="Arial" w:cs="Arial" w:eastAsia="Arial" w:hAnsi="Arial"/>
                <w:sz w:val="14"/>
                <w:szCs w:val="14"/>
                <w:color w:val="auto"/>
              </w:rPr>
              <w:t>Heard Capital LLC</w:t>
            </w:r>
          </w:p>
        </w:tc>
        <w:tc>
          <w:tcPr>
            <w:tcW w:w="0" w:type="dxa"/>
            <w:vAlign w:val="bottom"/>
          </w:tcPr>
          <w:p>
            <w:pPr>
              <w:spacing w:after="0"/>
              <w:rPr>
                <w:sz w:val="1"/>
                <w:szCs w:val="1"/>
                <w:color w:val="auto"/>
              </w:rPr>
            </w:pPr>
          </w:p>
        </w:tc>
      </w:tr>
      <w:tr>
        <w:trPr>
          <w:trHeight w:val="141"/>
        </w:trPr>
        <w:tc>
          <w:tcPr>
            <w:tcW w:w="3320" w:type="dxa"/>
            <w:vAlign w:val="bottom"/>
            <w:tcBorders>
              <w:left w:val="single" w:sz="8" w:color="181818"/>
            </w:tcBorders>
            <w:vMerge w:val="continue"/>
          </w:tcPr>
          <w:p>
            <w:pPr>
              <w:spacing w:after="0"/>
              <w:rPr>
                <w:sz w:val="12"/>
                <w:szCs w:val="12"/>
                <w:color w:val="auto"/>
              </w:rPr>
            </w:pPr>
          </w:p>
        </w:tc>
        <w:tc>
          <w:tcPr>
            <w:tcW w:w="1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40" w:type="dxa"/>
            <w:vAlign w:val="bottom"/>
            <w:tcBorders>
              <w:right w:val="single" w:sz="8" w:color="181818"/>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3320" w:type="dxa"/>
            <w:vAlign w:val="bottom"/>
            <w:tcBorders>
              <w:left w:val="single" w:sz="8" w:color="181818"/>
              <w:bottom w:val="single" w:sz="8" w:color="181818"/>
            </w:tcBorders>
          </w:tcPr>
          <w:p>
            <w:pPr>
              <w:spacing w:after="0"/>
              <w:rPr>
                <w:sz w:val="18"/>
                <w:szCs w:val="18"/>
                <w:color w:val="auto"/>
              </w:rPr>
            </w:pPr>
          </w:p>
        </w:tc>
        <w:tc>
          <w:tcPr>
            <w:tcW w:w="1180" w:type="dxa"/>
            <w:vAlign w:val="bottom"/>
            <w:tcBorders>
              <w:bottom w:val="single" w:sz="8" w:color="181818"/>
            </w:tcBorders>
          </w:tcPr>
          <w:p>
            <w:pPr>
              <w:spacing w:after="0"/>
              <w:rPr>
                <w:sz w:val="18"/>
                <w:szCs w:val="18"/>
                <w:color w:val="auto"/>
              </w:rPr>
            </w:pPr>
          </w:p>
        </w:tc>
        <w:tc>
          <w:tcPr>
            <w:tcW w:w="1540" w:type="dxa"/>
            <w:vAlign w:val="bottom"/>
            <w:tcBorders>
              <w:bottom w:val="single" w:sz="8" w:color="181818"/>
            </w:tcBorders>
          </w:tcPr>
          <w:p>
            <w:pPr>
              <w:spacing w:after="0"/>
              <w:rPr>
                <w:sz w:val="18"/>
                <w:szCs w:val="18"/>
                <w:color w:val="auto"/>
              </w:rPr>
            </w:pPr>
          </w:p>
        </w:tc>
        <w:tc>
          <w:tcPr>
            <w:tcW w:w="5240" w:type="dxa"/>
            <w:vAlign w:val="bottom"/>
            <w:tcBorders>
              <w:bottom w:val="single" w:sz="8" w:color="181818"/>
              <w:right w:val="single" w:sz="8" w:color="181818"/>
            </w:tcBorders>
          </w:tcPr>
          <w:p>
            <w:pPr>
              <w:spacing w:after="0"/>
              <w:rPr>
                <w:sz w:val="18"/>
                <w:szCs w:val="18"/>
                <w:color w:val="auto"/>
              </w:rPr>
            </w:pPr>
          </w:p>
        </w:tc>
        <w:tc>
          <w:tcPr>
            <w:tcW w:w="0" w:type="dxa"/>
            <w:vAlign w:val="bottom"/>
          </w:tcPr>
          <w:p>
            <w:pPr>
              <w:spacing w:after="0"/>
              <w:rPr>
                <w:sz w:val="1"/>
                <w:szCs w:val="1"/>
                <w:color w:val="auto"/>
              </w:rPr>
            </w:pPr>
          </w:p>
        </w:tc>
      </w:tr>
      <w:tr>
        <w:trPr>
          <w:trHeight w:val="558"/>
        </w:trPr>
        <w:tc>
          <w:tcPr>
            <w:tcW w:w="3320" w:type="dxa"/>
            <w:vAlign w:val="bottom"/>
            <w:tcBorders>
              <w:left w:val="single" w:sz="8" w:color="181818"/>
            </w:tcBorders>
          </w:tcPr>
          <w:p>
            <w:pPr>
              <w:ind w:left="1320"/>
              <w:spacing w:after="0"/>
              <w:rPr>
                <w:sz w:val="20"/>
                <w:szCs w:val="20"/>
                <w:color w:val="auto"/>
              </w:rPr>
            </w:pPr>
            <w:r>
              <w:rPr>
                <w:rFonts w:ascii="Arial" w:cs="Arial" w:eastAsia="Arial" w:hAnsi="Arial"/>
                <w:sz w:val="14"/>
                <w:szCs w:val="14"/>
                <w:b w:val="1"/>
                <w:bCs w:val="1"/>
                <w:color w:val="181818"/>
              </w:rPr>
              <w:t>Thomas R. Kuhn</w:t>
            </w:r>
          </w:p>
        </w:tc>
        <w:tc>
          <w:tcPr>
            <w:tcW w:w="1180" w:type="dxa"/>
            <w:vAlign w:val="bottom"/>
          </w:tcPr>
          <w:p>
            <w:pPr>
              <w:jc w:val="center"/>
              <w:ind w:left="148"/>
              <w:spacing w:after="0"/>
              <w:rPr>
                <w:sz w:val="20"/>
                <w:szCs w:val="20"/>
                <w:color w:val="auto"/>
              </w:rPr>
            </w:pPr>
            <w:r>
              <w:rPr>
                <w:rFonts w:ascii="Arial" w:cs="Arial" w:eastAsia="Arial" w:hAnsi="Arial"/>
                <w:sz w:val="14"/>
                <w:szCs w:val="14"/>
                <w:color w:val="auto"/>
              </w:rPr>
              <w:t>80</w:t>
            </w:r>
          </w:p>
        </w:tc>
        <w:tc>
          <w:tcPr>
            <w:tcW w:w="1540" w:type="dxa"/>
            <w:vAlign w:val="bottom"/>
          </w:tcPr>
          <w:p>
            <w:pPr>
              <w:jc w:val="center"/>
              <w:ind w:left="28"/>
              <w:spacing w:after="0"/>
              <w:rPr>
                <w:sz w:val="20"/>
                <w:szCs w:val="20"/>
                <w:color w:val="auto"/>
              </w:rPr>
            </w:pPr>
            <w:r>
              <w:rPr>
                <w:rFonts w:ascii="Arial" w:cs="Arial" w:eastAsia="Arial" w:hAnsi="Arial"/>
                <w:sz w:val="14"/>
                <w:szCs w:val="14"/>
                <w:color w:val="auto"/>
              </w:rPr>
              <w:t>2024</w:t>
            </w:r>
          </w:p>
        </w:tc>
        <w:tc>
          <w:tcPr>
            <w:tcW w:w="5240" w:type="dxa"/>
            <w:vAlign w:val="bottom"/>
            <w:tcBorders>
              <w:right w:val="single" w:sz="8" w:color="181818"/>
            </w:tcBorders>
          </w:tcPr>
          <w:p>
            <w:pPr>
              <w:ind w:left="260"/>
              <w:spacing w:after="0"/>
              <w:rPr>
                <w:sz w:val="20"/>
                <w:szCs w:val="20"/>
                <w:color w:val="auto"/>
              </w:rPr>
            </w:pPr>
            <w:r>
              <w:rPr>
                <w:rFonts w:ascii="Arial" w:cs="Arial" w:eastAsia="Arial" w:hAnsi="Arial"/>
                <w:sz w:val="14"/>
                <w:szCs w:val="14"/>
                <w:color w:val="auto"/>
              </w:rPr>
              <w:t>Executive Chair, Anterix</w:t>
            </w:r>
          </w:p>
        </w:tc>
        <w:tc>
          <w:tcPr>
            <w:tcW w:w="0" w:type="dxa"/>
            <w:vAlign w:val="bottom"/>
          </w:tcPr>
          <w:p>
            <w:pPr>
              <w:spacing w:after="0"/>
              <w:rPr>
                <w:sz w:val="1"/>
                <w:szCs w:val="1"/>
                <w:color w:val="auto"/>
              </w:rPr>
            </w:pPr>
          </w:p>
        </w:tc>
      </w:tr>
      <w:tr>
        <w:trPr>
          <w:trHeight w:val="340"/>
        </w:trPr>
        <w:tc>
          <w:tcPr>
            <w:tcW w:w="3320" w:type="dxa"/>
            <w:vAlign w:val="bottom"/>
            <w:tcBorders>
              <w:left w:val="single" w:sz="8" w:color="181818"/>
              <w:bottom w:val="single" w:sz="8" w:color="181818"/>
            </w:tcBorders>
          </w:tcPr>
          <w:p>
            <w:pPr>
              <w:spacing w:after="0"/>
              <w:rPr>
                <w:sz w:val="24"/>
                <w:szCs w:val="24"/>
                <w:color w:val="auto"/>
              </w:rPr>
            </w:pPr>
          </w:p>
        </w:tc>
        <w:tc>
          <w:tcPr>
            <w:tcW w:w="1180" w:type="dxa"/>
            <w:vAlign w:val="bottom"/>
            <w:tcBorders>
              <w:bottom w:val="single" w:sz="8" w:color="181818"/>
            </w:tcBorders>
          </w:tcPr>
          <w:p>
            <w:pPr>
              <w:spacing w:after="0"/>
              <w:rPr>
                <w:sz w:val="24"/>
                <w:szCs w:val="24"/>
                <w:color w:val="auto"/>
              </w:rPr>
            </w:pPr>
          </w:p>
        </w:tc>
        <w:tc>
          <w:tcPr>
            <w:tcW w:w="1540" w:type="dxa"/>
            <w:vAlign w:val="bottom"/>
            <w:tcBorders>
              <w:bottom w:val="single" w:sz="8" w:color="181818"/>
            </w:tcBorders>
          </w:tcPr>
          <w:p>
            <w:pPr>
              <w:spacing w:after="0"/>
              <w:rPr>
                <w:sz w:val="24"/>
                <w:szCs w:val="24"/>
                <w:color w:val="auto"/>
              </w:rPr>
            </w:pPr>
          </w:p>
        </w:tc>
        <w:tc>
          <w:tcPr>
            <w:tcW w:w="5240" w:type="dxa"/>
            <w:vAlign w:val="bottom"/>
            <w:tcBorders>
              <w:bottom w:val="single" w:sz="8" w:color="181818"/>
              <w:right w:val="single" w:sz="8" w:color="181818"/>
            </w:tcBorders>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3320" w:type="dxa"/>
            <w:vAlign w:val="bottom"/>
            <w:tcBorders>
              <w:left w:val="single" w:sz="8" w:color="181818"/>
            </w:tcBorders>
          </w:tcPr>
          <w:p>
            <w:pPr>
              <w:ind w:left="1320"/>
              <w:spacing w:after="0"/>
              <w:rPr>
                <w:sz w:val="20"/>
                <w:szCs w:val="20"/>
                <w:color w:val="auto"/>
              </w:rPr>
            </w:pPr>
            <w:r>
              <w:rPr>
                <w:rFonts w:ascii="Arial" w:cs="Arial" w:eastAsia="Arial" w:hAnsi="Arial"/>
                <w:sz w:val="14"/>
                <w:szCs w:val="14"/>
                <w:b w:val="1"/>
                <w:bCs w:val="1"/>
                <w:color w:val="181818"/>
              </w:rPr>
              <w:t>Scott A. Lang</w:t>
            </w:r>
          </w:p>
        </w:tc>
        <w:tc>
          <w:tcPr>
            <w:tcW w:w="1180" w:type="dxa"/>
            <w:vAlign w:val="bottom"/>
          </w:tcPr>
          <w:p>
            <w:pPr>
              <w:jc w:val="center"/>
              <w:ind w:left="148"/>
              <w:spacing w:after="0"/>
              <w:rPr>
                <w:sz w:val="20"/>
                <w:szCs w:val="20"/>
                <w:color w:val="auto"/>
              </w:rPr>
            </w:pPr>
            <w:r>
              <w:rPr>
                <w:rFonts w:ascii="Arial" w:cs="Arial" w:eastAsia="Arial" w:hAnsi="Arial"/>
                <w:sz w:val="14"/>
                <w:szCs w:val="14"/>
                <w:color w:val="auto"/>
              </w:rPr>
              <w:t>63</w:t>
            </w:r>
          </w:p>
        </w:tc>
        <w:tc>
          <w:tcPr>
            <w:tcW w:w="1540" w:type="dxa"/>
            <w:vAlign w:val="bottom"/>
          </w:tcPr>
          <w:p>
            <w:pPr>
              <w:jc w:val="center"/>
              <w:ind w:left="28"/>
              <w:spacing w:after="0"/>
              <w:rPr>
                <w:sz w:val="20"/>
                <w:szCs w:val="20"/>
                <w:color w:val="auto"/>
              </w:rPr>
            </w:pPr>
            <w:r>
              <w:rPr>
                <w:rFonts w:ascii="Arial" w:cs="Arial" w:eastAsia="Arial" w:hAnsi="Arial"/>
                <w:sz w:val="14"/>
                <w:szCs w:val="14"/>
                <w:color w:val="auto"/>
              </w:rPr>
              <w:t>2024</w:t>
            </w:r>
          </w:p>
        </w:tc>
        <w:tc>
          <w:tcPr>
            <w:tcW w:w="5240" w:type="dxa"/>
            <w:vAlign w:val="bottom"/>
            <w:tcBorders>
              <w:right w:val="single" w:sz="8" w:color="181818"/>
            </w:tcBorders>
          </w:tcPr>
          <w:p>
            <w:pPr>
              <w:ind w:left="260"/>
              <w:spacing w:after="0"/>
              <w:rPr>
                <w:sz w:val="20"/>
                <w:szCs w:val="20"/>
                <w:color w:val="auto"/>
              </w:rPr>
            </w:pPr>
            <w:r>
              <w:rPr>
                <w:rFonts w:ascii="Arial" w:cs="Arial" w:eastAsia="Arial" w:hAnsi="Arial"/>
                <w:sz w:val="14"/>
                <w:szCs w:val="14"/>
                <w:color w:val="auto"/>
              </w:rPr>
              <w:t>President and CEO, Anterix</w:t>
            </w:r>
          </w:p>
        </w:tc>
        <w:tc>
          <w:tcPr>
            <w:tcW w:w="0" w:type="dxa"/>
            <w:vAlign w:val="bottom"/>
          </w:tcPr>
          <w:p>
            <w:pPr>
              <w:spacing w:after="0"/>
              <w:rPr>
                <w:sz w:val="1"/>
                <w:szCs w:val="1"/>
                <w:color w:val="auto"/>
              </w:rPr>
            </w:pPr>
          </w:p>
        </w:tc>
      </w:tr>
      <w:tr>
        <w:trPr>
          <w:trHeight w:val="326"/>
        </w:trPr>
        <w:tc>
          <w:tcPr>
            <w:tcW w:w="3320" w:type="dxa"/>
            <w:vAlign w:val="bottom"/>
            <w:tcBorders>
              <w:left w:val="single" w:sz="8" w:color="181818"/>
              <w:bottom w:val="single" w:sz="8" w:color="181818"/>
            </w:tcBorders>
          </w:tcPr>
          <w:p>
            <w:pPr>
              <w:spacing w:after="0"/>
              <w:rPr>
                <w:sz w:val="24"/>
                <w:szCs w:val="24"/>
                <w:color w:val="auto"/>
              </w:rPr>
            </w:pPr>
          </w:p>
        </w:tc>
        <w:tc>
          <w:tcPr>
            <w:tcW w:w="1180" w:type="dxa"/>
            <w:vAlign w:val="bottom"/>
            <w:tcBorders>
              <w:bottom w:val="single" w:sz="8" w:color="181818"/>
            </w:tcBorders>
          </w:tcPr>
          <w:p>
            <w:pPr>
              <w:spacing w:after="0"/>
              <w:rPr>
                <w:sz w:val="24"/>
                <w:szCs w:val="24"/>
                <w:color w:val="auto"/>
              </w:rPr>
            </w:pPr>
          </w:p>
        </w:tc>
        <w:tc>
          <w:tcPr>
            <w:tcW w:w="1540" w:type="dxa"/>
            <w:vAlign w:val="bottom"/>
            <w:tcBorders>
              <w:bottom w:val="single" w:sz="8" w:color="181818"/>
            </w:tcBorders>
          </w:tcPr>
          <w:p>
            <w:pPr>
              <w:spacing w:after="0"/>
              <w:rPr>
                <w:sz w:val="24"/>
                <w:szCs w:val="24"/>
                <w:color w:val="auto"/>
              </w:rPr>
            </w:pPr>
          </w:p>
        </w:tc>
        <w:tc>
          <w:tcPr>
            <w:tcW w:w="5240" w:type="dxa"/>
            <w:vAlign w:val="bottom"/>
            <w:tcBorders>
              <w:bottom w:val="single" w:sz="8" w:color="181818"/>
              <w:right w:val="single" w:sz="8" w:color="181818"/>
            </w:tcBorders>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320" w:type="dxa"/>
            <w:vAlign w:val="bottom"/>
            <w:tcBorders>
              <w:left w:val="single" w:sz="8" w:color="181818"/>
            </w:tcBorders>
          </w:tcPr>
          <w:p>
            <w:pPr>
              <w:ind w:left="1320"/>
              <w:spacing w:after="0"/>
              <w:rPr>
                <w:sz w:val="20"/>
                <w:szCs w:val="20"/>
                <w:color w:val="auto"/>
              </w:rPr>
            </w:pPr>
            <w:r>
              <w:rPr>
                <w:rFonts w:ascii="Arial" w:cs="Arial" w:eastAsia="Arial" w:hAnsi="Arial"/>
                <w:sz w:val="14"/>
                <w:szCs w:val="14"/>
                <w:b w:val="1"/>
                <w:bCs w:val="1"/>
                <w:color w:val="181818"/>
              </w:rPr>
              <w:t>Mahvash Yazdi</w:t>
            </w:r>
          </w:p>
        </w:tc>
        <w:tc>
          <w:tcPr>
            <w:tcW w:w="1180" w:type="dxa"/>
            <w:vAlign w:val="bottom"/>
            <w:vMerge w:val="restart"/>
          </w:tcPr>
          <w:p>
            <w:pPr>
              <w:jc w:val="center"/>
              <w:ind w:left="148"/>
              <w:spacing w:after="0"/>
              <w:rPr>
                <w:sz w:val="20"/>
                <w:szCs w:val="20"/>
                <w:color w:val="auto"/>
              </w:rPr>
            </w:pPr>
            <w:r>
              <w:rPr>
                <w:rFonts w:ascii="Arial" w:cs="Arial" w:eastAsia="Arial" w:hAnsi="Arial"/>
                <w:sz w:val="14"/>
                <w:szCs w:val="14"/>
                <w:color w:val="auto"/>
              </w:rPr>
              <w:t>74</w:t>
            </w:r>
          </w:p>
        </w:tc>
        <w:tc>
          <w:tcPr>
            <w:tcW w:w="1540" w:type="dxa"/>
            <w:vAlign w:val="bottom"/>
            <w:vMerge w:val="restart"/>
          </w:tcPr>
          <w:p>
            <w:pPr>
              <w:jc w:val="center"/>
              <w:ind w:left="28"/>
              <w:spacing w:after="0"/>
              <w:rPr>
                <w:sz w:val="20"/>
                <w:szCs w:val="20"/>
                <w:color w:val="auto"/>
              </w:rPr>
            </w:pPr>
            <w:r>
              <w:rPr>
                <w:rFonts w:ascii="Arial" w:cs="Arial" w:eastAsia="Arial" w:hAnsi="Arial"/>
                <w:sz w:val="14"/>
                <w:szCs w:val="14"/>
                <w:color w:val="auto"/>
              </w:rPr>
              <w:t>2021</w:t>
            </w:r>
          </w:p>
        </w:tc>
        <w:tc>
          <w:tcPr>
            <w:tcW w:w="5240" w:type="dxa"/>
            <w:vAlign w:val="bottom"/>
            <w:tcBorders>
              <w:right w:val="single" w:sz="8" w:color="181818"/>
            </w:tcBorders>
            <w:vMerge w:val="restart"/>
          </w:tcPr>
          <w:p>
            <w:pPr>
              <w:ind w:left="260"/>
              <w:spacing w:after="0"/>
              <w:rPr>
                <w:sz w:val="20"/>
                <w:szCs w:val="20"/>
                <w:color w:val="auto"/>
              </w:rPr>
            </w:pPr>
            <w:r>
              <w:rPr>
                <w:rFonts w:ascii="Arial" w:cs="Arial" w:eastAsia="Arial" w:hAnsi="Arial"/>
                <w:sz w:val="14"/>
                <w:szCs w:val="14"/>
                <w:color w:val="auto"/>
              </w:rPr>
              <w:t>President, Feasible Management Consulting</w:t>
            </w:r>
          </w:p>
        </w:tc>
        <w:tc>
          <w:tcPr>
            <w:tcW w:w="0" w:type="dxa"/>
            <w:vAlign w:val="bottom"/>
          </w:tcPr>
          <w:p>
            <w:pPr>
              <w:spacing w:after="0"/>
              <w:rPr>
                <w:sz w:val="1"/>
                <w:szCs w:val="1"/>
                <w:color w:val="auto"/>
              </w:rPr>
            </w:pPr>
          </w:p>
        </w:tc>
      </w:tr>
      <w:tr>
        <w:trPr>
          <w:trHeight w:val="88"/>
        </w:trPr>
        <w:tc>
          <w:tcPr>
            <w:tcW w:w="3320" w:type="dxa"/>
            <w:vAlign w:val="bottom"/>
            <w:tcBorders>
              <w:left w:val="single" w:sz="8" w:color="181818"/>
            </w:tcBorders>
            <w:vMerge w:val="restart"/>
          </w:tcPr>
          <w:p>
            <w:pPr>
              <w:ind w:left="1320"/>
              <w:spacing w:after="0"/>
              <w:rPr>
                <w:sz w:val="20"/>
                <w:szCs w:val="20"/>
                <w:color w:val="auto"/>
              </w:rPr>
            </w:pPr>
            <w:r>
              <w:rPr>
                <w:rFonts w:ascii="Arial" w:cs="Arial" w:eastAsia="Arial" w:hAnsi="Arial"/>
                <w:sz w:val="14"/>
                <w:szCs w:val="14"/>
                <w:b w:val="1"/>
                <w:bCs w:val="1"/>
                <w:color w:val="09314A"/>
              </w:rPr>
              <w:t>INDEPENDENT</w:t>
            </w: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5240" w:type="dxa"/>
            <w:vAlign w:val="bottom"/>
            <w:tcBorders>
              <w:right w:val="single" w:sz="8" w:color="18181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3320" w:type="dxa"/>
            <w:vAlign w:val="bottom"/>
            <w:tcBorders>
              <w:left w:val="single" w:sz="8" w:color="181818"/>
            </w:tcBorders>
            <w:vMerge w:val="continue"/>
          </w:tcPr>
          <w:p>
            <w:pPr>
              <w:spacing w:after="0"/>
              <w:rPr>
                <w:sz w:val="12"/>
                <w:szCs w:val="12"/>
                <w:color w:val="auto"/>
              </w:rPr>
            </w:pPr>
          </w:p>
        </w:tc>
        <w:tc>
          <w:tcPr>
            <w:tcW w:w="1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40" w:type="dxa"/>
            <w:vAlign w:val="bottom"/>
            <w:tcBorders>
              <w:right w:val="single" w:sz="8" w:color="181818"/>
            </w:tcBorders>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3320" w:type="dxa"/>
            <w:vAlign w:val="bottom"/>
            <w:tcBorders>
              <w:left w:val="single" w:sz="8" w:color="181818"/>
              <w:bottom w:val="single" w:sz="8" w:color="181818"/>
            </w:tcBorders>
          </w:tcPr>
          <w:p>
            <w:pPr>
              <w:spacing w:after="0"/>
              <w:rPr>
                <w:sz w:val="18"/>
                <w:szCs w:val="18"/>
                <w:color w:val="auto"/>
              </w:rPr>
            </w:pPr>
          </w:p>
        </w:tc>
        <w:tc>
          <w:tcPr>
            <w:tcW w:w="1180" w:type="dxa"/>
            <w:vAlign w:val="bottom"/>
            <w:tcBorders>
              <w:bottom w:val="single" w:sz="8" w:color="181818"/>
            </w:tcBorders>
          </w:tcPr>
          <w:p>
            <w:pPr>
              <w:spacing w:after="0"/>
              <w:rPr>
                <w:sz w:val="18"/>
                <w:szCs w:val="18"/>
                <w:color w:val="auto"/>
              </w:rPr>
            </w:pPr>
          </w:p>
        </w:tc>
        <w:tc>
          <w:tcPr>
            <w:tcW w:w="1540" w:type="dxa"/>
            <w:vAlign w:val="bottom"/>
            <w:tcBorders>
              <w:bottom w:val="single" w:sz="8" w:color="181818"/>
            </w:tcBorders>
          </w:tcPr>
          <w:p>
            <w:pPr>
              <w:spacing w:after="0"/>
              <w:rPr>
                <w:sz w:val="18"/>
                <w:szCs w:val="18"/>
                <w:color w:val="auto"/>
              </w:rPr>
            </w:pPr>
          </w:p>
        </w:tc>
        <w:tc>
          <w:tcPr>
            <w:tcW w:w="5240" w:type="dxa"/>
            <w:vAlign w:val="bottom"/>
            <w:tcBorders>
              <w:bottom w:val="single" w:sz="8" w:color="181818"/>
              <w:right w:val="single" w:sz="8" w:color="181818"/>
            </w:tcBorders>
          </w:tcPr>
          <w:p>
            <w:pPr>
              <w:spacing w:after="0"/>
              <w:rPr>
                <w:sz w:val="18"/>
                <w:szCs w:val="18"/>
                <w:color w:val="auto"/>
              </w:rPr>
            </w:pPr>
          </w:p>
        </w:tc>
        <w:tc>
          <w:tcPr>
            <w:tcW w:w="0" w:type="dxa"/>
            <w:vAlign w:val="bottom"/>
          </w:tcPr>
          <w:p>
            <w:pPr>
              <w:spacing w:after="0"/>
              <w:rPr>
                <w:sz w:val="1"/>
                <w:szCs w:val="1"/>
                <w:color w:val="auto"/>
              </w:rPr>
            </w:pPr>
          </w:p>
        </w:tc>
      </w:tr>
      <w:tr>
        <w:trPr>
          <w:trHeight w:val="912"/>
        </w:trPr>
        <w:tc>
          <w:tcPr>
            <w:tcW w:w="3320" w:type="dxa"/>
            <w:vAlign w:val="bottom"/>
            <w:tcBorders>
              <w:bottom w:val="single" w:sz="8" w:color="181818"/>
            </w:tcBorders>
          </w:tcPr>
          <w:p>
            <w:pPr>
              <w:spacing w:after="0"/>
              <w:rPr>
                <w:sz w:val="24"/>
                <w:szCs w:val="24"/>
                <w:color w:val="auto"/>
              </w:rPr>
            </w:pPr>
          </w:p>
        </w:tc>
        <w:tc>
          <w:tcPr>
            <w:tcW w:w="1180" w:type="dxa"/>
            <w:vAlign w:val="bottom"/>
            <w:tcBorders>
              <w:bottom w:val="single" w:sz="8" w:color="181818"/>
            </w:tcBorders>
          </w:tcPr>
          <w:p>
            <w:pPr>
              <w:spacing w:after="0"/>
              <w:rPr>
                <w:sz w:val="24"/>
                <w:szCs w:val="24"/>
                <w:color w:val="auto"/>
              </w:rPr>
            </w:pPr>
          </w:p>
        </w:tc>
        <w:tc>
          <w:tcPr>
            <w:tcW w:w="1540" w:type="dxa"/>
            <w:vAlign w:val="bottom"/>
            <w:tcBorders>
              <w:bottom w:val="single" w:sz="8" w:color="181818"/>
            </w:tcBorders>
          </w:tcPr>
          <w:p>
            <w:pPr>
              <w:spacing w:after="0"/>
              <w:rPr>
                <w:sz w:val="24"/>
                <w:szCs w:val="24"/>
                <w:color w:val="auto"/>
              </w:rPr>
            </w:pPr>
          </w:p>
        </w:tc>
        <w:tc>
          <w:tcPr>
            <w:tcW w:w="5240" w:type="dxa"/>
            <w:vAlign w:val="bottom"/>
            <w:tcBorders>
              <w:bottom w:val="single" w:sz="8" w:color="181818"/>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Arial" w:cs="Arial" w:eastAsia="Arial" w:hAnsi="Arial"/>
                <w:sz w:val="14"/>
                <w:szCs w:val="14"/>
                <w:color w:val="09314A"/>
              </w:rPr>
              <w:t xml:space="preserve">4 </w:t>
            </w:r>
            <w:r>
              <w:rPr>
                <w:rFonts w:ascii="Arial" w:cs="Arial" w:eastAsia="Arial" w:hAnsi="Arial"/>
                <w:sz w:val="14"/>
                <w:szCs w:val="14"/>
                <w:b w:val="1"/>
                <w:bCs w:val="1"/>
                <w:color w:val="09314A"/>
              </w:rPr>
              <w:t>2026 PROXY STATEMENT</w:t>
            </w: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240" w:type="dxa"/>
            <w:vAlign w:val="bottom"/>
          </w:tcPr>
          <w:p>
            <w:pPr>
              <w:ind w:left="4240"/>
              <w:spacing w:after="0"/>
              <w:rPr>
                <w:sz w:val="20"/>
                <w:szCs w:val="20"/>
                <w:color w:val="auto"/>
              </w:rPr>
            </w:pPr>
            <w:r>
              <w:rPr>
                <w:rFonts w:ascii="Arial" w:cs="Arial" w:eastAsia="Arial" w:hAnsi="Arial"/>
                <w:sz w:val="14"/>
                <w:szCs w:val="14"/>
                <w:b w:val="1"/>
                <w:bCs w:val="1"/>
                <w:color w:val="09314A"/>
              </w:rPr>
              <w:t>ANTERIX INC.</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52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-4893945</wp:posOffset>
            </wp:positionV>
            <wp:extent cx="436880"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6880" cy="445770"/>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-4311015</wp:posOffset>
            </wp:positionV>
            <wp:extent cx="436880" cy="44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6880" cy="445770"/>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-3728085</wp:posOffset>
            </wp:positionV>
            <wp:extent cx="436880" cy="445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6880" cy="445770"/>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-3154045</wp:posOffset>
            </wp:positionV>
            <wp:extent cx="436880"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6880" cy="445770"/>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-2571115</wp:posOffset>
            </wp:positionV>
            <wp:extent cx="436880" cy="445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6880" cy="445770"/>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-1988185</wp:posOffset>
            </wp:positionV>
            <wp:extent cx="436880" cy="445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6880" cy="445770"/>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-1413510</wp:posOffset>
            </wp:positionV>
            <wp:extent cx="436880" cy="445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6880" cy="445770"/>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Executive Compensation Highlights</w:t>
      </w:r>
    </w:p>
    <w:p>
      <w:pPr>
        <w:spacing w:after="0" w:line="123" w:lineRule="exact"/>
        <w:rPr>
          <w:sz w:val="20"/>
          <w:szCs w:val="20"/>
          <w:color w:val="auto"/>
        </w:rPr>
      </w:pPr>
    </w:p>
    <w:p>
      <w:pPr>
        <w:jc w:val="both"/>
        <w:spacing w:after="0" w:line="349" w:lineRule="auto"/>
        <w:rPr>
          <w:sz w:val="20"/>
          <w:szCs w:val="20"/>
          <w:color w:val="auto"/>
        </w:rPr>
      </w:pPr>
      <w:r>
        <w:rPr>
          <w:rFonts w:ascii="Arial" w:cs="Arial" w:eastAsia="Arial" w:hAnsi="Arial"/>
          <w:sz w:val="16"/>
          <w:szCs w:val="16"/>
          <w:color w:val="auto"/>
        </w:rPr>
        <w:t>Our Compensation Committee regularly reviews best practices in governance and executive compensation. The following is a summary of the executive compensation practices utilized by the Compensation Committee to tie compensation to company performance and serve our stockholders’ long-term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157720" cy="2297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2297430"/>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What We Do</w:t>
      </w:r>
    </w:p>
    <w:p>
      <w:pPr>
        <w:spacing w:after="0" w:line="102" w:lineRule="exact"/>
        <w:rPr>
          <w:sz w:val="20"/>
          <w:szCs w:val="20"/>
          <w:color w:val="auto"/>
        </w:rPr>
      </w:pPr>
    </w:p>
    <w:p>
      <w:pPr>
        <w:ind w:left="540" w:hanging="340"/>
        <w:spacing w:after="0"/>
        <w:tabs>
          <w:tab w:leader="none" w:pos="540" w:val="left"/>
        </w:tabs>
        <w:numPr>
          <w:ilvl w:val="0"/>
          <w:numId w:val="12"/>
        </w:numPr>
        <w:rPr>
          <w:rFonts w:ascii="Arial" w:cs="Arial" w:eastAsia="Arial" w:hAnsi="Arial"/>
          <w:sz w:val="20"/>
          <w:szCs w:val="20"/>
          <w:b w:val="1"/>
          <w:bCs w:val="1"/>
          <w:color w:val="1B6F80"/>
        </w:rPr>
      </w:pPr>
      <w:r>
        <w:rPr>
          <w:rFonts w:ascii="Arial" w:cs="Arial" w:eastAsia="Arial" w:hAnsi="Arial"/>
          <w:sz w:val="14"/>
          <w:szCs w:val="14"/>
          <w:color w:val="auto"/>
        </w:rPr>
        <w:t>Annual Bonus Tied to Performance</w:t>
      </w:r>
    </w:p>
    <w:p>
      <w:pPr>
        <w:spacing w:after="0" w:line="53" w:lineRule="exact"/>
        <w:rPr>
          <w:rFonts w:ascii="Arial" w:cs="Arial" w:eastAsia="Arial" w:hAnsi="Arial"/>
          <w:sz w:val="20"/>
          <w:szCs w:val="20"/>
          <w:b w:val="1"/>
          <w:bCs w:val="1"/>
          <w:color w:val="1B6F80"/>
        </w:rPr>
      </w:pPr>
    </w:p>
    <w:p>
      <w:pPr>
        <w:ind w:left="540" w:hanging="340"/>
        <w:spacing w:after="0"/>
        <w:tabs>
          <w:tab w:leader="none" w:pos="540" w:val="left"/>
        </w:tabs>
        <w:numPr>
          <w:ilvl w:val="0"/>
          <w:numId w:val="12"/>
        </w:numPr>
        <w:rPr>
          <w:rFonts w:ascii="Arial" w:cs="Arial" w:eastAsia="Arial" w:hAnsi="Arial"/>
          <w:sz w:val="20"/>
          <w:szCs w:val="20"/>
          <w:b w:val="1"/>
          <w:bCs w:val="1"/>
          <w:color w:val="1B6F80"/>
        </w:rPr>
      </w:pPr>
      <w:r>
        <w:rPr>
          <w:rFonts w:ascii="Arial" w:cs="Arial" w:eastAsia="Arial" w:hAnsi="Arial"/>
          <w:sz w:val="14"/>
          <w:szCs w:val="14"/>
          <w:color w:val="auto"/>
        </w:rPr>
        <w:t>Double-trigger Vesting of Equity Awards with CIC</w:t>
      </w:r>
    </w:p>
    <w:p>
      <w:pPr>
        <w:spacing w:after="0" w:line="53" w:lineRule="exact"/>
        <w:rPr>
          <w:rFonts w:ascii="Arial" w:cs="Arial" w:eastAsia="Arial" w:hAnsi="Arial"/>
          <w:sz w:val="20"/>
          <w:szCs w:val="20"/>
          <w:b w:val="1"/>
          <w:bCs w:val="1"/>
          <w:color w:val="1B6F80"/>
        </w:rPr>
      </w:pPr>
    </w:p>
    <w:p>
      <w:pPr>
        <w:ind w:left="540" w:hanging="340"/>
        <w:spacing w:after="0"/>
        <w:tabs>
          <w:tab w:leader="none" w:pos="540" w:val="left"/>
        </w:tabs>
        <w:numPr>
          <w:ilvl w:val="0"/>
          <w:numId w:val="12"/>
        </w:numPr>
        <w:rPr>
          <w:rFonts w:ascii="Arial" w:cs="Arial" w:eastAsia="Arial" w:hAnsi="Arial"/>
          <w:sz w:val="20"/>
          <w:szCs w:val="20"/>
          <w:b w:val="1"/>
          <w:bCs w:val="1"/>
          <w:color w:val="1B6F80"/>
        </w:rPr>
      </w:pPr>
      <w:r>
        <w:rPr>
          <w:rFonts w:ascii="Arial" w:cs="Arial" w:eastAsia="Arial" w:hAnsi="Arial"/>
          <w:sz w:val="14"/>
          <w:szCs w:val="14"/>
          <w:color w:val="auto"/>
        </w:rPr>
        <w:t>Peer Group Used to Inform Pay Practices</w:t>
      </w:r>
    </w:p>
    <w:p>
      <w:pPr>
        <w:spacing w:after="0" w:line="53" w:lineRule="exact"/>
        <w:rPr>
          <w:rFonts w:ascii="Arial" w:cs="Arial" w:eastAsia="Arial" w:hAnsi="Arial"/>
          <w:sz w:val="20"/>
          <w:szCs w:val="20"/>
          <w:b w:val="1"/>
          <w:bCs w:val="1"/>
          <w:color w:val="1B6F80"/>
        </w:rPr>
      </w:pPr>
    </w:p>
    <w:p>
      <w:pPr>
        <w:ind w:left="540" w:hanging="340"/>
        <w:spacing w:after="0"/>
        <w:tabs>
          <w:tab w:leader="none" w:pos="540" w:val="left"/>
        </w:tabs>
        <w:numPr>
          <w:ilvl w:val="0"/>
          <w:numId w:val="12"/>
        </w:numPr>
        <w:rPr>
          <w:rFonts w:ascii="Arial" w:cs="Arial" w:eastAsia="Arial" w:hAnsi="Arial"/>
          <w:sz w:val="20"/>
          <w:szCs w:val="20"/>
          <w:b w:val="1"/>
          <w:bCs w:val="1"/>
          <w:color w:val="1B6F80"/>
        </w:rPr>
      </w:pPr>
      <w:r>
        <w:rPr>
          <w:rFonts w:ascii="Arial" w:cs="Arial" w:eastAsia="Arial" w:hAnsi="Arial"/>
          <w:sz w:val="14"/>
          <w:szCs w:val="14"/>
          <w:color w:val="auto"/>
        </w:rPr>
        <w:t>Independent Compensation Committee</w:t>
      </w:r>
    </w:p>
    <w:p>
      <w:pPr>
        <w:spacing w:after="0" w:line="53" w:lineRule="exact"/>
        <w:rPr>
          <w:rFonts w:ascii="Arial" w:cs="Arial" w:eastAsia="Arial" w:hAnsi="Arial"/>
          <w:sz w:val="20"/>
          <w:szCs w:val="20"/>
          <w:b w:val="1"/>
          <w:bCs w:val="1"/>
          <w:color w:val="1B6F80"/>
        </w:rPr>
      </w:pPr>
    </w:p>
    <w:p>
      <w:pPr>
        <w:ind w:left="540" w:hanging="340"/>
        <w:spacing w:after="0"/>
        <w:tabs>
          <w:tab w:leader="none" w:pos="540" w:val="left"/>
        </w:tabs>
        <w:numPr>
          <w:ilvl w:val="0"/>
          <w:numId w:val="12"/>
        </w:numPr>
        <w:rPr>
          <w:rFonts w:ascii="Arial" w:cs="Arial" w:eastAsia="Arial" w:hAnsi="Arial"/>
          <w:sz w:val="20"/>
          <w:szCs w:val="20"/>
          <w:b w:val="1"/>
          <w:bCs w:val="1"/>
          <w:color w:val="1B6F80"/>
        </w:rPr>
      </w:pPr>
      <w:r>
        <w:rPr>
          <w:rFonts w:ascii="Arial" w:cs="Arial" w:eastAsia="Arial" w:hAnsi="Arial"/>
          <w:sz w:val="14"/>
          <w:szCs w:val="14"/>
          <w:color w:val="auto"/>
        </w:rPr>
        <w:t>Prohibit Hedging or Pledging Stock</w:t>
      </w:r>
    </w:p>
    <w:p>
      <w:pPr>
        <w:spacing w:after="0" w:line="62" w:lineRule="exact"/>
        <w:rPr>
          <w:rFonts w:ascii="Arial" w:cs="Arial" w:eastAsia="Arial" w:hAnsi="Arial"/>
          <w:sz w:val="20"/>
          <w:szCs w:val="20"/>
          <w:b w:val="1"/>
          <w:bCs w:val="1"/>
          <w:color w:val="1B6F80"/>
        </w:rPr>
      </w:pPr>
    </w:p>
    <w:p>
      <w:pPr>
        <w:ind w:left="540" w:right="200" w:hanging="340"/>
        <w:spacing w:after="0" w:line="183" w:lineRule="auto"/>
        <w:tabs>
          <w:tab w:leader="none" w:pos="540" w:val="left"/>
        </w:tabs>
        <w:numPr>
          <w:ilvl w:val="0"/>
          <w:numId w:val="12"/>
        </w:numPr>
        <w:rPr>
          <w:rFonts w:ascii="Arial" w:cs="Arial" w:eastAsia="Arial" w:hAnsi="Arial"/>
          <w:sz w:val="30"/>
          <w:szCs w:val="30"/>
          <w:b w:val="1"/>
          <w:bCs w:val="1"/>
          <w:color w:val="1B6F80"/>
          <w:vertAlign w:val="subscript"/>
        </w:rPr>
      </w:pPr>
      <w:r>
        <w:rPr>
          <w:rFonts w:ascii="Arial" w:cs="Arial" w:eastAsia="Arial" w:hAnsi="Arial"/>
          <w:sz w:val="12"/>
          <w:szCs w:val="12"/>
          <w:color w:val="auto"/>
        </w:rPr>
        <w:t>Engage Key Stockholders to Design Compensation Program to Drive Stockholder Value</w:t>
      </w:r>
    </w:p>
    <w:p>
      <w:pPr>
        <w:spacing w:after="0" w:line="28" w:lineRule="exact"/>
        <w:rPr>
          <w:rFonts w:ascii="Arial" w:cs="Arial" w:eastAsia="Arial" w:hAnsi="Arial"/>
          <w:sz w:val="30"/>
          <w:szCs w:val="30"/>
          <w:b w:val="1"/>
          <w:bCs w:val="1"/>
          <w:color w:val="1B6F80"/>
          <w:vertAlign w:val="subscript"/>
        </w:rPr>
      </w:pPr>
    </w:p>
    <w:p>
      <w:pPr>
        <w:ind w:left="540" w:hanging="340"/>
        <w:spacing w:after="0"/>
        <w:tabs>
          <w:tab w:leader="none" w:pos="540" w:val="left"/>
        </w:tabs>
        <w:numPr>
          <w:ilvl w:val="0"/>
          <w:numId w:val="12"/>
        </w:numPr>
        <w:rPr>
          <w:rFonts w:ascii="Arial" w:cs="Arial" w:eastAsia="Arial" w:hAnsi="Arial"/>
          <w:sz w:val="20"/>
          <w:szCs w:val="20"/>
          <w:b w:val="1"/>
          <w:bCs w:val="1"/>
          <w:color w:val="1B6F80"/>
        </w:rPr>
      </w:pPr>
      <w:r>
        <w:rPr>
          <w:rFonts w:ascii="Arial" w:cs="Arial" w:eastAsia="Arial" w:hAnsi="Arial"/>
          <w:sz w:val="14"/>
          <w:szCs w:val="14"/>
          <w:color w:val="auto"/>
        </w:rPr>
        <w:t>Annual Compensation Risk Assessment</w:t>
      </w:r>
    </w:p>
    <w:p>
      <w:pPr>
        <w:spacing w:after="0" w:line="55" w:lineRule="exact"/>
        <w:rPr>
          <w:rFonts w:ascii="Arial" w:cs="Arial" w:eastAsia="Arial" w:hAnsi="Arial"/>
          <w:sz w:val="20"/>
          <w:szCs w:val="20"/>
          <w:b w:val="1"/>
          <w:bCs w:val="1"/>
          <w:color w:val="1B6F80"/>
        </w:rPr>
      </w:pPr>
    </w:p>
    <w:p>
      <w:pPr>
        <w:ind w:left="540" w:hanging="340"/>
        <w:spacing w:after="0" w:line="238" w:lineRule="auto"/>
        <w:tabs>
          <w:tab w:leader="none" w:pos="540" w:val="left"/>
        </w:tabs>
        <w:numPr>
          <w:ilvl w:val="0"/>
          <w:numId w:val="12"/>
        </w:numPr>
        <w:rPr>
          <w:rFonts w:ascii="Arial" w:cs="Arial" w:eastAsia="Arial" w:hAnsi="Arial"/>
          <w:sz w:val="20"/>
          <w:szCs w:val="20"/>
          <w:b w:val="1"/>
          <w:bCs w:val="1"/>
          <w:color w:val="1B6F80"/>
        </w:rPr>
      </w:pPr>
      <w:r>
        <w:rPr>
          <w:rFonts w:ascii="Arial" w:cs="Arial" w:eastAsia="Arial" w:hAnsi="Arial"/>
          <w:sz w:val="14"/>
          <w:szCs w:val="14"/>
          <w:color w:val="auto"/>
        </w:rPr>
        <w:t>Stock Ownership Guidelines for Directors and Executives</w:t>
      </w:r>
    </w:p>
    <w:p>
      <w:pPr>
        <w:spacing w:after="0" w:line="41" w:lineRule="exact"/>
        <w:rPr>
          <w:rFonts w:ascii="Arial" w:cs="Arial" w:eastAsia="Arial" w:hAnsi="Arial"/>
          <w:sz w:val="20"/>
          <w:szCs w:val="20"/>
          <w:b w:val="1"/>
          <w:bCs w:val="1"/>
          <w:color w:val="1B6F80"/>
        </w:rPr>
      </w:pPr>
    </w:p>
    <w:p>
      <w:pPr>
        <w:ind w:left="540" w:hanging="340"/>
        <w:spacing w:after="0" w:line="238" w:lineRule="auto"/>
        <w:tabs>
          <w:tab w:leader="none" w:pos="540" w:val="left"/>
        </w:tabs>
        <w:numPr>
          <w:ilvl w:val="0"/>
          <w:numId w:val="12"/>
        </w:numPr>
        <w:rPr>
          <w:rFonts w:ascii="Arial" w:cs="Arial" w:eastAsia="Arial" w:hAnsi="Arial"/>
          <w:sz w:val="20"/>
          <w:szCs w:val="20"/>
          <w:b w:val="1"/>
          <w:bCs w:val="1"/>
          <w:color w:val="1B6F80"/>
        </w:rPr>
      </w:pPr>
      <w:r>
        <w:rPr>
          <w:rFonts w:ascii="Arial" w:cs="Arial" w:eastAsia="Arial" w:hAnsi="Arial"/>
          <w:sz w:val="14"/>
          <w:szCs w:val="14"/>
          <w:color w:val="auto"/>
        </w:rPr>
        <w:t>Grant Equity Awards to Incentivize Long-term Growth</w:t>
      </w:r>
    </w:p>
    <w:p>
      <w:pPr>
        <w:spacing w:after="0" w:line="41" w:lineRule="exact"/>
        <w:rPr>
          <w:rFonts w:ascii="Arial" w:cs="Arial" w:eastAsia="Arial" w:hAnsi="Arial"/>
          <w:sz w:val="20"/>
          <w:szCs w:val="20"/>
          <w:b w:val="1"/>
          <w:bCs w:val="1"/>
          <w:color w:val="1B6F80"/>
        </w:rPr>
      </w:pPr>
    </w:p>
    <w:p>
      <w:pPr>
        <w:ind w:left="540" w:hanging="340"/>
        <w:spacing w:after="0" w:line="224" w:lineRule="auto"/>
        <w:tabs>
          <w:tab w:leader="none" w:pos="540" w:val="left"/>
        </w:tabs>
        <w:numPr>
          <w:ilvl w:val="0"/>
          <w:numId w:val="12"/>
        </w:numPr>
        <w:rPr>
          <w:rFonts w:ascii="Arial" w:cs="Arial" w:eastAsia="Arial" w:hAnsi="Arial"/>
          <w:sz w:val="20"/>
          <w:szCs w:val="20"/>
          <w:b w:val="1"/>
          <w:bCs w:val="1"/>
          <w:color w:val="1B6F80"/>
        </w:rPr>
      </w:pPr>
      <w:r>
        <w:rPr>
          <w:rFonts w:ascii="Arial" w:cs="Arial" w:eastAsia="Arial" w:hAnsi="Arial"/>
          <w:sz w:val="14"/>
          <w:szCs w:val="14"/>
          <w:color w:val="auto"/>
        </w:rPr>
        <w:t>Robust Executive Clawback Policy</w:t>
      </w:r>
    </w:p>
    <w:p>
      <w:pPr>
        <w:spacing w:after="0" w:line="62" w:lineRule="exact"/>
        <w:rPr>
          <w:rFonts w:ascii="Arial" w:cs="Arial" w:eastAsia="Arial" w:hAnsi="Arial"/>
          <w:sz w:val="20"/>
          <w:szCs w:val="20"/>
          <w:b w:val="1"/>
          <w:bCs w:val="1"/>
          <w:color w:val="1B6F80"/>
        </w:rPr>
      </w:pPr>
    </w:p>
    <w:p>
      <w:pPr>
        <w:ind w:left="540" w:right="100" w:hanging="340"/>
        <w:spacing w:after="0" w:line="183" w:lineRule="auto"/>
        <w:tabs>
          <w:tab w:leader="none" w:pos="540" w:val="left"/>
        </w:tabs>
        <w:numPr>
          <w:ilvl w:val="0"/>
          <w:numId w:val="12"/>
        </w:numPr>
        <w:rPr>
          <w:rFonts w:ascii="Arial" w:cs="Arial" w:eastAsia="Arial" w:hAnsi="Arial"/>
          <w:sz w:val="30"/>
          <w:szCs w:val="30"/>
          <w:b w:val="1"/>
          <w:bCs w:val="1"/>
          <w:color w:val="1B6F80"/>
          <w:vertAlign w:val="subscript"/>
        </w:rPr>
      </w:pPr>
      <w:r>
        <w:rPr>
          <w:rFonts w:ascii="Arial" w:cs="Arial" w:eastAsia="Arial" w:hAnsi="Arial"/>
          <w:sz w:val="12"/>
          <w:szCs w:val="12"/>
          <w:color w:val="auto"/>
        </w:rPr>
        <w:t>Long-Term Equity Incentive Awards to Promote Retention and Superior Performance</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What We Don't Do</w:t>
      </w:r>
    </w:p>
    <w:p>
      <w:pPr>
        <w:spacing w:after="0" w:line="79" w:lineRule="exact"/>
        <w:rPr>
          <w:sz w:val="20"/>
          <w:szCs w:val="20"/>
          <w:color w:val="auto"/>
        </w:rPr>
      </w:pPr>
    </w:p>
    <w:p>
      <w:pPr>
        <w:ind w:left="420" w:hanging="337"/>
        <w:spacing w:after="0"/>
        <w:tabs>
          <w:tab w:leader="none" w:pos="420" w:val="left"/>
        </w:tabs>
        <w:numPr>
          <w:ilvl w:val="0"/>
          <w:numId w:val="13"/>
        </w:numPr>
        <w:rPr>
          <w:rFonts w:ascii="Arial" w:cs="Arial" w:eastAsia="Arial" w:hAnsi="Arial"/>
          <w:sz w:val="22"/>
          <w:szCs w:val="22"/>
          <w:b w:val="1"/>
          <w:bCs w:val="1"/>
          <w:color w:val="09314A"/>
        </w:rPr>
      </w:pPr>
      <w:r>
        <w:rPr>
          <w:rFonts w:ascii="Arial" w:cs="Arial" w:eastAsia="Arial" w:hAnsi="Arial"/>
          <w:sz w:val="14"/>
          <w:szCs w:val="14"/>
          <w:color w:val="auto"/>
        </w:rPr>
        <w:t>Liberal Recycling of Equity Awards</w:t>
      </w:r>
    </w:p>
    <w:p>
      <w:pPr>
        <w:spacing w:after="0" w:line="47" w:lineRule="exact"/>
        <w:rPr>
          <w:rFonts w:ascii="Arial" w:cs="Arial" w:eastAsia="Arial" w:hAnsi="Arial"/>
          <w:sz w:val="22"/>
          <w:szCs w:val="22"/>
          <w:b w:val="1"/>
          <w:bCs w:val="1"/>
          <w:color w:val="09314A"/>
        </w:rPr>
      </w:pPr>
    </w:p>
    <w:p>
      <w:pPr>
        <w:ind w:left="420" w:hanging="337"/>
        <w:spacing w:after="0" w:line="223" w:lineRule="auto"/>
        <w:tabs>
          <w:tab w:leader="none" w:pos="420" w:val="left"/>
        </w:tabs>
        <w:numPr>
          <w:ilvl w:val="0"/>
          <w:numId w:val="13"/>
        </w:numPr>
        <w:rPr>
          <w:rFonts w:ascii="Arial" w:cs="Arial" w:eastAsia="Arial" w:hAnsi="Arial"/>
          <w:sz w:val="22"/>
          <w:szCs w:val="22"/>
          <w:b w:val="1"/>
          <w:bCs w:val="1"/>
          <w:color w:val="09314A"/>
        </w:rPr>
      </w:pPr>
      <w:r>
        <w:rPr>
          <w:rFonts w:ascii="Arial" w:cs="Arial" w:eastAsia="Arial" w:hAnsi="Arial"/>
          <w:sz w:val="14"/>
          <w:szCs w:val="14"/>
          <w:color w:val="auto"/>
        </w:rPr>
        <w:t>Tax Gross Ups</w:t>
      </w:r>
    </w:p>
    <w:p>
      <w:pPr>
        <w:spacing w:after="0" w:line="48" w:lineRule="exact"/>
        <w:rPr>
          <w:rFonts w:ascii="Arial" w:cs="Arial" w:eastAsia="Arial" w:hAnsi="Arial"/>
          <w:sz w:val="22"/>
          <w:szCs w:val="22"/>
          <w:b w:val="1"/>
          <w:bCs w:val="1"/>
          <w:color w:val="09314A"/>
        </w:rPr>
      </w:pPr>
    </w:p>
    <w:p>
      <w:pPr>
        <w:ind w:left="420" w:hanging="337"/>
        <w:spacing w:after="0" w:line="223" w:lineRule="auto"/>
        <w:tabs>
          <w:tab w:leader="none" w:pos="420" w:val="left"/>
        </w:tabs>
        <w:numPr>
          <w:ilvl w:val="0"/>
          <w:numId w:val="13"/>
        </w:numPr>
        <w:rPr>
          <w:rFonts w:ascii="Arial" w:cs="Arial" w:eastAsia="Arial" w:hAnsi="Arial"/>
          <w:sz w:val="22"/>
          <w:szCs w:val="22"/>
          <w:b w:val="1"/>
          <w:bCs w:val="1"/>
          <w:color w:val="09314A"/>
        </w:rPr>
      </w:pPr>
      <w:r>
        <w:rPr>
          <w:rFonts w:ascii="Arial" w:cs="Arial" w:eastAsia="Arial" w:hAnsi="Arial"/>
          <w:sz w:val="14"/>
          <w:szCs w:val="14"/>
          <w:color w:val="auto"/>
        </w:rPr>
        <w:t>Evergreen Provision in Stock Plan</w:t>
      </w:r>
    </w:p>
    <w:p>
      <w:pPr>
        <w:spacing w:after="0" w:line="48" w:lineRule="exact"/>
        <w:rPr>
          <w:rFonts w:ascii="Arial" w:cs="Arial" w:eastAsia="Arial" w:hAnsi="Arial"/>
          <w:sz w:val="22"/>
          <w:szCs w:val="22"/>
          <w:b w:val="1"/>
          <w:bCs w:val="1"/>
          <w:color w:val="09314A"/>
        </w:rPr>
      </w:pPr>
    </w:p>
    <w:p>
      <w:pPr>
        <w:ind w:left="420" w:hanging="337"/>
        <w:spacing w:after="0" w:line="223" w:lineRule="auto"/>
        <w:tabs>
          <w:tab w:leader="none" w:pos="420" w:val="left"/>
        </w:tabs>
        <w:numPr>
          <w:ilvl w:val="0"/>
          <w:numId w:val="13"/>
        </w:numPr>
        <w:rPr>
          <w:rFonts w:ascii="Arial" w:cs="Arial" w:eastAsia="Arial" w:hAnsi="Arial"/>
          <w:sz w:val="22"/>
          <w:szCs w:val="22"/>
          <w:b w:val="1"/>
          <w:bCs w:val="1"/>
          <w:color w:val="09314A"/>
        </w:rPr>
      </w:pPr>
      <w:r>
        <w:rPr>
          <w:rFonts w:ascii="Arial" w:cs="Arial" w:eastAsia="Arial" w:hAnsi="Arial"/>
          <w:sz w:val="14"/>
          <w:szCs w:val="14"/>
          <w:color w:val="auto"/>
        </w:rPr>
        <w:t>Multi-Year Guaranteed Bonuses</w:t>
      </w:r>
    </w:p>
    <w:p>
      <w:pPr>
        <w:spacing w:after="0" w:line="48" w:lineRule="exact"/>
        <w:rPr>
          <w:rFonts w:ascii="Arial" w:cs="Arial" w:eastAsia="Arial" w:hAnsi="Arial"/>
          <w:sz w:val="22"/>
          <w:szCs w:val="22"/>
          <w:b w:val="1"/>
          <w:bCs w:val="1"/>
          <w:color w:val="09314A"/>
        </w:rPr>
      </w:pPr>
    </w:p>
    <w:p>
      <w:pPr>
        <w:ind w:left="420" w:hanging="337"/>
        <w:spacing w:after="0" w:line="223" w:lineRule="auto"/>
        <w:tabs>
          <w:tab w:leader="none" w:pos="420" w:val="left"/>
        </w:tabs>
        <w:numPr>
          <w:ilvl w:val="0"/>
          <w:numId w:val="13"/>
        </w:numPr>
        <w:rPr>
          <w:rFonts w:ascii="Arial" w:cs="Arial" w:eastAsia="Arial" w:hAnsi="Arial"/>
          <w:sz w:val="22"/>
          <w:szCs w:val="22"/>
          <w:b w:val="1"/>
          <w:bCs w:val="1"/>
          <w:color w:val="09314A"/>
        </w:rPr>
      </w:pPr>
      <w:r>
        <w:rPr>
          <w:rFonts w:ascii="Arial" w:cs="Arial" w:eastAsia="Arial" w:hAnsi="Arial"/>
          <w:sz w:val="14"/>
          <w:szCs w:val="14"/>
          <w:color w:val="auto"/>
        </w:rPr>
        <w:t>Guaranteed Term Employment Agreements</w:t>
      </w:r>
    </w:p>
    <w:p>
      <w:pPr>
        <w:spacing w:after="0" w:line="98" w:lineRule="exact"/>
        <w:rPr>
          <w:rFonts w:ascii="Arial" w:cs="Arial" w:eastAsia="Arial" w:hAnsi="Arial"/>
          <w:sz w:val="22"/>
          <w:szCs w:val="22"/>
          <w:b w:val="1"/>
          <w:bCs w:val="1"/>
          <w:color w:val="09314A"/>
        </w:rPr>
      </w:pPr>
    </w:p>
    <w:p>
      <w:pPr>
        <w:ind w:left="420" w:hanging="337"/>
        <w:spacing w:after="0"/>
        <w:tabs>
          <w:tab w:leader="none" w:pos="420" w:val="left"/>
        </w:tabs>
        <w:numPr>
          <w:ilvl w:val="0"/>
          <w:numId w:val="13"/>
        </w:numPr>
        <w:rPr>
          <w:rFonts w:ascii="Arial" w:cs="Arial" w:eastAsia="Arial" w:hAnsi="Arial"/>
          <w:sz w:val="22"/>
          <w:szCs w:val="22"/>
          <w:b w:val="1"/>
          <w:bCs w:val="1"/>
          <w:color w:val="09314A"/>
        </w:rPr>
      </w:pPr>
      <w:r>
        <w:rPr>
          <w:rFonts w:ascii="Arial" w:cs="Arial" w:eastAsia="Arial" w:hAnsi="Arial"/>
          <w:sz w:val="14"/>
          <w:szCs w:val="14"/>
          <w:color w:val="auto"/>
        </w:rPr>
        <w:t>Option Repricing without Stockholder Approval</w:t>
      </w:r>
    </w:p>
    <w:p>
      <w:pPr>
        <w:spacing w:after="0" w:line="84" w:lineRule="exact"/>
        <w:rPr>
          <w:rFonts w:ascii="Arial" w:cs="Arial" w:eastAsia="Arial" w:hAnsi="Arial"/>
          <w:sz w:val="22"/>
          <w:szCs w:val="22"/>
          <w:b w:val="1"/>
          <w:bCs w:val="1"/>
          <w:color w:val="09314A"/>
        </w:rPr>
      </w:pPr>
    </w:p>
    <w:p>
      <w:pPr>
        <w:ind w:left="420" w:hanging="337"/>
        <w:spacing w:after="0"/>
        <w:tabs>
          <w:tab w:leader="none" w:pos="420" w:val="left"/>
        </w:tabs>
        <w:numPr>
          <w:ilvl w:val="0"/>
          <w:numId w:val="13"/>
        </w:numPr>
        <w:rPr>
          <w:rFonts w:ascii="Arial" w:cs="Arial" w:eastAsia="Arial" w:hAnsi="Arial"/>
          <w:sz w:val="22"/>
          <w:szCs w:val="22"/>
          <w:b w:val="1"/>
          <w:bCs w:val="1"/>
          <w:color w:val="09314A"/>
        </w:rPr>
      </w:pPr>
      <w:r>
        <w:rPr>
          <w:rFonts w:ascii="Arial" w:cs="Arial" w:eastAsia="Arial" w:hAnsi="Arial"/>
          <w:sz w:val="14"/>
          <w:szCs w:val="14"/>
          <w:color w:val="auto"/>
        </w:rPr>
        <w:t>Broad Perquisites Offered to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1256665</wp:posOffset>
            </wp:positionV>
            <wp:extent cx="71577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1440" w:lineRule="exact"/>
        <w:rPr>
          <w:sz w:val="20"/>
          <w:szCs w:val="20"/>
          <w:color w:val="auto"/>
        </w:rPr>
      </w:pPr>
    </w:p>
    <w:p>
      <w:pPr>
        <w:sectPr>
          <w:pgSz w:w="11920" w:h="16838" w:orient="portrait"/>
          <w:cols w:equalWidth="0" w:num="2">
            <w:col w:w="5140" w:space="720"/>
            <w:col w:w="5400"/>
          </w:cols>
          <w:pgMar w:left="340" w:top="308" w:right="318"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type w:val="continuous"/>
        </w:sectPr>
      </w:pPr>
    </w:p>
    <w:bookmarkStart w:id="9" w:name="page10"/>
    <w:bookmarkEnd w:id="9"/>
    <w:p>
      <w:pPr>
        <w:spacing w:after="0"/>
        <w:rPr>
          <w:sz w:val="20"/>
          <w:szCs w:val="20"/>
          <w:color w:val="auto"/>
        </w:rPr>
      </w:pPr>
      <w:r>
        <w:rPr>
          <w:rFonts w:ascii="Arial" w:cs="Arial" w:eastAsia="Arial" w:hAnsi="Arial"/>
          <w:sz w:val="41"/>
          <w:szCs w:val="41"/>
          <w:b w:val="1"/>
          <w:bCs w:val="1"/>
          <w:color w:val="181818"/>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95250</wp:posOffset>
            </wp:positionV>
            <wp:extent cx="8890" cy="900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900430"/>
                    </a:xfrm>
                    <a:prstGeom prst="rect">
                      <a:avLst/>
                    </a:prstGeom>
                    <a:noFill/>
                  </pic:spPr>
                </pic:pic>
              </a:graphicData>
            </a:graphic>
          </wp:anchor>
        </w:drawing>
        <w:drawing>
          <wp:anchor simplePos="0" relativeHeight="251657728" behindDoc="1" locked="0" layoutInCell="0" allowOverlap="1">
            <wp:simplePos x="0" y="0"/>
            <wp:positionH relativeFrom="column">
              <wp:posOffset>5421630</wp:posOffset>
            </wp:positionH>
            <wp:positionV relativeFrom="paragraph">
              <wp:posOffset>95250</wp:posOffset>
            </wp:positionV>
            <wp:extent cx="8255" cy="900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90043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48"/>
        </w:trPr>
        <w:tc>
          <w:tcPr>
            <w:tcW w:w="3460" w:type="dxa"/>
            <w:vAlign w:val="bottom"/>
            <w:shd w:val="clear" w:color="auto" w:fill="1B6F80"/>
          </w:tcPr>
          <w:p>
            <w:pPr>
              <w:jc w:val="center"/>
              <w:spacing w:after="0"/>
              <w:rPr>
                <w:sz w:val="20"/>
                <w:szCs w:val="20"/>
                <w:color w:val="auto"/>
              </w:rPr>
            </w:pPr>
            <w:r>
              <w:rPr>
                <w:rFonts w:ascii="Arial" w:cs="Arial" w:eastAsia="Arial" w:hAnsi="Arial"/>
                <w:sz w:val="16"/>
                <w:szCs w:val="16"/>
                <w:b w:val="1"/>
                <w:bCs w:val="1"/>
                <w:color w:val="FFFFFF"/>
              </w:rPr>
              <w:t>Date and Time</w:t>
            </w:r>
          </w:p>
        </w:tc>
        <w:tc>
          <w:tcPr>
            <w:tcW w:w="5080" w:type="dxa"/>
            <w:vAlign w:val="bottom"/>
            <w:shd w:val="clear" w:color="auto" w:fill="1B6F80"/>
          </w:tcPr>
          <w:p>
            <w:pPr>
              <w:jc w:val="center"/>
              <w:spacing w:after="0"/>
              <w:rPr>
                <w:sz w:val="20"/>
                <w:szCs w:val="20"/>
                <w:color w:val="auto"/>
              </w:rPr>
            </w:pPr>
            <w:r>
              <w:rPr>
                <w:rFonts w:ascii="Arial" w:cs="Arial" w:eastAsia="Arial" w:hAnsi="Arial"/>
                <w:sz w:val="16"/>
                <w:szCs w:val="16"/>
                <w:b w:val="1"/>
                <w:bCs w:val="1"/>
                <w:color w:val="FFFFFF"/>
              </w:rPr>
              <w:t>Virtual Meeting</w:t>
            </w:r>
          </w:p>
        </w:tc>
        <w:tc>
          <w:tcPr>
            <w:tcW w:w="2720" w:type="dxa"/>
            <w:vAlign w:val="bottom"/>
            <w:shd w:val="clear" w:color="auto" w:fill="1B6F80"/>
          </w:tcPr>
          <w:p>
            <w:pPr>
              <w:jc w:val="center"/>
              <w:spacing w:after="0"/>
              <w:rPr>
                <w:sz w:val="20"/>
                <w:szCs w:val="20"/>
                <w:color w:val="auto"/>
              </w:rPr>
            </w:pPr>
            <w:r>
              <w:rPr>
                <w:rFonts w:ascii="Arial" w:cs="Arial" w:eastAsia="Arial" w:hAnsi="Arial"/>
                <w:sz w:val="16"/>
                <w:szCs w:val="16"/>
                <w:b w:val="1"/>
                <w:bCs w:val="1"/>
                <w:color w:val="FFFFFF"/>
                <w:w w:val="99"/>
              </w:rPr>
              <w:t>Record Date</w:t>
            </w:r>
          </w:p>
        </w:tc>
      </w:tr>
      <w:tr>
        <w:trPr>
          <w:trHeight w:val="219"/>
        </w:trPr>
        <w:tc>
          <w:tcPr>
            <w:tcW w:w="3460" w:type="dxa"/>
            <w:vAlign w:val="bottom"/>
            <w:shd w:val="clear" w:color="auto" w:fill="1B6F80"/>
          </w:tcPr>
          <w:p>
            <w:pPr>
              <w:jc w:val="center"/>
              <w:spacing w:after="0"/>
              <w:rPr>
                <w:sz w:val="20"/>
                <w:szCs w:val="20"/>
                <w:color w:val="auto"/>
              </w:rPr>
            </w:pPr>
            <w:r>
              <w:rPr>
                <w:rFonts w:ascii="Arial" w:cs="Arial" w:eastAsia="Arial" w:hAnsi="Arial"/>
                <w:sz w:val="16"/>
                <w:szCs w:val="16"/>
                <w:color w:val="FFFFFF"/>
              </w:rPr>
              <w:t>August 4, 2026 | 9:30 AM EDT</w:t>
            </w:r>
          </w:p>
        </w:tc>
        <w:tc>
          <w:tcPr>
            <w:tcW w:w="5080" w:type="dxa"/>
            <w:vAlign w:val="bottom"/>
            <w:shd w:val="clear" w:color="auto" w:fill="1B6F80"/>
          </w:tcPr>
          <w:p>
            <w:pPr>
              <w:jc w:val="center"/>
              <w:spacing w:after="0"/>
              <w:rPr>
                <w:sz w:val="20"/>
                <w:szCs w:val="20"/>
                <w:color w:val="auto"/>
              </w:rPr>
            </w:pPr>
            <w:r>
              <w:rPr>
                <w:rFonts w:ascii="Arial" w:cs="Arial" w:eastAsia="Arial" w:hAnsi="Arial"/>
                <w:sz w:val="16"/>
                <w:szCs w:val="16"/>
                <w:color w:val="FFFFFF"/>
              </w:rPr>
              <w:t>www.virtualshareholdermeeting.com/atex2026</w:t>
            </w:r>
          </w:p>
        </w:tc>
        <w:tc>
          <w:tcPr>
            <w:tcW w:w="2720" w:type="dxa"/>
            <w:vAlign w:val="bottom"/>
            <w:shd w:val="clear" w:color="auto" w:fill="1B6F80"/>
          </w:tcPr>
          <w:p>
            <w:pPr>
              <w:jc w:val="center"/>
              <w:spacing w:after="0"/>
              <w:rPr>
                <w:sz w:val="20"/>
                <w:szCs w:val="20"/>
                <w:color w:val="auto"/>
              </w:rPr>
            </w:pPr>
            <w:r>
              <w:rPr>
                <w:rFonts w:ascii="Arial" w:cs="Arial" w:eastAsia="Arial" w:hAnsi="Arial"/>
                <w:sz w:val="16"/>
                <w:szCs w:val="16"/>
                <w:color w:val="FFFFFF"/>
              </w:rPr>
              <w:t>June 11, 2026</w:t>
            </w:r>
          </w:p>
        </w:tc>
      </w:tr>
      <w:tr>
        <w:trPr>
          <w:trHeight w:val="151"/>
        </w:trPr>
        <w:tc>
          <w:tcPr>
            <w:tcW w:w="3460" w:type="dxa"/>
            <w:vAlign w:val="bottom"/>
            <w:shd w:val="clear" w:color="auto" w:fill="1B6F80"/>
          </w:tcPr>
          <w:p>
            <w:pPr>
              <w:spacing w:after="0"/>
              <w:rPr>
                <w:sz w:val="13"/>
                <w:szCs w:val="13"/>
                <w:color w:val="auto"/>
              </w:rPr>
            </w:pPr>
          </w:p>
        </w:tc>
        <w:tc>
          <w:tcPr>
            <w:tcW w:w="5080" w:type="dxa"/>
            <w:vAlign w:val="bottom"/>
            <w:shd w:val="clear" w:color="auto" w:fill="1B6F80"/>
          </w:tcPr>
          <w:p>
            <w:pPr>
              <w:spacing w:after="0"/>
              <w:rPr>
                <w:sz w:val="13"/>
                <w:szCs w:val="13"/>
                <w:color w:val="auto"/>
              </w:rPr>
            </w:pPr>
          </w:p>
        </w:tc>
        <w:tc>
          <w:tcPr>
            <w:tcW w:w="2720" w:type="dxa"/>
            <w:vAlign w:val="bottom"/>
            <w:shd w:val="clear" w:color="auto" w:fill="1B6F80"/>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-822325</wp:posOffset>
            </wp:positionV>
            <wp:extent cx="325755"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-822325</wp:posOffset>
            </wp:positionV>
            <wp:extent cx="325755" cy="325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-822325</wp:posOffset>
            </wp:positionV>
            <wp:extent cx="325755"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Voting Instructions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can vote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149465" cy="19799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979930"/>
                    </a:xfrm>
                    <a:prstGeom prst="rect">
                      <a:avLst/>
                    </a:prstGeom>
                    <a:noFill/>
                  </pic:spPr>
                </pic:pic>
              </a:graphicData>
            </a:graphic>
          </wp:anchor>
        </w:drawing>
      </w:r>
    </w:p>
    <w:p>
      <w:pPr>
        <w:spacing w:after="0" w:line="334" w:lineRule="exact"/>
        <w:rPr>
          <w:sz w:val="20"/>
          <w:szCs w:val="20"/>
          <w:color w:val="auto"/>
        </w:rPr>
      </w:pPr>
    </w:p>
    <w:p>
      <w:pPr>
        <w:ind w:left="1820" w:right="180"/>
        <w:spacing w:after="0" w:line="347" w:lineRule="auto"/>
        <w:rPr>
          <w:sz w:val="20"/>
          <w:szCs w:val="20"/>
          <w:color w:val="auto"/>
        </w:rPr>
      </w:pPr>
      <w:r>
        <w:rPr>
          <w:rFonts w:ascii="Arial" w:cs="Arial" w:eastAsia="Arial" w:hAnsi="Arial"/>
          <w:sz w:val="16"/>
          <w:szCs w:val="16"/>
          <w:b w:val="1"/>
          <w:bCs w:val="1"/>
          <w:color w:val="181818"/>
        </w:rPr>
        <w:t xml:space="preserve">By Internet: </w:t>
      </w:r>
      <w:r>
        <w:rPr>
          <w:rFonts w:ascii="Arial" w:cs="Arial" w:eastAsia="Arial" w:hAnsi="Arial"/>
          <w:sz w:val="16"/>
          <w:szCs w:val="16"/>
          <w:color w:val="000000"/>
        </w:rPr>
        <w:t>follow the internet voting instructions included on the proxy card at any time until 11:59 p.m., Eastern Daylight Time,</w:t>
      </w:r>
      <w:r>
        <w:rPr>
          <w:rFonts w:ascii="Arial" w:cs="Arial" w:eastAsia="Arial" w:hAnsi="Arial"/>
          <w:sz w:val="16"/>
          <w:szCs w:val="16"/>
          <w:b w:val="1"/>
          <w:bCs w:val="1"/>
          <w:color w:val="181818"/>
        </w:rPr>
        <w:t xml:space="preserve"> </w:t>
      </w:r>
      <w:r>
        <w:rPr>
          <w:rFonts w:ascii="Arial" w:cs="Arial" w:eastAsia="Arial" w:hAnsi="Arial"/>
          <w:sz w:val="16"/>
          <w:szCs w:val="16"/>
          <w:color w:val="000000"/>
        </w:rPr>
        <w:t>on August 3, 2026.</w:t>
      </w:r>
    </w:p>
    <w:p>
      <w:pPr>
        <w:spacing w:after="0" w:line="224" w:lineRule="exact"/>
        <w:rPr>
          <w:sz w:val="20"/>
          <w:szCs w:val="20"/>
          <w:color w:val="auto"/>
        </w:rPr>
      </w:pPr>
    </w:p>
    <w:p>
      <w:pPr>
        <w:ind w:left="1820" w:right="180"/>
        <w:spacing w:after="0" w:line="347" w:lineRule="auto"/>
        <w:rPr>
          <w:sz w:val="20"/>
          <w:szCs w:val="20"/>
          <w:color w:val="auto"/>
        </w:rPr>
      </w:pPr>
      <w:r>
        <w:rPr>
          <w:rFonts w:ascii="Arial" w:cs="Arial" w:eastAsia="Arial" w:hAnsi="Arial"/>
          <w:sz w:val="16"/>
          <w:szCs w:val="16"/>
          <w:b w:val="1"/>
          <w:bCs w:val="1"/>
          <w:color w:val="181818"/>
        </w:rPr>
        <w:t xml:space="preserve">By Telephone: </w:t>
      </w:r>
      <w:r>
        <w:rPr>
          <w:rFonts w:ascii="Arial" w:cs="Arial" w:eastAsia="Arial" w:hAnsi="Arial"/>
          <w:sz w:val="16"/>
          <w:szCs w:val="16"/>
          <w:color w:val="000000"/>
        </w:rPr>
        <w:t>follow the telephone voting instructions included on the proxy card at any time until 11:59 p.m., Eastern Daylight</w:t>
      </w:r>
      <w:r>
        <w:rPr>
          <w:rFonts w:ascii="Arial" w:cs="Arial" w:eastAsia="Arial" w:hAnsi="Arial"/>
          <w:sz w:val="16"/>
          <w:szCs w:val="16"/>
          <w:b w:val="1"/>
          <w:bCs w:val="1"/>
          <w:color w:val="181818"/>
        </w:rPr>
        <w:t xml:space="preserve"> </w:t>
      </w:r>
      <w:r>
        <w:rPr>
          <w:rFonts w:ascii="Arial" w:cs="Arial" w:eastAsia="Arial" w:hAnsi="Arial"/>
          <w:sz w:val="16"/>
          <w:szCs w:val="16"/>
          <w:color w:val="000000"/>
        </w:rPr>
        <w:t>Time, on August 3, 2026.</w:t>
      </w:r>
    </w:p>
    <w:p>
      <w:pPr>
        <w:spacing w:after="0" w:line="224" w:lineRule="exact"/>
        <w:rPr>
          <w:sz w:val="20"/>
          <w:szCs w:val="20"/>
          <w:color w:val="auto"/>
        </w:rPr>
      </w:pPr>
    </w:p>
    <w:p>
      <w:pPr>
        <w:ind w:left="1820" w:right="180"/>
        <w:spacing w:after="0" w:line="347" w:lineRule="auto"/>
        <w:rPr>
          <w:sz w:val="20"/>
          <w:szCs w:val="20"/>
          <w:color w:val="auto"/>
        </w:rPr>
      </w:pPr>
      <w:r>
        <w:rPr>
          <w:rFonts w:ascii="Arial" w:cs="Arial" w:eastAsia="Arial" w:hAnsi="Arial"/>
          <w:sz w:val="16"/>
          <w:szCs w:val="16"/>
          <w:b w:val="1"/>
          <w:bCs w:val="1"/>
          <w:color w:val="181818"/>
        </w:rPr>
        <w:t xml:space="preserve">By Mail: </w:t>
      </w:r>
      <w:r>
        <w:rPr>
          <w:rFonts w:ascii="Arial" w:cs="Arial" w:eastAsia="Arial" w:hAnsi="Arial"/>
          <w:sz w:val="16"/>
          <w:szCs w:val="16"/>
          <w:color w:val="000000"/>
        </w:rPr>
        <w:t>mark, date, and sign your proxy card per its instructions and return it by mail in the pre-addressed reply envelope</w:t>
      </w:r>
      <w:r>
        <w:rPr>
          <w:rFonts w:ascii="Arial" w:cs="Arial" w:eastAsia="Arial" w:hAnsi="Arial"/>
          <w:sz w:val="16"/>
          <w:szCs w:val="16"/>
          <w:b w:val="1"/>
          <w:bCs w:val="1"/>
          <w:color w:val="181818"/>
        </w:rPr>
        <w:t xml:space="preserve"> </w:t>
      </w:r>
      <w:r>
        <w:rPr>
          <w:rFonts w:ascii="Arial" w:cs="Arial" w:eastAsia="Arial" w:hAnsi="Arial"/>
          <w:sz w:val="16"/>
          <w:szCs w:val="16"/>
          <w:color w:val="000000"/>
        </w:rPr>
        <w:t>provided with the proxy materials. We must receive the proxy card before the Annual Meeting.</w:t>
      </w:r>
    </w:p>
    <w:p>
      <w:pPr>
        <w:spacing w:after="0" w:line="264" w:lineRule="exact"/>
        <w:rPr>
          <w:sz w:val="20"/>
          <w:szCs w:val="20"/>
          <w:color w:val="auto"/>
        </w:rPr>
      </w:pPr>
    </w:p>
    <w:p>
      <w:pPr>
        <w:ind w:left="1820" w:right="180"/>
        <w:spacing w:after="0" w:line="347" w:lineRule="auto"/>
        <w:rPr>
          <w:sz w:val="20"/>
          <w:szCs w:val="20"/>
          <w:color w:val="auto"/>
        </w:rPr>
      </w:pPr>
      <w:r>
        <w:rPr>
          <w:rFonts w:ascii="Arial" w:cs="Arial" w:eastAsia="Arial" w:hAnsi="Arial"/>
          <w:sz w:val="16"/>
          <w:szCs w:val="16"/>
          <w:b w:val="1"/>
          <w:bCs w:val="1"/>
          <w:color w:val="181818"/>
        </w:rPr>
        <w:t xml:space="preserve">At the Annual Meeting: </w:t>
      </w:r>
      <w:r>
        <w:rPr>
          <w:rFonts w:ascii="Arial" w:cs="Arial" w:eastAsia="Arial" w:hAnsi="Arial"/>
          <w:sz w:val="16"/>
          <w:szCs w:val="16"/>
          <w:color w:val="000000"/>
        </w:rPr>
        <w:t>attend the Annual Meeting at www.virtualshareholdermeeting.com/atex2026 using the 16-digit control</w:t>
      </w:r>
      <w:r>
        <w:rPr>
          <w:rFonts w:ascii="Arial" w:cs="Arial" w:eastAsia="Arial" w:hAnsi="Arial"/>
          <w:sz w:val="16"/>
          <w:szCs w:val="16"/>
          <w:b w:val="1"/>
          <w:bCs w:val="1"/>
          <w:color w:val="181818"/>
        </w:rPr>
        <w:t xml:space="preserve"> </w:t>
      </w:r>
      <w:r>
        <w:rPr>
          <w:rFonts w:ascii="Arial" w:cs="Arial" w:eastAsia="Arial" w:hAnsi="Arial"/>
          <w:sz w:val="16"/>
          <w:szCs w:val="16"/>
          <w:color w:val="000000"/>
        </w:rPr>
        <w:t>number on your proxy card or the instructions accompanying your proxy materials to enter the Annual Meeting.</w:t>
      </w:r>
    </w:p>
    <w:p>
      <w:pPr>
        <w:spacing w:after="0" w:line="200" w:lineRule="exact"/>
        <w:rPr>
          <w:sz w:val="20"/>
          <w:szCs w:val="20"/>
          <w:color w:val="auto"/>
        </w:rPr>
      </w:pPr>
    </w:p>
    <w:p>
      <w:pPr>
        <w:spacing w:after="0" w:line="201"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Even if you plan to attend the Annual Meeting, we encourage you to vote in advance by internet, telephone, or mail so that your vote will be counted in the event you later are unable to participate in the Annual Meeting.</w:t>
      </w:r>
    </w:p>
    <w:p>
      <w:pPr>
        <w:spacing w:after="0" w:line="4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If your shares are held in street name, please follow the separate voting instructions you receive from your broker, bank, trustee, or other nominee. Shares held in street name may be voted at the Annual Meeting only if you obtain a legal proxy from the broker, trustee, or other nominee that holds your shares, giving you the right to vote the shares.</w:t>
      </w:r>
    </w:p>
    <w:p>
      <w:pPr>
        <w:spacing w:after="0" w:line="4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On or about June 25, 2026, we began sending this Proxy Statement, the attached Notice of Annual Meeting of Stockholders (the "Notice"), and the enclosed proxy card to all stockholders entitled to vote at the Annual Meeting. Although not part of this Proxy Statement, we are also sending, along with this Proxy Statement, our Annual Report, which includes our financial statements for Fiscal 2026.</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Proxies</w:t>
      </w:r>
    </w:p>
    <w:p>
      <w:pPr>
        <w:spacing w:after="0" w:line="12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All shares represented by a proxy will be voted at the Annual Meeting. When a stockholder specifies a choice with respect to any matter to be acted upon, the shares will be voted in accordance with the specification so made. If a stockholder does not indicate a choice on the proxy card, the shares will be voted in favor of the election of the nominees for director contained in this Proxy Statement; in favor of approving, on an advisory, non-binding basis, the compensation of our named executive officers; in favor of approving, Amendment No. 2 to the Anterix Inc. 2023 Stock Plan to increase the number of shares available for issuance under the plan; on an advisory,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372745</wp:posOffset>
            </wp:positionV>
            <wp:extent cx="71577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6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95" w:right="318"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General Information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binding basis, for a “one year” frequency of future advisory votes on the compensation of the our named executive officers; and in favor of ratifying Deloitte &amp; Touche LLP as our independent registered public accounting firm for the fiscal year ending March 31, 2027. If any other business may properly come before the Annual Meeting, the proxies are authorized to vote at their discretion, provided that they will not vote in the election of directors for any nominee(s) from whom authority to vote has been withheld.</w:t>
      </w:r>
    </w:p>
    <w:p>
      <w:pPr>
        <w:spacing w:after="0" w:line="6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If a broker, bank, trustee, or other nominee exercising fiduciary powers holds your shares (typically referred to as being held in “street name”), you should receive a separate voting instruction form with this Proxy Statement. Please note that if your shares are held of record by a broker, bank, trustee, or other nominee, and you wish to vote at the meeting, you will not be permitted to vote online at the Annual Meeting unless you first obtain a proxy issued in your name from the record holder.</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Proxy Revocation Procedure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If you are a stockholder of record, you may revoke your proxy:</w:t>
      </w:r>
    </w:p>
    <w:p>
      <w:pPr>
        <w:spacing w:after="0" w:line="156" w:lineRule="exact"/>
        <w:rPr>
          <w:sz w:val="20"/>
          <w:szCs w:val="20"/>
          <w:color w:val="auto"/>
        </w:rPr>
      </w:pPr>
    </w:p>
    <w:p>
      <w:pPr>
        <w:ind w:left="480" w:hanging="325"/>
        <w:spacing w:after="0" w:line="344" w:lineRule="auto"/>
        <w:tabs>
          <w:tab w:leader="none" w:pos="466" w:val="left"/>
        </w:tabs>
        <w:numPr>
          <w:ilvl w:val="0"/>
          <w:numId w:val="14"/>
        </w:numPr>
        <w:rPr>
          <w:rFonts w:ascii="Arial" w:cs="Arial" w:eastAsia="Arial" w:hAnsi="Arial"/>
          <w:sz w:val="16"/>
          <w:szCs w:val="16"/>
          <w:b w:val="1"/>
          <w:bCs w:val="1"/>
          <w:color w:val="1B6F80"/>
        </w:rPr>
      </w:pPr>
      <w:r>
        <w:rPr>
          <w:rFonts w:ascii="Arial" w:cs="Arial" w:eastAsia="Arial" w:hAnsi="Arial"/>
          <w:sz w:val="16"/>
          <w:szCs w:val="16"/>
          <w:color w:val="auto"/>
        </w:rPr>
        <w:t>by written notice of revocation mailed to and received by the Chief Legal Officer and Corporate Secretary of the Company before the date of the Annual Meeting;</w:t>
      </w:r>
    </w:p>
    <w:p>
      <w:pPr>
        <w:spacing w:after="0" w:line="26" w:lineRule="exact"/>
        <w:rPr>
          <w:rFonts w:ascii="Arial" w:cs="Arial" w:eastAsia="Arial" w:hAnsi="Arial"/>
          <w:sz w:val="16"/>
          <w:szCs w:val="16"/>
          <w:b w:val="1"/>
          <w:bCs w:val="1"/>
          <w:color w:val="1B6F80"/>
        </w:rPr>
      </w:pPr>
    </w:p>
    <w:p>
      <w:pPr>
        <w:ind w:left="480" w:hanging="325"/>
        <w:spacing w:after="0" w:line="344" w:lineRule="auto"/>
        <w:tabs>
          <w:tab w:leader="none" w:pos="444" w:val="left"/>
        </w:tabs>
        <w:numPr>
          <w:ilvl w:val="0"/>
          <w:numId w:val="14"/>
        </w:numPr>
        <w:rPr>
          <w:rFonts w:ascii="Arial" w:cs="Arial" w:eastAsia="Arial" w:hAnsi="Arial"/>
          <w:sz w:val="16"/>
          <w:szCs w:val="16"/>
          <w:b w:val="1"/>
          <w:bCs w:val="1"/>
          <w:color w:val="1B6F80"/>
        </w:rPr>
      </w:pPr>
      <w:r>
        <w:rPr>
          <w:rFonts w:ascii="Arial" w:cs="Arial" w:eastAsia="Arial" w:hAnsi="Arial"/>
          <w:sz w:val="16"/>
          <w:szCs w:val="16"/>
          <w:color w:val="auto"/>
        </w:rPr>
        <w:t>by voting again via the internet or by telephone at a later time before the closing of those voting facilities at 11:59 p.m. Eastern Daylight Time on August 3, 2026;</w:t>
      </w:r>
    </w:p>
    <w:p>
      <w:pPr>
        <w:spacing w:after="0" w:line="39" w:lineRule="exact"/>
        <w:rPr>
          <w:rFonts w:ascii="Arial" w:cs="Arial" w:eastAsia="Arial" w:hAnsi="Arial"/>
          <w:sz w:val="16"/>
          <w:szCs w:val="16"/>
          <w:b w:val="1"/>
          <w:bCs w:val="1"/>
          <w:color w:val="1B6F80"/>
        </w:rPr>
      </w:pPr>
    </w:p>
    <w:p>
      <w:pPr>
        <w:ind w:left="480" w:hanging="325"/>
        <w:spacing w:after="0" w:line="344" w:lineRule="auto"/>
        <w:tabs>
          <w:tab w:leader="none" w:pos="439" w:val="left"/>
        </w:tabs>
        <w:numPr>
          <w:ilvl w:val="0"/>
          <w:numId w:val="14"/>
        </w:numPr>
        <w:rPr>
          <w:rFonts w:ascii="Arial" w:cs="Arial" w:eastAsia="Arial" w:hAnsi="Arial"/>
          <w:sz w:val="16"/>
          <w:szCs w:val="16"/>
          <w:b w:val="1"/>
          <w:bCs w:val="1"/>
          <w:color w:val="1B6F80"/>
        </w:rPr>
      </w:pPr>
      <w:r>
        <w:rPr>
          <w:rFonts w:ascii="Arial" w:cs="Arial" w:eastAsia="Arial" w:hAnsi="Arial"/>
          <w:sz w:val="16"/>
          <w:szCs w:val="16"/>
          <w:color w:val="auto"/>
        </w:rPr>
        <w:t>by executing and delivering to the Corporate Secretary a proxy card dated as of a later date than a previously executed and delivered proxy card (provided, however, that such action must be taken before 11:59 p.m. Eastern Daylight Time on August 3, 2026); or</w:t>
      </w:r>
    </w:p>
    <w:p>
      <w:pPr>
        <w:spacing w:after="0" w:line="39" w:lineRule="exact"/>
        <w:rPr>
          <w:rFonts w:ascii="Arial" w:cs="Arial" w:eastAsia="Arial" w:hAnsi="Arial"/>
          <w:sz w:val="16"/>
          <w:szCs w:val="16"/>
          <w:b w:val="1"/>
          <w:bCs w:val="1"/>
          <w:color w:val="1B6F80"/>
        </w:rPr>
      </w:pPr>
    </w:p>
    <w:p>
      <w:pPr>
        <w:ind w:left="440" w:hanging="285"/>
        <w:spacing w:after="0"/>
        <w:tabs>
          <w:tab w:leader="none" w:pos="440" w:val="left"/>
        </w:tabs>
        <w:numPr>
          <w:ilvl w:val="0"/>
          <w:numId w:val="14"/>
        </w:numPr>
        <w:rPr>
          <w:rFonts w:ascii="Arial" w:cs="Arial" w:eastAsia="Arial" w:hAnsi="Arial"/>
          <w:sz w:val="16"/>
          <w:szCs w:val="16"/>
          <w:b w:val="1"/>
          <w:bCs w:val="1"/>
          <w:color w:val="1B6F80"/>
        </w:rPr>
      </w:pPr>
      <w:r>
        <w:rPr>
          <w:rFonts w:ascii="Arial" w:cs="Arial" w:eastAsia="Arial" w:hAnsi="Arial"/>
          <w:sz w:val="16"/>
          <w:szCs w:val="16"/>
          <w:color w:val="auto"/>
        </w:rPr>
        <w:t>by attending the Annual Meeting and voting during the meeting. Attendance at the Annual Meeting will not in and of itself revoke a proxy.</w:t>
      </w:r>
    </w:p>
    <w:p>
      <w:pPr>
        <w:spacing w:after="0" w:line="14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If your shares are held by a broker, bank, trustee, or other nominee, you may change your vote by submitting new voting instructions to your broker, bank, trustee, or other nominee; or, if you have obtained a legal proxy from your broker, bank, trustee, or other nominee giving you the right to vote your shares, by attending and voting during the Annual Meeting.</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Voting Results</w:t>
      </w:r>
    </w:p>
    <w:p>
      <w:pPr>
        <w:spacing w:after="0" w:line="135"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We will announce preliminary voting results at the Annual Meeting. We will report the final results in a current report on Form 8-K filed with the SEC within four business days of the Annual Meeting.</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Important Notice Regarding the Availability of Proxy Materials for the Annual Meeting of Stockholders to be Held on August 4, 2026:</w:t>
      </w:r>
    </w:p>
    <w:p>
      <w:pPr>
        <w:spacing w:after="0" w:line="10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This Proxy Statement for the Annual Meeting, the Notice, our Annual Report, and the proxy card or voting instruction form are available for viewing, printing, and downloading at www.proxyvote.com. To view these materials, please have your 16-digit control number available as it appears on your proxy card. On the www.proxyvote.com website, you can also elect to receive future distributions of our proxy statements and annual reports to stockholders by electronic delivery. Additionally, you can find a copy of our Annual Report, which includes our financial statements for the fiscal year ended March 31, 2026, on the website of the Securities and Exchange Commission (the “SEC”) at www.sec.gov, or in the “Financials” section of the “Investors” section of our website at investors.anterix.com. You may also obtain a printed copy of our Annual Report, including our financial statements, free of charge, from us by sending a written request to: Anterix Inc., 3 Garret Mountain Plaza, Suite 401, Woodland Park, New Jersey 07424, Attention: Chief Legal Officer and Corporate Secretary. Exhibits will be provided upon written request and payment of an appropriate processing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365760</wp:posOffset>
            </wp:positionV>
            <wp:extent cx="71577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11" w:name="page12"/>
    <w:bookmarkEnd w:id="11"/>
    <w:p>
      <w:pPr>
        <w:spacing w:after="0"/>
        <w:rPr>
          <w:sz w:val="20"/>
          <w:szCs w:val="20"/>
          <w:color w:val="auto"/>
        </w:rPr>
      </w:pPr>
      <w:r>
        <w:rPr>
          <w:rFonts w:ascii="Arial" w:cs="Arial" w:eastAsia="Arial" w:hAnsi="Arial"/>
          <w:sz w:val="41"/>
          <w:szCs w:val="41"/>
          <w:b w:val="1"/>
          <w:bCs w:val="1"/>
          <w:color w:val="181818"/>
        </w:rPr>
        <w:t>PROPOSAL 1</w:t>
      </w:r>
    </w:p>
    <w:p>
      <w:pPr>
        <w:spacing w:after="0" w:line="144" w:lineRule="exact"/>
        <w:rPr>
          <w:sz w:val="20"/>
          <w:szCs w:val="20"/>
          <w:color w:val="auto"/>
        </w:rPr>
      </w:pPr>
    </w:p>
    <w:p>
      <w:pPr>
        <w:spacing w:after="0"/>
        <w:rPr>
          <w:sz w:val="20"/>
          <w:szCs w:val="20"/>
          <w:color w:val="auto"/>
        </w:rPr>
      </w:pPr>
      <w:r>
        <w:rPr>
          <w:rFonts w:ascii="Arial" w:cs="Arial" w:eastAsia="Arial" w:hAnsi="Arial"/>
          <w:sz w:val="34"/>
          <w:szCs w:val="34"/>
          <w:b w:val="1"/>
          <w:bCs w:val="1"/>
          <w:color w:val="181818"/>
        </w:rPr>
        <w:t>Election of Directors</w:t>
      </w: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Vote Required and Board Recommendation</w:t>
      </w:r>
    </w:p>
    <w:p>
      <w:pPr>
        <w:spacing w:after="0" w:line="231" w:lineRule="exact"/>
        <w:rPr>
          <w:sz w:val="20"/>
          <w:szCs w:val="20"/>
          <w:color w:val="auto"/>
        </w:rPr>
      </w:pPr>
    </w:p>
    <w:p>
      <w:pPr>
        <w:jc w:val="both"/>
        <w:ind w:left="20"/>
        <w:spacing w:after="0" w:line="344" w:lineRule="auto"/>
        <w:rPr>
          <w:sz w:val="20"/>
          <w:szCs w:val="20"/>
          <w:color w:val="auto"/>
        </w:rPr>
      </w:pPr>
      <w:r>
        <w:rPr>
          <w:rFonts w:ascii="Arial" w:cs="Arial" w:eastAsia="Arial" w:hAnsi="Arial"/>
          <w:sz w:val="16"/>
          <w:szCs w:val="16"/>
          <w:color w:val="auto"/>
        </w:rPr>
        <w:t>At the Annual Meeting, our stockholders will vote on the election of seven directors to serve until our 2027 Annual Meeting and until their respective successors are elected and qualified.</w:t>
      </w:r>
    </w:p>
    <w:p>
      <w:pPr>
        <w:spacing w:after="0" w:line="40" w:lineRule="exact"/>
        <w:rPr>
          <w:sz w:val="20"/>
          <w:szCs w:val="20"/>
          <w:color w:val="auto"/>
        </w:rPr>
      </w:pPr>
    </w:p>
    <w:p>
      <w:pPr>
        <w:jc w:val="both"/>
        <w:ind w:left="20"/>
        <w:spacing w:after="0" w:line="303" w:lineRule="auto"/>
        <w:rPr>
          <w:sz w:val="20"/>
          <w:szCs w:val="20"/>
          <w:color w:val="auto"/>
        </w:rPr>
      </w:pPr>
      <w:r>
        <w:rPr>
          <w:rFonts w:ascii="Arial" w:cs="Arial" w:eastAsia="Arial" w:hAnsi="Arial"/>
          <w:sz w:val="16"/>
          <w:szCs w:val="16"/>
          <w:color w:val="auto"/>
        </w:rPr>
        <w:t>In an uncontested election, the director nominees are elected by a majority of the votes cast in person or by proxy at the Annual Meeting, assuming a quorum is present. This means that the number of shares voted “FOR” a nominee for election as a director must exceed the number of votes cast “AGAINST” that director nominee. If you hold your shares in street name and do not instruct the broker, bank, trustee, or other nominee on how to vote on this proposal, they will not have the authority to vote your shares. Abstentions and broker non-votes will each be counted as present for determining the presence of a quorum but will not be voted for or against the election of any director nominee, and so will not have any effect on the outcome of this proposal.</w:t>
      </w:r>
    </w:p>
    <w:p>
      <w:pPr>
        <w:spacing w:after="0" w:line="75" w:lineRule="exact"/>
        <w:rPr>
          <w:sz w:val="20"/>
          <w:szCs w:val="20"/>
          <w:color w:val="auto"/>
        </w:rPr>
      </w:pPr>
    </w:p>
    <w:p>
      <w:pPr>
        <w:jc w:val="both"/>
        <w:ind w:left="20"/>
        <w:spacing w:after="0" w:line="300" w:lineRule="auto"/>
        <w:rPr>
          <w:sz w:val="20"/>
          <w:szCs w:val="20"/>
          <w:color w:val="auto"/>
        </w:rPr>
      </w:pPr>
      <w:r>
        <w:rPr>
          <w:rFonts w:ascii="Arial" w:cs="Arial" w:eastAsia="Arial" w:hAnsi="Arial"/>
          <w:sz w:val="16"/>
          <w:szCs w:val="16"/>
          <w:color w:val="auto"/>
        </w:rPr>
        <w:t>We have also implemented a majority voting policy for director resignations, which applies if an incumbent director nominee receives less than a majority of votes cast in an uncontested election. If a director nominee fails to receive the required vote for reelection, our Nominating and Corporate Governance Committee (other than such director) will act on an expedited basis to determine whether to accept the director’s irrevocable, conditional resignation, and it will submit such recommendation for prompt consideration by the Board. The Nominating and Corporate Governance Committee and members of the Board (other than such director) may consider any factors they deem relevant in deciding whether to accept a director’s resignation. This policy does not apply in circumstances involving contested director elections.</w:t>
      </w:r>
    </w:p>
    <w:p>
      <w:pPr>
        <w:spacing w:after="0" w:line="77" w:lineRule="exact"/>
        <w:rPr>
          <w:sz w:val="20"/>
          <w:szCs w:val="20"/>
          <w:color w:val="auto"/>
        </w:rPr>
      </w:pPr>
    </w:p>
    <w:p>
      <w:pPr>
        <w:jc w:val="both"/>
        <w:ind w:left="20"/>
        <w:spacing w:after="0" w:line="321" w:lineRule="auto"/>
        <w:rPr>
          <w:sz w:val="20"/>
          <w:szCs w:val="20"/>
          <w:color w:val="auto"/>
        </w:rPr>
      </w:pPr>
      <w:r>
        <w:rPr>
          <w:rFonts w:ascii="Arial" w:cs="Arial" w:eastAsia="Arial" w:hAnsi="Arial"/>
          <w:sz w:val="16"/>
          <w:szCs w:val="16"/>
          <w:color w:val="auto"/>
        </w:rPr>
        <w:t>All of our nominees have indicated their willingness to serve if elected. If any nominee should be unable or unwilling to stand for election, the shares represented by proxies may be voted for a substitute as the Board may designate unless a contrary instruction is indicated in the proxy.</w:t>
      </w:r>
    </w:p>
    <w:p>
      <w:pPr>
        <w:spacing w:after="0" w:line="45" w:lineRule="exact"/>
        <w:rPr>
          <w:sz w:val="20"/>
          <w:szCs w:val="20"/>
          <w:color w:val="auto"/>
        </w:rPr>
      </w:pPr>
    </w:p>
    <w:p>
      <w:pPr>
        <w:jc w:val="both"/>
        <w:ind w:left="20"/>
        <w:spacing w:after="0" w:line="344" w:lineRule="auto"/>
        <w:rPr>
          <w:sz w:val="20"/>
          <w:szCs w:val="20"/>
          <w:color w:val="auto"/>
        </w:rPr>
      </w:pPr>
      <w:r>
        <w:rPr>
          <w:rFonts w:ascii="Arial" w:cs="Arial" w:eastAsia="Arial" w:hAnsi="Arial"/>
          <w:sz w:val="16"/>
          <w:szCs w:val="16"/>
          <w:color w:val="auto"/>
        </w:rPr>
        <w:t>Unless otherwise instructed, the persons named in the proxy card intend to vote shares represented by properly executed proxy cards for the election of each of our director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 w:right="320"/>
        <w:spacing w:after="0" w:line="335" w:lineRule="auto"/>
        <w:rPr>
          <w:sz w:val="20"/>
          <w:szCs w:val="20"/>
          <w:color w:val="auto"/>
        </w:rPr>
      </w:pPr>
      <w:r>
        <w:rPr>
          <w:rFonts w:ascii="Arial" w:cs="Arial" w:eastAsia="Arial" w:hAnsi="Arial"/>
          <w:sz w:val="19"/>
          <w:szCs w:val="19"/>
          <w:b w:val="1"/>
          <w:bCs w:val="1"/>
          <w:color w:val="09314A"/>
        </w:rPr>
        <w:t>Nominees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-554990</wp:posOffset>
            </wp:positionV>
            <wp:extent cx="1817370" cy="60350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17370" cy="603504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27" w:hanging="227"/>
        <w:spacing w:after="0"/>
        <w:tabs>
          <w:tab w:leader="none" w:pos="227" w:val="left"/>
        </w:tabs>
        <w:numPr>
          <w:ilvl w:val="0"/>
          <w:numId w:val="15"/>
        </w:numPr>
        <w:rPr>
          <w:rFonts w:ascii="Arial" w:cs="Arial" w:eastAsia="Arial" w:hAnsi="Arial"/>
          <w:sz w:val="22"/>
          <w:szCs w:val="22"/>
          <w:b w:val="1"/>
          <w:bCs w:val="1"/>
          <w:color w:val="1B6F80"/>
        </w:rPr>
      </w:pPr>
      <w:r>
        <w:rPr>
          <w:rFonts w:ascii="Arial" w:cs="Arial" w:eastAsia="Arial" w:hAnsi="Arial"/>
          <w:sz w:val="14"/>
          <w:szCs w:val="14"/>
          <w:b w:val="1"/>
          <w:bCs w:val="1"/>
          <w:color w:val="181818"/>
        </w:rPr>
        <w:t>Jeffrey A. Altman</w:t>
      </w:r>
    </w:p>
    <w:p>
      <w:pPr>
        <w:spacing w:after="0" w:line="28" w:lineRule="exact"/>
        <w:rPr>
          <w:rFonts w:ascii="Arial" w:cs="Arial" w:eastAsia="Arial" w:hAnsi="Arial"/>
          <w:sz w:val="22"/>
          <w:szCs w:val="22"/>
          <w:b w:val="1"/>
          <w:bCs w:val="1"/>
          <w:color w:val="1B6F80"/>
        </w:rPr>
      </w:pPr>
    </w:p>
    <w:p>
      <w:pPr>
        <w:ind w:left="227" w:hanging="227"/>
        <w:spacing w:after="0" w:line="229" w:lineRule="auto"/>
        <w:tabs>
          <w:tab w:leader="none" w:pos="227" w:val="left"/>
        </w:tabs>
        <w:numPr>
          <w:ilvl w:val="0"/>
          <w:numId w:val="15"/>
        </w:numPr>
        <w:rPr>
          <w:rFonts w:ascii="Arial" w:cs="Arial" w:eastAsia="Arial" w:hAnsi="Arial"/>
          <w:sz w:val="22"/>
          <w:szCs w:val="22"/>
          <w:b w:val="1"/>
          <w:bCs w:val="1"/>
          <w:color w:val="1B6F80"/>
        </w:rPr>
      </w:pPr>
      <w:r>
        <w:rPr>
          <w:rFonts w:ascii="Arial" w:cs="Arial" w:eastAsia="Arial" w:hAnsi="Arial"/>
          <w:sz w:val="14"/>
          <w:szCs w:val="14"/>
          <w:b w:val="1"/>
          <w:bCs w:val="1"/>
          <w:color w:val="181818"/>
        </w:rPr>
        <w:t>Leslie B. Daniels</w:t>
      </w:r>
    </w:p>
    <w:p>
      <w:pPr>
        <w:spacing w:after="0" w:line="28" w:lineRule="exact"/>
        <w:rPr>
          <w:rFonts w:ascii="Arial" w:cs="Arial" w:eastAsia="Arial" w:hAnsi="Arial"/>
          <w:sz w:val="22"/>
          <w:szCs w:val="22"/>
          <w:b w:val="1"/>
          <w:bCs w:val="1"/>
          <w:color w:val="1B6F80"/>
        </w:rPr>
      </w:pPr>
    </w:p>
    <w:p>
      <w:pPr>
        <w:ind w:left="227" w:hanging="227"/>
        <w:spacing w:after="0" w:line="229" w:lineRule="auto"/>
        <w:tabs>
          <w:tab w:leader="none" w:pos="227" w:val="left"/>
        </w:tabs>
        <w:numPr>
          <w:ilvl w:val="0"/>
          <w:numId w:val="15"/>
        </w:numPr>
        <w:rPr>
          <w:rFonts w:ascii="Arial" w:cs="Arial" w:eastAsia="Arial" w:hAnsi="Arial"/>
          <w:sz w:val="22"/>
          <w:szCs w:val="22"/>
          <w:b w:val="1"/>
          <w:bCs w:val="1"/>
          <w:color w:val="1B6F80"/>
        </w:rPr>
      </w:pPr>
      <w:r>
        <w:rPr>
          <w:rFonts w:ascii="Arial" w:cs="Arial" w:eastAsia="Arial" w:hAnsi="Arial"/>
          <w:sz w:val="14"/>
          <w:szCs w:val="14"/>
          <w:b w:val="1"/>
          <w:bCs w:val="1"/>
          <w:color w:val="181818"/>
        </w:rPr>
        <w:t>Mark A. Fleischhauer</w:t>
      </w:r>
    </w:p>
    <w:p>
      <w:pPr>
        <w:spacing w:after="0" w:line="28" w:lineRule="exact"/>
        <w:rPr>
          <w:rFonts w:ascii="Arial" w:cs="Arial" w:eastAsia="Arial" w:hAnsi="Arial"/>
          <w:sz w:val="22"/>
          <w:szCs w:val="22"/>
          <w:b w:val="1"/>
          <w:bCs w:val="1"/>
          <w:color w:val="1B6F80"/>
        </w:rPr>
      </w:pPr>
    </w:p>
    <w:p>
      <w:pPr>
        <w:ind w:left="227" w:hanging="227"/>
        <w:spacing w:after="0" w:line="229" w:lineRule="auto"/>
        <w:tabs>
          <w:tab w:leader="none" w:pos="227" w:val="left"/>
        </w:tabs>
        <w:numPr>
          <w:ilvl w:val="0"/>
          <w:numId w:val="15"/>
        </w:numPr>
        <w:rPr>
          <w:rFonts w:ascii="Arial" w:cs="Arial" w:eastAsia="Arial" w:hAnsi="Arial"/>
          <w:sz w:val="22"/>
          <w:szCs w:val="22"/>
          <w:b w:val="1"/>
          <w:bCs w:val="1"/>
          <w:color w:val="1B6F80"/>
        </w:rPr>
      </w:pPr>
      <w:r>
        <w:rPr>
          <w:rFonts w:ascii="Arial" w:cs="Arial" w:eastAsia="Arial" w:hAnsi="Arial"/>
          <w:sz w:val="14"/>
          <w:szCs w:val="14"/>
          <w:b w:val="1"/>
          <w:bCs w:val="1"/>
          <w:color w:val="181818"/>
        </w:rPr>
        <w:t>William E. Heard</w:t>
      </w:r>
    </w:p>
    <w:p>
      <w:pPr>
        <w:spacing w:after="0" w:line="28" w:lineRule="exact"/>
        <w:rPr>
          <w:rFonts w:ascii="Arial" w:cs="Arial" w:eastAsia="Arial" w:hAnsi="Arial"/>
          <w:sz w:val="22"/>
          <w:szCs w:val="22"/>
          <w:b w:val="1"/>
          <w:bCs w:val="1"/>
          <w:color w:val="1B6F80"/>
        </w:rPr>
      </w:pPr>
    </w:p>
    <w:p>
      <w:pPr>
        <w:ind w:left="227" w:hanging="227"/>
        <w:spacing w:after="0" w:line="229" w:lineRule="auto"/>
        <w:tabs>
          <w:tab w:leader="none" w:pos="227" w:val="left"/>
        </w:tabs>
        <w:numPr>
          <w:ilvl w:val="0"/>
          <w:numId w:val="15"/>
        </w:numPr>
        <w:rPr>
          <w:rFonts w:ascii="Arial" w:cs="Arial" w:eastAsia="Arial" w:hAnsi="Arial"/>
          <w:sz w:val="22"/>
          <w:szCs w:val="22"/>
          <w:b w:val="1"/>
          <w:bCs w:val="1"/>
          <w:color w:val="1B6F80"/>
        </w:rPr>
      </w:pPr>
      <w:r>
        <w:rPr>
          <w:rFonts w:ascii="Arial" w:cs="Arial" w:eastAsia="Arial" w:hAnsi="Arial"/>
          <w:sz w:val="14"/>
          <w:szCs w:val="14"/>
          <w:b w:val="1"/>
          <w:bCs w:val="1"/>
          <w:color w:val="181818"/>
        </w:rPr>
        <w:t>Thomas R. Kuhn</w:t>
      </w:r>
    </w:p>
    <w:p>
      <w:pPr>
        <w:spacing w:after="0" w:line="28" w:lineRule="exact"/>
        <w:rPr>
          <w:rFonts w:ascii="Arial" w:cs="Arial" w:eastAsia="Arial" w:hAnsi="Arial"/>
          <w:sz w:val="22"/>
          <w:szCs w:val="22"/>
          <w:b w:val="1"/>
          <w:bCs w:val="1"/>
          <w:color w:val="1B6F80"/>
        </w:rPr>
      </w:pPr>
    </w:p>
    <w:p>
      <w:pPr>
        <w:ind w:left="227" w:hanging="227"/>
        <w:spacing w:after="0" w:line="229" w:lineRule="auto"/>
        <w:tabs>
          <w:tab w:leader="none" w:pos="227" w:val="left"/>
        </w:tabs>
        <w:numPr>
          <w:ilvl w:val="0"/>
          <w:numId w:val="15"/>
        </w:numPr>
        <w:rPr>
          <w:rFonts w:ascii="Arial" w:cs="Arial" w:eastAsia="Arial" w:hAnsi="Arial"/>
          <w:sz w:val="22"/>
          <w:szCs w:val="22"/>
          <w:b w:val="1"/>
          <w:bCs w:val="1"/>
          <w:color w:val="1B6F80"/>
        </w:rPr>
      </w:pPr>
      <w:r>
        <w:rPr>
          <w:rFonts w:ascii="Arial" w:cs="Arial" w:eastAsia="Arial" w:hAnsi="Arial"/>
          <w:sz w:val="14"/>
          <w:szCs w:val="14"/>
          <w:b w:val="1"/>
          <w:bCs w:val="1"/>
          <w:color w:val="181818"/>
        </w:rPr>
        <w:t>Scott A. Lang</w:t>
      </w:r>
    </w:p>
    <w:p>
      <w:pPr>
        <w:spacing w:after="0" w:line="28" w:lineRule="exact"/>
        <w:rPr>
          <w:rFonts w:ascii="Arial" w:cs="Arial" w:eastAsia="Arial" w:hAnsi="Arial"/>
          <w:sz w:val="22"/>
          <w:szCs w:val="22"/>
          <w:b w:val="1"/>
          <w:bCs w:val="1"/>
          <w:color w:val="1B6F80"/>
        </w:rPr>
      </w:pPr>
    </w:p>
    <w:p>
      <w:pPr>
        <w:ind w:left="227" w:hanging="227"/>
        <w:spacing w:after="0" w:line="229" w:lineRule="auto"/>
        <w:tabs>
          <w:tab w:leader="none" w:pos="227" w:val="left"/>
        </w:tabs>
        <w:numPr>
          <w:ilvl w:val="0"/>
          <w:numId w:val="15"/>
        </w:numPr>
        <w:rPr>
          <w:rFonts w:ascii="Arial" w:cs="Arial" w:eastAsia="Arial" w:hAnsi="Arial"/>
          <w:sz w:val="22"/>
          <w:szCs w:val="22"/>
          <w:b w:val="1"/>
          <w:bCs w:val="1"/>
          <w:color w:val="1B6F80"/>
        </w:rPr>
      </w:pPr>
      <w:r>
        <w:rPr>
          <w:rFonts w:ascii="Arial" w:cs="Arial" w:eastAsia="Arial" w:hAnsi="Arial"/>
          <w:sz w:val="14"/>
          <w:szCs w:val="14"/>
          <w:b w:val="1"/>
          <w:bCs w:val="1"/>
          <w:color w:val="181818"/>
        </w:rPr>
        <w:t>Mahvash Yazdi</w:t>
      </w:r>
    </w:p>
    <w:p>
      <w:pPr>
        <w:spacing w:after="0" w:line="2574" w:lineRule="exact"/>
        <w:rPr>
          <w:sz w:val="20"/>
          <w:szCs w:val="20"/>
          <w:color w:val="auto"/>
        </w:rPr>
      </w:pPr>
    </w:p>
    <w:p>
      <w:pPr>
        <w:sectPr>
          <w:pgSz w:w="11920" w:h="16838" w:orient="portrait"/>
          <w:cols w:equalWidth="0" w:num="2">
            <w:col w:w="8140" w:space="453"/>
            <w:col w:w="2647"/>
          </w:cols>
          <w:pgMar w:left="340" w:top="1079" w:right="33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840"/>
        <w:spacing w:after="0"/>
        <w:rPr>
          <w:sz w:val="20"/>
          <w:szCs w:val="20"/>
          <w:color w:val="auto"/>
        </w:rPr>
      </w:pPr>
      <w:r>
        <w:rPr>
          <w:rFonts w:ascii="Arial" w:cs="Arial" w:eastAsia="Arial" w:hAnsi="Arial"/>
          <w:sz w:val="36"/>
          <w:szCs w:val="36"/>
          <w:b w:val="1"/>
          <w:bCs w:val="1"/>
          <w:color w:val="1B6F80"/>
        </w:rPr>
        <w:t>5 of 7</w:t>
      </w:r>
    </w:p>
    <w:p>
      <w:pPr>
        <w:spacing w:after="0" w:line="52" w:lineRule="exact"/>
        <w:rPr>
          <w:sz w:val="20"/>
          <w:szCs w:val="20"/>
          <w:color w:val="auto"/>
        </w:rPr>
      </w:pPr>
    </w:p>
    <w:p>
      <w:pPr>
        <w:ind w:left="8840"/>
        <w:spacing w:after="0"/>
        <w:rPr>
          <w:sz w:val="20"/>
          <w:szCs w:val="20"/>
          <w:color w:val="auto"/>
        </w:rPr>
      </w:pPr>
      <w:r>
        <w:rPr>
          <w:rFonts w:ascii="Arial" w:cs="Arial" w:eastAsia="Arial" w:hAnsi="Arial"/>
          <w:sz w:val="20"/>
          <w:szCs w:val="20"/>
          <w:b w:val="1"/>
          <w:bCs w:val="1"/>
          <w:color w:val="1B6F80"/>
        </w:rPr>
        <w:t>Director Nominees are</w:t>
      </w:r>
    </w:p>
    <w:p>
      <w:pPr>
        <w:ind w:left="8840"/>
        <w:spacing w:after="0"/>
        <w:rPr>
          <w:sz w:val="20"/>
          <w:szCs w:val="20"/>
          <w:color w:val="auto"/>
        </w:rPr>
      </w:pPr>
      <w:r>
        <w:rPr>
          <w:rFonts w:ascii="Arial" w:cs="Arial" w:eastAsia="Arial" w:hAnsi="Arial"/>
          <w:sz w:val="20"/>
          <w:szCs w:val="20"/>
          <w:b w:val="1"/>
          <w:bCs w:val="1"/>
          <w:color w:val="1B6F80"/>
        </w:rPr>
        <w:t>Independent</w:t>
      </w:r>
    </w:p>
    <w:p>
      <w:pPr>
        <w:spacing w:after="0" w:line="200" w:lineRule="exact"/>
        <w:rPr>
          <w:sz w:val="20"/>
          <w:szCs w:val="20"/>
          <w:color w:val="auto"/>
        </w:rPr>
      </w:pPr>
    </w:p>
    <w:p>
      <w:pPr>
        <w:spacing w:after="0" w:line="234" w:lineRule="exact"/>
        <w:rPr>
          <w:sz w:val="20"/>
          <w:szCs w:val="20"/>
          <w:color w:val="auto"/>
        </w:rPr>
      </w:pPr>
    </w:p>
    <w:p>
      <w:pPr>
        <w:ind w:left="1020" w:right="3560" w:hanging="664"/>
        <w:spacing w:after="0" w:line="180" w:lineRule="auto"/>
        <w:tabs>
          <w:tab w:leader="none" w:pos="1020" w:val="left"/>
        </w:tabs>
        <w:numPr>
          <w:ilvl w:val="0"/>
          <w:numId w:val="16"/>
        </w:numPr>
        <w:rPr>
          <w:rFonts w:ascii="Arial" w:cs="Arial" w:eastAsia="Arial" w:hAnsi="Arial"/>
          <w:sz w:val="51"/>
          <w:szCs w:val="51"/>
          <w:b w:val="1"/>
          <w:bCs w:val="1"/>
          <w:color w:val="E5FF70"/>
          <w:vertAlign w:val="subscript"/>
        </w:rPr>
      </w:pPr>
      <w:r>
        <w:rPr>
          <w:rFonts w:ascii="Arial" w:cs="Arial" w:eastAsia="Arial" w:hAnsi="Arial"/>
          <w:sz w:val="20"/>
          <w:szCs w:val="20"/>
          <w:b w:val="1"/>
          <w:bCs w:val="1"/>
          <w:color w:val="181818"/>
        </w:rPr>
        <w:t xml:space="preserve">THE BOARD RECOMMENDS A VOTE </w:t>
      </w:r>
      <w:r>
        <w:rPr>
          <w:rFonts w:ascii="Arial" w:cs="Arial" w:eastAsia="Arial" w:hAnsi="Arial"/>
          <w:sz w:val="20"/>
          <w:szCs w:val="20"/>
          <w:b w:val="1"/>
          <w:bCs w:val="1"/>
          <w:color w:val="1B6F80"/>
        </w:rPr>
        <w:t>FOR</w:t>
      </w:r>
      <w:r>
        <w:rPr>
          <w:rFonts w:ascii="Arial" w:cs="Arial" w:eastAsia="Arial" w:hAnsi="Arial"/>
          <w:sz w:val="20"/>
          <w:szCs w:val="20"/>
          <w:b w:val="1"/>
          <w:bCs w:val="1"/>
          <w:color w:val="181818"/>
        </w:rPr>
        <w:t xml:space="preserve">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-430530</wp:posOffset>
            </wp:positionV>
            <wp:extent cx="5186680" cy="4800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86680" cy="480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494665</wp:posOffset>
            </wp:positionV>
            <wp:extent cx="71577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8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79" w:right="338"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Director Nominees</w:t>
      </w:r>
    </w:p>
    <w:p>
      <w:pPr>
        <w:spacing w:after="0" w:line="1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Our Board, based on the recommendation of our Nominating and Corporate Governance Committee, has nominated seven existing directors for reelection— five independent directors; Scott Lang, our current President and Chief Executive Officer (“CEO”); and Thomas Kuhn, the Executive Chair of our Board ("Executive Chair").</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Our director nominees are proven leaders with a wide range of skills, professional experience, and diverse backgrounds. Our Board comprises directors with deep institutional knowledge of the company and the markets in which we operate, alongside newer directors who bring a variety of experiences, perspectives, qualifications, and leadership to address the Company's challenges. Our Board composition reflects its continuing focus on achieving the right balance of experience, continuity, and fresh perspectives, including gender, racial, and ethnic diversity.</w:t>
      </w:r>
    </w:p>
    <w:p>
      <w:pPr>
        <w:spacing w:after="0" w:line="6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In addition to the information set forth below regarding our director nominees and the skills that led our Board to conclude that these individuals should serve as directors, we believe that all of our director nominees have a reputation for integrity, honesty, and adherence to the highest ethical standards. We believe that each has demonstrated business acumen, an ability to exercise sound judgment, and a commitment to service to our Company and their Board duties.</w:t>
      </w:r>
    </w:p>
    <w:p>
      <w:pPr>
        <w:sectPr>
          <w:pgSz w:w="11920" w:h="16838" w:orient="portrait"/>
          <w:cols w:equalWidth="0" w:num="1">
            <w:col w:w="11260"/>
          </w:cols>
          <w:pgMar w:left="340" w:top="308"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1360"/>
        <w:spacing w:after="0"/>
        <w:rPr>
          <w:sz w:val="20"/>
          <w:szCs w:val="20"/>
          <w:color w:val="auto"/>
        </w:rPr>
      </w:pPr>
      <w:r>
        <w:rPr>
          <w:rFonts w:ascii="Arial" w:cs="Arial" w:eastAsia="Arial" w:hAnsi="Arial"/>
          <w:sz w:val="23"/>
          <w:szCs w:val="23"/>
          <w:b w:val="1"/>
          <w:bCs w:val="1"/>
          <w:color w:val="1B6F80"/>
        </w:rPr>
        <w:t>Jeffrey A.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-1581150</wp:posOffset>
            </wp:positionV>
            <wp:extent cx="1234440" cy="1234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09314A"/>
        </w:rPr>
        <w:t>Independent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both"/>
        <w:ind w:right="1280"/>
        <w:spacing w:after="0" w:line="306" w:lineRule="auto"/>
        <w:rPr>
          <w:sz w:val="20"/>
          <w:szCs w:val="20"/>
          <w:color w:val="auto"/>
        </w:rPr>
      </w:pPr>
      <w:r>
        <w:rPr>
          <w:rFonts w:ascii="Arial" w:cs="Arial" w:eastAsia="Arial" w:hAnsi="Arial"/>
          <w:sz w:val="14"/>
          <w:szCs w:val="14"/>
          <w:b w:val="1"/>
          <w:bCs w:val="1"/>
          <w:color w:val="181818"/>
        </w:rPr>
        <w:t xml:space="preserve">Mr. Altman has served on our Board since February 2023. Mr. Altman is the founder of Owl Creek Asset Management L.P. (“Owl Creek”), whose investment funds have collectively been our largest stockholder and investor since 2014. </w:t>
      </w:r>
      <w:r>
        <w:rPr>
          <w:rFonts w:ascii="Arial" w:cs="Arial" w:eastAsia="Arial" w:hAnsi="Arial"/>
          <w:sz w:val="14"/>
          <w:szCs w:val="14"/>
          <w:color w:val="000000"/>
        </w:rPr>
        <w:t>After founding Owl Creek, Mr. Altman launched</w:t>
      </w:r>
      <w:r>
        <w:rPr>
          <w:rFonts w:ascii="Arial" w:cs="Arial" w:eastAsia="Arial" w:hAnsi="Arial"/>
          <w:sz w:val="14"/>
          <w:szCs w:val="14"/>
          <w:b w:val="1"/>
          <w:bCs w:val="1"/>
          <w:color w:val="181818"/>
        </w:rPr>
        <w:t xml:space="preserve"> </w:t>
      </w:r>
      <w:r>
        <w:rPr>
          <w:rFonts w:ascii="Arial" w:cs="Arial" w:eastAsia="Arial" w:hAnsi="Arial"/>
          <w:sz w:val="14"/>
          <w:szCs w:val="14"/>
          <w:color w:val="000000"/>
        </w:rPr>
        <w:t>the Owl Creek Flagship Funds in February 2002, followed by the Owl Creek Socially Responsible Investment Fund in May 2006, the Owl Creek Credit Funds in July 2012, the Owl Creek Special Situations Fund, L.P. in April 2019, and the OC Opportunities Fund III in May 2021. As Chief Portfolio Manager since Owl Creek's founding, Mr. Altman directs all aspects of research and trading on all investments and leads the investment group as the Investment Manager in a team approach to gathering consensus on investment ideas. Before forming Owl Creek, Mr. Altman spent 13 years at Franklin Mutual and Heine Securities Corporation, serving in various capacities, including junior and senior analyst positions, head trader of the bankruptcy and distressed group, senior vice president and senior portfolio manager.</w:t>
      </w:r>
    </w:p>
    <w:p>
      <w:pPr>
        <w:spacing w:after="0" w:line="75" w:lineRule="exact"/>
        <w:rPr>
          <w:sz w:val="20"/>
          <w:szCs w:val="20"/>
          <w:color w:val="auto"/>
        </w:rPr>
      </w:pPr>
    </w:p>
    <w:p>
      <w:pPr>
        <w:jc w:val="both"/>
        <w:ind w:right="1280"/>
        <w:spacing w:after="0" w:line="332" w:lineRule="auto"/>
        <w:rPr>
          <w:sz w:val="20"/>
          <w:szCs w:val="20"/>
          <w:color w:val="auto"/>
        </w:rPr>
      </w:pPr>
      <w:r>
        <w:rPr>
          <w:rFonts w:ascii="Arial" w:cs="Arial" w:eastAsia="Arial" w:hAnsi="Arial"/>
          <w:sz w:val="14"/>
          <w:szCs w:val="14"/>
          <w:b w:val="1"/>
          <w:bCs w:val="1"/>
          <w:color w:val="09314A"/>
        </w:rPr>
        <w:t>Mr. Altman earned a B.S. in Management from the A.B. Freeman School of Business at Tulane University in 1988. We believe Mr. Altman is well-qualified to serve on our Board due to his extensive investment experience and proven ability to drive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108585</wp:posOffset>
            </wp:positionV>
            <wp:extent cx="5554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54980"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1042670</wp:posOffset>
            </wp:positionV>
            <wp:extent cx="71577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3280" w:space="360"/>
            <w:col w:w="7620"/>
          </w:cols>
          <w:pgMar w:left="340" w:top="308" w:right="31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1</w:t>
      </w:r>
    </w:p>
    <w:p>
      <w:pPr>
        <w:sectPr>
          <w:pgSz w:w="11920" w:h="16838" w:orient="portrait"/>
          <w:cols w:equalWidth="0" w:num="1">
            <w:col w:w="11240"/>
          </w:cols>
          <w:pgMar w:left="340" w:top="308" w:right="33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1380"/>
        <w:spacing w:after="0"/>
        <w:rPr>
          <w:sz w:val="20"/>
          <w:szCs w:val="20"/>
          <w:color w:val="auto"/>
        </w:rPr>
      </w:pPr>
      <w:r>
        <w:rPr>
          <w:rFonts w:ascii="Arial" w:cs="Arial" w:eastAsia="Arial" w:hAnsi="Arial"/>
          <w:sz w:val="23"/>
          <w:szCs w:val="23"/>
          <w:b w:val="1"/>
          <w:bCs w:val="1"/>
          <w:color w:val="1B6F80"/>
        </w:rPr>
        <w:t>Leslie B.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-1581150</wp:posOffset>
            </wp:positionV>
            <wp:extent cx="1234440" cy="12344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101"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09314A"/>
        </w:rPr>
        <w:t>Independent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260"/>
        <w:spacing w:after="0" w:line="303" w:lineRule="auto"/>
        <w:rPr>
          <w:sz w:val="20"/>
          <w:szCs w:val="20"/>
          <w:color w:val="auto"/>
        </w:rPr>
      </w:pPr>
      <w:r>
        <w:rPr>
          <w:rFonts w:ascii="Arial" w:cs="Arial" w:eastAsia="Arial" w:hAnsi="Arial"/>
          <w:sz w:val="14"/>
          <w:szCs w:val="14"/>
          <w:b w:val="1"/>
          <w:bCs w:val="1"/>
          <w:color w:val="181818"/>
        </w:rPr>
        <w:t xml:space="preserve">Mr. Daniels has served on our Board since September 2020 and currently Chairs both the Corporate Development Committee and the Nominating and Corporate Governance Committee. Mr. Daniels serves as a Senior Adviser at AE Industrial Partners, L.P. (“AEP”), a private equity firm in Boca Raton, FL, specializing in aerospace, power generation, and specialty industrial markets. In 2024, Mr. Daniels transitioned to a Senior Advisor role at AEP. </w:t>
      </w:r>
      <w:r>
        <w:rPr>
          <w:rFonts w:ascii="Arial" w:cs="Arial" w:eastAsia="Arial" w:hAnsi="Arial"/>
          <w:sz w:val="14"/>
          <w:szCs w:val="14"/>
          <w:color w:val="000000"/>
        </w:rPr>
        <w:t>Mr. Daniels serves on the board of directors of GAMCO Investors, Inc. (NYSE: GAMI), and</w:t>
      </w:r>
      <w:r>
        <w:rPr>
          <w:rFonts w:ascii="Arial" w:cs="Arial" w:eastAsia="Arial" w:hAnsi="Arial"/>
          <w:sz w:val="14"/>
          <w:szCs w:val="14"/>
          <w:b w:val="1"/>
          <w:bCs w:val="1"/>
          <w:color w:val="181818"/>
        </w:rPr>
        <w:t xml:space="preserve"> </w:t>
      </w:r>
      <w:r>
        <w:rPr>
          <w:rFonts w:ascii="Arial" w:cs="Arial" w:eastAsia="Arial" w:hAnsi="Arial"/>
          <w:sz w:val="14"/>
          <w:szCs w:val="14"/>
          <w:color w:val="000000"/>
        </w:rPr>
        <w:t>Moeller Aerospace. Mr. Daniels formerly served on the Advisory Committee on Trade Policy and Negotiation as a presidential appointee. Mr. Daniels is a former chairman and former member of Florida’s State Board of Administration, Investment Advisory Council. Mr. Daniels was a founding partner of CAI Managers &amp; Co., L.P., a private equity firm located in New York City, from 1989 to 2014. Prior to CAI Managers, Mr. Daniels was President of Burdge, Daniels &amp; Co., Inc., a company engaged as a principal in venture capital and buyout investments and trading of private placement securities. Mr. Daniels also served as Senior Vice President of Blyth, Eastman, Dillon &amp; Co., where he was responsible for its corporate fixed-income sales and trading departments. Mr. Daniels is a former Director of AeroSat Corporation; Aster-Cephac SA; Bioanalytical Systems, Inc.; Douglas Machine &amp; Tool Co., Inc.; IVAX Corporation; MIM Corporation; MIST Inc.; Mylan Laboratories Inc.; NBS Technologies Inc.; and Safeguard Health Enterprises, Inc. Mr. Daniels served as Chairman of TurboCombustor Technology Inc. and Zenith Laboratories, Inc.</w:t>
      </w:r>
    </w:p>
    <w:p>
      <w:pPr>
        <w:spacing w:after="0" w:line="81" w:lineRule="exact"/>
        <w:rPr>
          <w:sz w:val="20"/>
          <w:szCs w:val="20"/>
          <w:color w:val="auto"/>
        </w:rPr>
      </w:pPr>
    </w:p>
    <w:p>
      <w:pPr>
        <w:jc w:val="both"/>
        <w:ind w:right="1260"/>
        <w:spacing w:after="0" w:line="363" w:lineRule="auto"/>
        <w:rPr>
          <w:sz w:val="20"/>
          <w:szCs w:val="20"/>
          <w:color w:val="auto"/>
        </w:rPr>
      </w:pPr>
      <w:r>
        <w:rPr>
          <w:rFonts w:ascii="Arial" w:cs="Arial" w:eastAsia="Arial" w:hAnsi="Arial"/>
          <w:sz w:val="14"/>
          <w:szCs w:val="14"/>
          <w:b w:val="1"/>
          <w:bCs w:val="1"/>
          <w:color w:val="09314A"/>
        </w:rPr>
        <w:t>Mr. Daniels is a graduate of Fordham University. We believe Mr. Daniels' deep financial, M&amp;A, and board experience make him well-qualified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197485</wp:posOffset>
            </wp:positionV>
            <wp:extent cx="5554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3240" w:space="400"/>
            <w:col w:w="7600"/>
          </w:cols>
          <w:pgMar w:left="340" w:top="308" w:right="33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1500"/>
        <w:spacing w:after="0"/>
        <w:rPr>
          <w:sz w:val="20"/>
          <w:szCs w:val="20"/>
          <w:color w:val="auto"/>
        </w:rPr>
      </w:pPr>
      <w:r>
        <w:rPr>
          <w:rFonts w:ascii="Arial" w:cs="Arial" w:eastAsia="Arial" w:hAnsi="Arial"/>
          <w:sz w:val="23"/>
          <w:szCs w:val="23"/>
          <w:b w:val="1"/>
          <w:bCs w:val="1"/>
          <w:color w:val="1B6F80"/>
        </w:rPr>
        <w:t>Mark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-1572895</wp:posOffset>
            </wp:positionV>
            <wp:extent cx="1234440" cy="12344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31" w:lineRule="exact"/>
        <w:rPr>
          <w:sz w:val="20"/>
          <w:szCs w:val="20"/>
          <w:color w:val="auto"/>
        </w:rPr>
      </w:pPr>
    </w:p>
    <w:p>
      <w:pPr>
        <w:jc w:val="center"/>
        <w:ind w:left="1500"/>
        <w:spacing w:after="0"/>
        <w:rPr>
          <w:sz w:val="20"/>
          <w:szCs w:val="20"/>
          <w:color w:val="auto"/>
        </w:rPr>
      </w:pPr>
      <w:r>
        <w:rPr>
          <w:rFonts w:ascii="Arial" w:cs="Arial" w:eastAsia="Arial" w:hAnsi="Arial"/>
          <w:sz w:val="23"/>
          <w:szCs w:val="23"/>
          <w:b w:val="1"/>
          <w:bCs w:val="1"/>
          <w:color w:val="1B6F80"/>
        </w:rPr>
        <w:t>Fleischhauer</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09314A"/>
        </w:rPr>
        <w:t>Independent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1260"/>
        <w:spacing w:after="0" w:line="305" w:lineRule="auto"/>
        <w:rPr>
          <w:sz w:val="20"/>
          <w:szCs w:val="20"/>
          <w:color w:val="auto"/>
        </w:rPr>
      </w:pPr>
      <w:r>
        <w:rPr>
          <w:rFonts w:ascii="Arial" w:cs="Arial" w:eastAsia="Arial" w:hAnsi="Arial"/>
          <w:sz w:val="14"/>
          <w:szCs w:val="14"/>
          <w:b w:val="1"/>
          <w:bCs w:val="1"/>
          <w:color w:val="181818"/>
        </w:rPr>
        <w:t xml:space="preserve">Mr. Fleischhauer has served on our Board since August 2024 and is Chair of the Audit Committee Mr. Fleischhauer currently invests in and advises private companies, prior to which he was a Partner at Owl Creek Asset Management, where he worked from 2007 until 2024. Mr. Fleischhauer ended his tenure at Owl Creek as an Assistant Portfolio Manager, focusing on the firm’s investments in public equities, including coverage of the telecommunication industry. </w:t>
      </w:r>
      <w:r>
        <w:rPr>
          <w:rFonts w:ascii="Arial" w:cs="Arial" w:eastAsia="Arial" w:hAnsi="Arial"/>
          <w:sz w:val="14"/>
          <w:szCs w:val="14"/>
          <w:color w:val="000000"/>
        </w:rPr>
        <w:t>Before joining Owl Creek, Mr. Fleischhauer served as a Portfolio</w:t>
      </w:r>
      <w:r>
        <w:rPr>
          <w:rFonts w:ascii="Arial" w:cs="Arial" w:eastAsia="Arial" w:hAnsi="Arial"/>
          <w:sz w:val="14"/>
          <w:szCs w:val="14"/>
          <w:b w:val="1"/>
          <w:bCs w:val="1"/>
          <w:color w:val="181818"/>
        </w:rPr>
        <w:t xml:space="preserve"> </w:t>
      </w:r>
      <w:r>
        <w:rPr>
          <w:rFonts w:ascii="Arial" w:cs="Arial" w:eastAsia="Arial" w:hAnsi="Arial"/>
          <w:sz w:val="14"/>
          <w:szCs w:val="14"/>
          <w:color w:val="000000"/>
        </w:rPr>
        <w:t>Manager at Jayhawk Capital Management and an Analyst at HFR Asset Management, after earning his MBA at the Kellogg School of Management at Northwestern University. Mr. Fleischhauer started his career as an Investing Banking Analyst in the Technology Group at Bear Stearns before moving to investment management at George Weiss Associates and Hamilton Partners.</w:t>
      </w:r>
    </w:p>
    <w:p>
      <w:pPr>
        <w:spacing w:after="0" w:line="74" w:lineRule="exact"/>
        <w:rPr>
          <w:sz w:val="20"/>
          <w:szCs w:val="20"/>
          <w:color w:val="auto"/>
        </w:rPr>
      </w:pPr>
    </w:p>
    <w:p>
      <w:pPr>
        <w:jc w:val="both"/>
        <w:ind w:right="1260"/>
        <w:spacing w:after="0" w:line="317" w:lineRule="auto"/>
        <w:rPr>
          <w:sz w:val="20"/>
          <w:szCs w:val="20"/>
          <w:color w:val="auto"/>
        </w:rPr>
      </w:pPr>
      <w:r>
        <w:rPr>
          <w:rFonts w:ascii="Arial" w:cs="Arial" w:eastAsia="Arial" w:hAnsi="Arial"/>
          <w:sz w:val="14"/>
          <w:szCs w:val="14"/>
          <w:b w:val="1"/>
          <w:bCs w:val="1"/>
          <w:color w:val="09314A"/>
        </w:rPr>
        <w:t>In addition to his MBA from Northwestern University’s Kellogg School of Business, Mr. Fleischhauer earned his Bachelor of Science in Economics from the Wharton School at the University of Pennsylvania. We believe Mr. Fleischhauer is well-qualified to serve on our Board given his deep investment experience, strong track record of stockholder value creation, and industry expertise in telecommunications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208915</wp:posOffset>
            </wp:positionV>
            <wp:extent cx="5554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54980"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1075055</wp:posOffset>
            </wp:positionV>
            <wp:extent cx="71577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3140" w:space="500"/>
            <w:col w:w="7600"/>
          </w:cols>
          <w:pgMar w:left="340" w:top="308" w:right="33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10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308" w:right="338"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603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0325"/>
                    </a:xfrm>
                    <a:prstGeom prst="rect">
                      <a:avLst/>
                    </a:prstGeom>
                    <a:noFill/>
                  </pic:spPr>
                </pic:pic>
              </a:graphicData>
            </a:graphic>
          </wp:anchor>
        </w:drawing>
        <w:t>Proposal 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3620" w:right="1280"/>
        <w:spacing w:after="0" w:line="308" w:lineRule="auto"/>
        <w:rPr>
          <w:sz w:val="20"/>
          <w:szCs w:val="20"/>
          <w:color w:val="auto"/>
        </w:rPr>
      </w:pPr>
      <w:r>
        <w:rPr>
          <w:rFonts w:ascii="Arial" w:cs="Arial" w:eastAsia="Arial" w:hAnsi="Arial"/>
          <w:sz w:val="14"/>
          <w:szCs w:val="14"/>
          <w:b w:val="1"/>
          <w:bCs w:val="1"/>
          <w:color w:val="181818"/>
        </w:rPr>
        <w:t xml:space="preserve">Mr. Heard has served on our Board since August 2024. In 2011, Mr. Heard founded Heard Capital LLC (“Heard Capital”) - an asset management firm that invests primarily in public equities across the telecommunications, media, technology, finance and industrial sectors - where he continues to serve as Chief Executive Officer and Chief Investment Officer. As the manager of Heard Capital's investment strategy and process, he has extensive knowledge and experience analyzing the health and success of publicly traded companies in highly regulated industries. </w:t>
      </w:r>
      <w:r>
        <w:rPr>
          <w:rFonts w:ascii="Arial" w:cs="Arial" w:eastAsia="Arial" w:hAnsi="Arial"/>
          <w:sz w:val="14"/>
          <w:szCs w:val="14"/>
          <w:color w:val="000000"/>
        </w:rPr>
        <w:t>Prior to founding Heard Capital, Mr. Heard was a special situations analyst</w:t>
      </w:r>
      <w:r>
        <w:rPr>
          <w:rFonts w:ascii="Arial" w:cs="Arial" w:eastAsia="Arial" w:hAnsi="Arial"/>
          <w:sz w:val="14"/>
          <w:szCs w:val="14"/>
          <w:b w:val="1"/>
          <w:bCs w:val="1"/>
          <w:color w:val="181818"/>
        </w:rPr>
        <w:t xml:space="preserve"> </w:t>
      </w:r>
      <w:r>
        <w:rPr>
          <w:rFonts w:ascii="Arial" w:cs="Arial" w:eastAsia="Arial" w:hAnsi="Arial"/>
          <w:sz w:val="14"/>
          <w:szCs w:val="14"/>
          <w:color w:val="000000"/>
        </w:rPr>
        <w:t>for Stark Investments, where he covered equity, credit and option markets in the telecommunications, media, technology, financial, industrial and energy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-1179195</wp:posOffset>
            </wp:positionV>
            <wp:extent cx="1234440" cy="12344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40"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Mr. Heard is a board member of the President’s Circle and Young Professional Network for the</w:t>
      </w:r>
    </w:p>
    <w:p>
      <w:pPr>
        <w:spacing w:after="0" w:line="42" w:lineRule="exact"/>
        <w:rPr>
          <w:sz w:val="20"/>
          <w:szCs w:val="20"/>
          <w:color w:val="auto"/>
        </w:rPr>
      </w:pPr>
    </w:p>
    <w:p>
      <w:pPr>
        <w:ind w:left="1380" w:right="1280" w:firstLine="2245"/>
        <w:spacing w:after="0" w:line="250" w:lineRule="auto"/>
        <w:rPr>
          <w:sz w:val="20"/>
          <w:szCs w:val="20"/>
          <w:color w:val="auto"/>
        </w:rPr>
      </w:pPr>
      <w:r>
        <w:rPr>
          <w:rFonts w:ascii="Arial" w:cs="Arial" w:eastAsia="Arial" w:hAnsi="Arial"/>
          <w:sz w:val="14"/>
          <w:szCs w:val="14"/>
          <w:color w:val="auto"/>
        </w:rPr>
        <w:t xml:space="preserve">Chicago Council on Global Affairs and is a member of the Dean's Circle at the University of </w:t>
      </w:r>
      <w:r>
        <w:rPr>
          <w:rFonts w:ascii="Arial" w:cs="Arial" w:eastAsia="Arial" w:hAnsi="Arial"/>
          <w:sz w:val="23"/>
          <w:szCs w:val="23"/>
          <w:b w:val="1"/>
          <w:bCs w:val="1"/>
          <w:color w:val="1B6F80"/>
        </w:rPr>
        <w:t xml:space="preserve">William E. Heard </w:t>
      </w:r>
      <w:r>
        <w:rPr>
          <w:rFonts w:ascii="Arial" w:cs="Arial" w:eastAsia="Arial" w:hAnsi="Arial"/>
          <w:sz w:val="14"/>
          <w:szCs w:val="14"/>
          <w:color w:val="000000"/>
        </w:rPr>
        <w:t>Chicago Law School and the Economic Club of Chicago.</w:t>
      </w:r>
    </w:p>
    <w:p>
      <w:pPr>
        <w:spacing w:after="0" w:line="49" w:lineRule="exact"/>
        <w:rPr>
          <w:sz w:val="20"/>
          <w:szCs w:val="20"/>
          <w:color w:val="auto"/>
        </w:rPr>
      </w:pPr>
    </w:p>
    <w:p>
      <w:pPr>
        <w:jc w:val="both"/>
        <w:ind w:left="3620" w:right="1280" w:hanging="2143"/>
        <w:spacing w:after="0" w:line="322" w:lineRule="auto"/>
        <w:tabs>
          <w:tab w:leader="none" w:pos="3600" w:val="left"/>
        </w:tabs>
        <w:rPr>
          <w:sz w:val="20"/>
          <w:szCs w:val="20"/>
          <w:color w:val="auto"/>
        </w:rPr>
      </w:pPr>
      <w:r>
        <w:rPr>
          <w:rFonts w:ascii="Arial" w:cs="Arial" w:eastAsia="Arial" w:hAnsi="Arial"/>
          <w:sz w:val="16"/>
          <w:szCs w:val="16"/>
          <w:b w:val="1"/>
          <w:bCs w:val="1"/>
          <w:color w:val="09314A"/>
        </w:rPr>
        <w:t>Independent Director</w:t>
      </w:r>
      <w:r>
        <w:rPr>
          <w:sz w:val="20"/>
          <w:szCs w:val="20"/>
          <w:color w:val="auto"/>
        </w:rPr>
        <w:tab/>
      </w:r>
      <w:r>
        <w:rPr>
          <w:rFonts w:ascii="Arial" w:cs="Arial" w:eastAsia="Arial" w:hAnsi="Arial"/>
          <w:sz w:val="14"/>
          <w:szCs w:val="14"/>
          <w:b w:val="1"/>
          <w:bCs w:val="1"/>
          <w:color w:val="09314A"/>
        </w:rPr>
        <w:t>Mr. Heard is a graduate of Marquette University's College of Business Administration, where he earned a Bachelor of Science in Finance and Real Estate. We believe Mr. Heard is well-qualified to serve on our Board due to his leadership experience, industry insight, and track record of driving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132715</wp:posOffset>
            </wp:positionV>
            <wp:extent cx="5554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ectPr>
          <w:pgSz w:w="11920" w:h="16838" w:orient="portrait"/>
          <w:cols w:equalWidth="0" w:num="1">
            <w:col w:w="11240"/>
          </w:cols>
          <w:pgMar w:left="360" w:top="308"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1360"/>
        <w:spacing w:after="0"/>
        <w:rPr>
          <w:sz w:val="20"/>
          <w:szCs w:val="20"/>
          <w:color w:val="auto"/>
        </w:rPr>
      </w:pPr>
      <w:r>
        <w:rPr>
          <w:rFonts w:ascii="Arial" w:cs="Arial" w:eastAsia="Arial" w:hAnsi="Arial"/>
          <w:sz w:val="23"/>
          <w:szCs w:val="23"/>
          <w:b w:val="1"/>
          <w:bCs w:val="1"/>
          <w:color w:val="1B6F80"/>
        </w:rPr>
        <w:t>Thomas R. Kuhn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-1581150</wp:posOffset>
            </wp:positionV>
            <wp:extent cx="1234440" cy="12344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115"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09314A"/>
        </w:rPr>
        <w:t>Executive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1280"/>
        <w:spacing w:after="0" w:line="304" w:lineRule="auto"/>
        <w:rPr>
          <w:sz w:val="20"/>
          <w:szCs w:val="20"/>
          <w:color w:val="auto"/>
        </w:rPr>
      </w:pPr>
      <w:r>
        <w:rPr>
          <w:rFonts w:ascii="Arial" w:cs="Arial" w:eastAsia="Arial" w:hAnsi="Arial"/>
          <w:sz w:val="14"/>
          <w:szCs w:val="14"/>
          <w:b w:val="1"/>
          <w:bCs w:val="1"/>
          <w:color w:val="181818"/>
        </w:rPr>
        <w:t xml:space="preserve">Mr. Kuhn has served as Executive Chair since January 2025 and he is also Chair of the Utility Engagement Committee. Mr. Kuhn joined our Board as a Vice Chairman January 2004 after more than thirty years as President and CEO of the Edison Electric Institute (“EEI”), the association that represents all U.S. investor-owned electric companies. Prior to his role as President &amp; CEO, Mr. Kuhn served as Chief Operating Officer of EEI from 1988 to 1990 and executive vice president from 1985 to 1988. </w:t>
      </w:r>
      <w:r>
        <w:rPr>
          <w:rFonts w:ascii="Arial" w:cs="Arial" w:eastAsia="Arial" w:hAnsi="Arial"/>
          <w:sz w:val="14"/>
          <w:szCs w:val="14"/>
          <w:color w:val="000000"/>
        </w:rPr>
        <w:t>Before joining EEI, Mr. Kuhn was president of the</w:t>
      </w:r>
      <w:r>
        <w:rPr>
          <w:rFonts w:ascii="Arial" w:cs="Arial" w:eastAsia="Arial" w:hAnsi="Arial"/>
          <w:sz w:val="14"/>
          <w:szCs w:val="14"/>
          <w:b w:val="1"/>
          <w:bCs w:val="1"/>
          <w:color w:val="181818"/>
        </w:rPr>
        <w:t xml:space="preserve"> </w:t>
      </w:r>
      <w:r>
        <w:rPr>
          <w:rFonts w:ascii="Arial" w:cs="Arial" w:eastAsia="Arial" w:hAnsi="Arial"/>
          <w:sz w:val="14"/>
          <w:szCs w:val="14"/>
          <w:color w:val="000000"/>
        </w:rPr>
        <w:t>American Nuclear Energy Council, representing virtually all companies in the commercial nuclear power industry. Mr. Kuhn joined the Council in 1975 as Vice President, Government Affairs and became President in 1983. From 1972 to 1975, Mr. Kuhn headed the energy section of the investment banking firm Alex Brown and Sons. Prior to that, from 1970 to 1972, he was the White House Liaison Officer to the Secretary of the Navy. Mr. Kuhn previously served on the Secretary of Energy’s Advisory Board and the Board of the U.S. Chamber of Commerce. He currently serves on the boards of the Alliance to Save Energy, the United States Energy Association, and the U.S. Navy Memorial Foundation. Mr. Kuhn is Chairman Emeritus of the Committee of 100 of the U.S. Chamber of Commerce, the American Society of Association Executives, and the National Multiple Sclerosis Society.</w:t>
      </w:r>
    </w:p>
    <w:p>
      <w:pPr>
        <w:spacing w:after="0" w:line="72" w:lineRule="exact"/>
        <w:rPr>
          <w:sz w:val="20"/>
          <w:szCs w:val="20"/>
          <w:color w:val="auto"/>
        </w:rPr>
      </w:pPr>
    </w:p>
    <w:p>
      <w:pPr>
        <w:jc w:val="both"/>
        <w:ind w:right="1280"/>
        <w:spacing w:after="0" w:line="314" w:lineRule="auto"/>
        <w:rPr>
          <w:sz w:val="20"/>
          <w:szCs w:val="20"/>
          <w:color w:val="auto"/>
        </w:rPr>
      </w:pPr>
      <w:r>
        <w:rPr>
          <w:rFonts w:ascii="Arial" w:cs="Arial" w:eastAsia="Arial" w:hAnsi="Arial"/>
          <w:sz w:val="14"/>
          <w:szCs w:val="14"/>
          <w:b w:val="1"/>
          <w:bCs w:val="1"/>
          <w:color w:val="09314A"/>
        </w:rPr>
        <w:t>Mr. Kuhn holds a Bachelor of Science degree in economics from Yale University and served as a Naval Officer following his graduation. He also received an MBA from George Washington University. Mr. Kuhn completed the Stanford University Graduate School of Business Senior Executive Program in 1989. We believe Mr. Kuhn’s extensive leadership experience, deep industry knowledge, and broad utility relationships make him exceptionally well-qualified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115570</wp:posOffset>
            </wp:positionV>
            <wp:extent cx="5554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54980" cy="8255"/>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921385</wp:posOffset>
            </wp:positionV>
            <wp:extent cx="71577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3220" w:space="400"/>
            <w:col w:w="7620"/>
          </w:cols>
          <w:pgMar w:left="360" w:top="308" w:right="31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134620</wp:posOffset>
            </wp:positionV>
            <wp:extent cx="71831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60" w:top="308" w:right="318"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1</w:t>
      </w:r>
    </w:p>
    <w:p>
      <w:pPr>
        <w:sectPr>
          <w:pgSz w:w="11920" w:h="16838" w:orient="portrait"/>
          <w:cols w:equalWidth="0" w:num="1">
            <w:col w:w="11240"/>
          </w:cols>
          <w:pgMar w:left="340" w:top="308" w:right="33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560"/>
        <w:spacing w:after="0"/>
        <w:rPr>
          <w:sz w:val="20"/>
          <w:szCs w:val="20"/>
          <w:color w:val="auto"/>
        </w:rPr>
      </w:pPr>
      <w:r>
        <w:rPr>
          <w:rFonts w:ascii="Arial" w:cs="Arial" w:eastAsia="Arial" w:hAnsi="Arial"/>
          <w:sz w:val="23"/>
          <w:szCs w:val="23"/>
          <w:b w:val="1"/>
          <w:bCs w:val="1"/>
          <w:color w:val="1B6F80"/>
        </w:rPr>
        <w:t>Scott A.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-1581150</wp:posOffset>
            </wp:positionV>
            <wp:extent cx="1234440" cy="12344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10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09314A"/>
        </w:rPr>
        <w:t>President &amp; Chief</w:t>
      </w:r>
    </w:p>
    <w:p>
      <w:pPr>
        <w:spacing w:after="0" w:line="4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9314A"/>
        </w:rPr>
        <w:t>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260"/>
        <w:spacing w:after="0" w:line="304" w:lineRule="auto"/>
        <w:rPr>
          <w:sz w:val="20"/>
          <w:szCs w:val="20"/>
          <w:color w:val="auto"/>
        </w:rPr>
      </w:pPr>
      <w:r>
        <w:rPr>
          <w:rFonts w:ascii="Arial" w:cs="Arial" w:eastAsia="Arial" w:hAnsi="Arial"/>
          <w:sz w:val="14"/>
          <w:szCs w:val="14"/>
          <w:b w:val="1"/>
          <w:bCs w:val="1"/>
          <w:color w:val="181818"/>
        </w:rPr>
        <w:t xml:space="preserve">Mr. Lang has served on our Board since August 2024 and was appointed President and CEO in October 2024. Mr. Lang was appointed our President and Chief Executive Officer in October 2024. In March 2024, Mr. Lang was named CEO and Chairman of the Board of Project Canary, a leading emissions intelligence platform helping companies in the energy industry monitor emissions. </w:t>
      </w:r>
      <w:r>
        <w:rPr>
          <w:rFonts w:ascii="Arial" w:cs="Arial" w:eastAsia="Arial" w:hAnsi="Arial"/>
          <w:sz w:val="14"/>
          <w:szCs w:val="14"/>
          <w:color w:val="000000"/>
        </w:rPr>
        <w:t>From November 2019 to July 2023, Mr. Lang was Chairman of the</w:t>
      </w:r>
      <w:r>
        <w:rPr>
          <w:rFonts w:ascii="Arial" w:cs="Arial" w:eastAsia="Arial" w:hAnsi="Arial"/>
          <w:sz w:val="14"/>
          <w:szCs w:val="14"/>
          <w:b w:val="1"/>
          <w:bCs w:val="1"/>
          <w:color w:val="181818"/>
        </w:rPr>
        <w:t xml:space="preserve"> </w:t>
      </w:r>
      <w:r>
        <w:rPr>
          <w:rFonts w:ascii="Arial" w:cs="Arial" w:eastAsia="Arial" w:hAnsi="Arial"/>
          <w:sz w:val="14"/>
          <w:szCs w:val="14"/>
          <w:color w:val="000000"/>
        </w:rPr>
        <w:t>Board and CEO of Turvo, a software technology company focused on the supply chain and logistics industry. From September 2015 to January 2018, Mr. Lang was Executive Chairman and Chairman of the Board of Silver Spring Networks, where he served as Founding Chairman, CEO and President from September 2004 to September 2015. While at Silver Spring Networks, he raised more than $200 million of venture and private equity capital and helped to develop the first secure native IP network platform for smart electric meters. Previously in his career, Mr. Lang held positions of increasing responsibility at Electronic Data Systems and Perot Systems.</w:t>
      </w:r>
    </w:p>
    <w:p>
      <w:pPr>
        <w:spacing w:after="0" w:line="77" w:lineRule="exact"/>
        <w:rPr>
          <w:sz w:val="20"/>
          <w:szCs w:val="20"/>
          <w:color w:val="auto"/>
        </w:rPr>
      </w:pPr>
    </w:p>
    <w:p>
      <w:pPr>
        <w:jc w:val="both"/>
        <w:ind w:right="1260"/>
        <w:spacing w:after="0" w:line="317" w:lineRule="auto"/>
        <w:rPr>
          <w:sz w:val="20"/>
          <w:szCs w:val="20"/>
          <w:color w:val="auto"/>
        </w:rPr>
      </w:pPr>
      <w:r>
        <w:rPr>
          <w:rFonts w:ascii="Arial" w:cs="Arial" w:eastAsia="Arial" w:hAnsi="Arial"/>
          <w:sz w:val="14"/>
          <w:szCs w:val="14"/>
          <w:b w:val="1"/>
          <w:bCs w:val="1"/>
          <w:color w:val="09314A"/>
        </w:rPr>
        <w:t>Mr. Lang holds a BS in Business Administration with a minor in Computer Science from the University of Mississippi and an Executive MBA from Northwestern University’s Kellogg School of Business. We believe Mr. Lang is well-qualified to serve on our Board given his CEO experience, public company board leadership, deep utility sector expertise, and proven track record of driving innovation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208915</wp:posOffset>
            </wp:positionV>
            <wp:extent cx="5554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3060" w:space="580"/>
            <w:col w:w="7600"/>
          </w:cols>
          <w:pgMar w:left="340" w:top="308" w:right="33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1300"/>
        <w:spacing w:after="0"/>
        <w:rPr>
          <w:sz w:val="20"/>
          <w:szCs w:val="20"/>
          <w:color w:val="auto"/>
        </w:rPr>
      </w:pPr>
      <w:r>
        <w:rPr>
          <w:rFonts w:ascii="Arial" w:cs="Arial" w:eastAsia="Arial" w:hAnsi="Arial"/>
          <w:sz w:val="23"/>
          <w:szCs w:val="23"/>
          <w:b w:val="1"/>
          <w:bCs w:val="1"/>
          <w:color w:val="1B6F80"/>
        </w:rPr>
        <w:t>Mahvash Yazdi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-1581150</wp:posOffset>
            </wp:positionV>
            <wp:extent cx="1234440" cy="1234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09314A"/>
        </w:rPr>
        <w:t>Lead Independent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260"/>
        <w:spacing w:after="0" w:line="322" w:lineRule="auto"/>
        <w:rPr>
          <w:sz w:val="20"/>
          <w:szCs w:val="20"/>
          <w:color w:val="auto"/>
        </w:rPr>
      </w:pPr>
      <w:r>
        <w:rPr>
          <w:rFonts w:ascii="Arial" w:cs="Arial" w:eastAsia="Arial" w:hAnsi="Arial"/>
          <w:sz w:val="14"/>
          <w:szCs w:val="14"/>
          <w:b w:val="1"/>
          <w:bCs w:val="1"/>
          <w:color w:val="auto"/>
        </w:rPr>
        <w:t>Ms. Yazdi has served on our Board since February 2021 and is currently Lead Independent Director and Chair of the Compensation Committee. Ms. Yazdi is President of Feasible Management Consulting, where she has provided strategic advisory services across the energy, technology, and communications sectors since 2012.</w:t>
      </w:r>
    </w:p>
    <w:p>
      <w:pPr>
        <w:spacing w:after="0" w:line="56" w:lineRule="exact"/>
        <w:rPr>
          <w:sz w:val="20"/>
          <w:szCs w:val="20"/>
          <w:color w:val="auto"/>
        </w:rPr>
      </w:pPr>
    </w:p>
    <w:p>
      <w:pPr>
        <w:jc w:val="both"/>
        <w:ind w:right="1260"/>
        <w:spacing w:after="0" w:line="326" w:lineRule="auto"/>
        <w:rPr>
          <w:sz w:val="20"/>
          <w:szCs w:val="20"/>
          <w:color w:val="auto"/>
        </w:rPr>
      </w:pPr>
      <w:r>
        <w:rPr>
          <w:rFonts w:ascii="Arial" w:cs="Arial" w:eastAsia="Arial" w:hAnsi="Arial"/>
          <w:sz w:val="14"/>
          <w:szCs w:val="14"/>
          <w:color w:val="auto"/>
        </w:rPr>
        <w:t>She previously served as Senior Vice President and Chief Information Officer of Edison International and Southern California Edison, and as Vice President and Chief Information Officer of Hughes Electronics, where she led technology strategy in the aerospace and defense sector.</w:t>
      </w:r>
    </w:p>
    <w:p>
      <w:pPr>
        <w:spacing w:after="0" w:line="59" w:lineRule="exact"/>
        <w:rPr>
          <w:sz w:val="20"/>
          <w:szCs w:val="20"/>
          <w:color w:val="auto"/>
        </w:rPr>
      </w:pPr>
    </w:p>
    <w:p>
      <w:pPr>
        <w:jc w:val="both"/>
        <w:ind w:right="1260"/>
        <w:spacing w:after="0" w:line="318" w:lineRule="auto"/>
        <w:rPr>
          <w:sz w:val="20"/>
          <w:szCs w:val="20"/>
          <w:color w:val="auto"/>
        </w:rPr>
      </w:pPr>
      <w:r>
        <w:rPr>
          <w:rFonts w:ascii="Arial" w:cs="Arial" w:eastAsia="Arial" w:hAnsi="Arial"/>
          <w:sz w:val="14"/>
          <w:szCs w:val="14"/>
          <w:color w:val="auto"/>
        </w:rPr>
        <w:t>Ms. Yazdi serves on the board of NorthWestern Energy (Nasdaq: NWE), a leading electric and gas utility, where she chairs the Compensation Committee. She is also Lead Independent Director and Chair of the Compensation Committee for Anterix, Inc. (Nasdaq: ATEX), a wireless communications company focused on private LTE solutions for critical infrastructure.</w:t>
      </w:r>
    </w:p>
    <w:p>
      <w:pPr>
        <w:spacing w:after="0" w:line="51" w:lineRule="exact"/>
        <w:rPr>
          <w:sz w:val="20"/>
          <w:szCs w:val="20"/>
          <w:color w:val="auto"/>
        </w:rPr>
      </w:pPr>
    </w:p>
    <w:p>
      <w:pPr>
        <w:jc w:val="both"/>
        <w:ind w:right="1260"/>
        <w:spacing w:after="0" w:line="311" w:lineRule="auto"/>
        <w:rPr>
          <w:sz w:val="20"/>
          <w:szCs w:val="20"/>
          <w:color w:val="auto"/>
        </w:rPr>
      </w:pPr>
      <w:r>
        <w:rPr>
          <w:rFonts w:ascii="Arial" w:cs="Arial" w:eastAsia="Arial" w:hAnsi="Arial"/>
          <w:sz w:val="14"/>
          <w:szCs w:val="14"/>
          <w:color w:val="auto"/>
        </w:rPr>
        <w:t>Since 2026, Ms. Yazdi has chaired Prologis’s (NYSE: PLD) Energy &amp; Mobility venture—as one of its original architects—helping the global real estate and logistics company launch and guide a multi-hundred-million-dollar strategic platform at the intersection of renewable energy, mobility, and logistics. In addition, she is an advisor to Infosys Limited (NYSE: INFY), a global leader in digital services and AI-first consulting, where she has served as a strategic advisor since 2012, and advises Energy Capital Ventures on investments in next-generation gas technologies.</w:t>
      </w:r>
    </w:p>
    <w:p>
      <w:pPr>
        <w:spacing w:after="0" w:line="69" w:lineRule="exact"/>
        <w:rPr>
          <w:sz w:val="20"/>
          <w:szCs w:val="20"/>
          <w:color w:val="auto"/>
        </w:rPr>
      </w:pPr>
    </w:p>
    <w:p>
      <w:pPr>
        <w:jc w:val="both"/>
        <w:ind w:right="1260"/>
        <w:spacing w:after="0" w:line="317" w:lineRule="auto"/>
        <w:rPr>
          <w:sz w:val="20"/>
          <w:szCs w:val="20"/>
          <w:color w:val="auto"/>
        </w:rPr>
      </w:pPr>
      <w:r>
        <w:rPr>
          <w:rFonts w:ascii="Arial" w:cs="Arial" w:eastAsia="Arial" w:hAnsi="Arial"/>
          <w:sz w:val="14"/>
          <w:szCs w:val="14"/>
          <w:b w:val="1"/>
          <w:bCs w:val="1"/>
          <w:color w:val="09314A"/>
        </w:rPr>
        <w:t>Ms. Yazdi is also the recipient of the Ellis Island Medal of Honor for her philanthropic contributions and the author of 60:60 – Celebrating 60 Years with 60 Acts of Kindness. We believe Ms. Yazdi is well-qualified to serve on our Board due to her deep expertise in technology and the utility sector, combined with her strong governance and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337820</wp:posOffset>
            </wp:positionV>
            <wp:extent cx="5554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54980" cy="889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1212215</wp:posOffset>
            </wp:positionV>
            <wp:extent cx="71577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3340" w:space="300"/>
            <w:col w:w="7600"/>
          </w:cols>
          <w:pgMar w:left="340" w:top="308" w:right="33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12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308" w:right="338"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603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0325"/>
                    </a:xfrm>
                    <a:prstGeom prst="rect">
                      <a:avLst/>
                    </a:prstGeom>
                    <a:noFill/>
                  </pic:spPr>
                </pic:pic>
              </a:graphicData>
            </a:graphic>
          </wp:anchor>
        </w:drawing>
        <w:t>Proposal 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Director Nominee Skills</w:t>
      </w:r>
    </w:p>
    <w:p>
      <w:pPr>
        <w:spacing w:after="0" w:line="125" w:lineRule="exact"/>
        <w:rPr>
          <w:sz w:val="20"/>
          <w:szCs w:val="20"/>
          <w:color w:val="auto"/>
        </w:rPr>
      </w:pPr>
    </w:p>
    <w:p>
      <w:pPr>
        <w:jc w:val="both"/>
        <w:spacing w:after="0" w:line="341" w:lineRule="auto"/>
        <w:rPr>
          <w:sz w:val="20"/>
          <w:szCs w:val="20"/>
          <w:color w:val="auto"/>
        </w:rPr>
      </w:pPr>
      <w:r>
        <w:rPr>
          <w:rFonts w:ascii="Arial" w:cs="Arial" w:eastAsia="Arial" w:hAnsi="Arial"/>
          <w:sz w:val="16"/>
          <w:szCs w:val="16"/>
          <w:i w:val="1"/>
          <w:iCs w:val="1"/>
          <w:color w:val="auto"/>
        </w:rPr>
        <w:t>The table below represents some of the key skills of our director nominees that our Board has identified as particularly valuable to the effective oversight of the Company and the execution of our strategy. This table highlights the depth and breadth of skill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46990</wp:posOffset>
            </wp:positionV>
            <wp:extent cx="7157720" cy="44151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41515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20" w:type="dxa"/>
            <w:vAlign w:val="bottom"/>
            <w:shd w:val="clear" w:color="auto" w:fill="1B6F80"/>
          </w:tcPr>
          <w:p>
            <w:pPr>
              <w:ind w:left="100"/>
              <w:spacing w:after="0"/>
              <w:rPr>
                <w:sz w:val="20"/>
                <w:szCs w:val="20"/>
                <w:color w:val="auto"/>
              </w:rPr>
            </w:pPr>
            <w:r>
              <w:rPr>
                <w:rFonts w:ascii="Arial" w:cs="Arial" w:eastAsia="Arial" w:hAnsi="Arial"/>
                <w:sz w:val="14"/>
                <w:szCs w:val="14"/>
                <w:b w:val="1"/>
                <w:bCs w:val="1"/>
                <w:color w:val="FFFFFF"/>
              </w:rPr>
              <w:t>Experience, Expertise,</w:t>
            </w:r>
          </w:p>
        </w:tc>
        <w:tc>
          <w:tcPr>
            <w:tcW w:w="1460" w:type="dxa"/>
            <w:vAlign w:val="bottom"/>
            <w:shd w:val="clear" w:color="auto" w:fill="1B6F80"/>
          </w:tcPr>
          <w:p>
            <w:pPr>
              <w:spacing w:after="0"/>
              <w:rPr>
                <w:sz w:val="16"/>
                <w:szCs w:val="16"/>
                <w:color w:val="auto"/>
              </w:rPr>
            </w:pPr>
          </w:p>
        </w:tc>
        <w:tc>
          <w:tcPr>
            <w:tcW w:w="1160" w:type="dxa"/>
            <w:vAlign w:val="bottom"/>
            <w:shd w:val="clear" w:color="auto" w:fill="1B6F80"/>
          </w:tcPr>
          <w:p>
            <w:pPr>
              <w:spacing w:after="0"/>
              <w:rPr>
                <w:sz w:val="16"/>
                <w:szCs w:val="16"/>
                <w:color w:val="auto"/>
              </w:rPr>
            </w:pPr>
          </w:p>
        </w:tc>
        <w:tc>
          <w:tcPr>
            <w:tcW w:w="1500" w:type="dxa"/>
            <w:vAlign w:val="bottom"/>
            <w:shd w:val="clear" w:color="auto" w:fill="1B6F80"/>
          </w:tcPr>
          <w:p>
            <w:pPr>
              <w:spacing w:after="0"/>
              <w:rPr>
                <w:sz w:val="16"/>
                <w:szCs w:val="16"/>
                <w:color w:val="auto"/>
              </w:rPr>
            </w:pPr>
          </w:p>
        </w:tc>
        <w:tc>
          <w:tcPr>
            <w:tcW w:w="1140" w:type="dxa"/>
            <w:vAlign w:val="bottom"/>
            <w:shd w:val="clear" w:color="auto" w:fill="1B6F80"/>
          </w:tcPr>
          <w:p>
            <w:pPr>
              <w:spacing w:after="0"/>
              <w:rPr>
                <w:sz w:val="16"/>
                <w:szCs w:val="16"/>
                <w:color w:val="auto"/>
              </w:rPr>
            </w:pPr>
          </w:p>
        </w:tc>
        <w:tc>
          <w:tcPr>
            <w:tcW w:w="1220" w:type="dxa"/>
            <w:vAlign w:val="bottom"/>
            <w:shd w:val="clear" w:color="auto" w:fill="1B6F80"/>
          </w:tcPr>
          <w:p>
            <w:pPr>
              <w:spacing w:after="0"/>
              <w:rPr>
                <w:sz w:val="16"/>
                <w:szCs w:val="16"/>
                <w:color w:val="auto"/>
              </w:rPr>
            </w:pPr>
          </w:p>
        </w:tc>
        <w:tc>
          <w:tcPr>
            <w:tcW w:w="1220" w:type="dxa"/>
            <w:vAlign w:val="bottom"/>
            <w:shd w:val="clear" w:color="auto" w:fill="1B6F80"/>
          </w:tcPr>
          <w:p>
            <w:pPr>
              <w:spacing w:after="0"/>
              <w:rPr>
                <w:sz w:val="16"/>
                <w:szCs w:val="16"/>
                <w:color w:val="auto"/>
              </w:rPr>
            </w:pPr>
          </w:p>
        </w:tc>
        <w:tc>
          <w:tcPr>
            <w:tcW w:w="1240" w:type="dxa"/>
            <w:vAlign w:val="bottom"/>
            <w:shd w:val="clear" w:color="auto" w:fill="1B6F80"/>
          </w:tcPr>
          <w:p>
            <w:pPr>
              <w:spacing w:after="0"/>
              <w:rPr>
                <w:sz w:val="16"/>
                <w:szCs w:val="16"/>
                <w:color w:val="auto"/>
              </w:rPr>
            </w:pPr>
          </w:p>
        </w:tc>
      </w:tr>
      <w:tr>
        <w:trPr>
          <w:trHeight w:val="202"/>
        </w:trPr>
        <w:tc>
          <w:tcPr>
            <w:tcW w:w="2320" w:type="dxa"/>
            <w:vAlign w:val="bottom"/>
            <w:shd w:val="clear" w:color="auto" w:fill="1B6F80"/>
          </w:tcPr>
          <w:p>
            <w:pPr>
              <w:ind w:left="100"/>
              <w:spacing w:after="0"/>
              <w:rPr>
                <w:sz w:val="20"/>
                <w:szCs w:val="20"/>
                <w:color w:val="auto"/>
              </w:rPr>
            </w:pPr>
            <w:r>
              <w:rPr>
                <w:rFonts w:ascii="Arial" w:cs="Arial" w:eastAsia="Arial" w:hAnsi="Arial"/>
                <w:sz w:val="14"/>
                <w:szCs w:val="14"/>
                <w:b w:val="1"/>
                <w:bCs w:val="1"/>
                <w:color w:val="FFFFFF"/>
              </w:rPr>
              <w:t>or Attribute</w:t>
            </w:r>
          </w:p>
        </w:tc>
        <w:tc>
          <w:tcPr>
            <w:tcW w:w="1460" w:type="dxa"/>
            <w:vAlign w:val="bottom"/>
            <w:shd w:val="clear" w:color="auto" w:fill="1B6F80"/>
          </w:tcPr>
          <w:p>
            <w:pPr>
              <w:ind w:left="600"/>
              <w:spacing w:after="0"/>
              <w:rPr>
                <w:sz w:val="20"/>
                <w:szCs w:val="20"/>
                <w:color w:val="auto"/>
              </w:rPr>
            </w:pPr>
            <w:r>
              <w:rPr>
                <w:rFonts w:ascii="Arial" w:cs="Arial" w:eastAsia="Arial" w:hAnsi="Arial"/>
                <w:sz w:val="14"/>
                <w:szCs w:val="14"/>
                <w:b w:val="1"/>
                <w:bCs w:val="1"/>
                <w:color w:val="FFFFFF"/>
              </w:rPr>
              <w:t>Altman</w:t>
            </w:r>
          </w:p>
        </w:tc>
        <w:tc>
          <w:tcPr>
            <w:tcW w:w="1160" w:type="dxa"/>
            <w:vAlign w:val="bottom"/>
            <w:shd w:val="clear" w:color="auto" w:fill="1B6F80"/>
          </w:tcPr>
          <w:p>
            <w:pPr>
              <w:ind w:left="360"/>
              <w:spacing w:after="0"/>
              <w:rPr>
                <w:sz w:val="20"/>
                <w:szCs w:val="20"/>
                <w:color w:val="auto"/>
              </w:rPr>
            </w:pPr>
            <w:r>
              <w:rPr>
                <w:rFonts w:ascii="Arial" w:cs="Arial" w:eastAsia="Arial" w:hAnsi="Arial"/>
                <w:sz w:val="14"/>
                <w:szCs w:val="14"/>
                <w:b w:val="1"/>
                <w:bCs w:val="1"/>
                <w:color w:val="FFFFFF"/>
              </w:rPr>
              <w:t>Daniels</w:t>
            </w:r>
          </w:p>
        </w:tc>
        <w:tc>
          <w:tcPr>
            <w:tcW w:w="1500" w:type="dxa"/>
            <w:vAlign w:val="bottom"/>
            <w:shd w:val="clear" w:color="auto" w:fill="1B6F80"/>
          </w:tcPr>
          <w:p>
            <w:pPr>
              <w:ind w:left="300"/>
              <w:spacing w:after="0"/>
              <w:rPr>
                <w:sz w:val="20"/>
                <w:szCs w:val="20"/>
                <w:color w:val="auto"/>
              </w:rPr>
            </w:pPr>
            <w:r>
              <w:rPr>
                <w:rFonts w:ascii="Arial" w:cs="Arial" w:eastAsia="Arial" w:hAnsi="Arial"/>
                <w:sz w:val="14"/>
                <w:szCs w:val="14"/>
                <w:b w:val="1"/>
                <w:bCs w:val="1"/>
                <w:color w:val="FFFFFF"/>
              </w:rPr>
              <w:t>Fleischhauer</w:t>
            </w:r>
          </w:p>
        </w:tc>
        <w:tc>
          <w:tcPr>
            <w:tcW w:w="1140" w:type="dxa"/>
            <w:vAlign w:val="bottom"/>
            <w:shd w:val="clear" w:color="auto" w:fill="1B6F80"/>
          </w:tcPr>
          <w:p>
            <w:pPr>
              <w:ind w:left="320"/>
              <w:spacing w:after="0"/>
              <w:rPr>
                <w:sz w:val="20"/>
                <w:szCs w:val="20"/>
                <w:color w:val="auto"/>
              </w:rPr>
            </w:pPr>
            <w:r>
              <w:rPr>
                <w:rFonts w:ascii="Arial" w:cs="Arial" w:eastAsia="Arial" w:hAnsi="Arial"/>
                <w:sz w:val="14"/>
                <w:szCs w:val="14"/>
                <w:b w:val="1"/>
                <w:bCs w:val="1"/>
                <w:color w:val="FFFFFF"/>
              </w:rPr>
              <w:t>Heard</w:t>
            </w:r>
          </w:p>
        </w:tc>
        <w:tc>
          <w:tcPr>
            <w:tcW w:w="1220" w:type="dxa"/>
            <w:vAlign w:val="bottom"/>
            <w:shd w:val="clear" w:color="auto" w:fill="1B6F80"/>
          </w:tcPr>
          <w:p>
            <w:pPr>
              <w:ind w:left="420"/>
              <w:spacing w:after="0"/>
              <w:rPr>
                <w:sz w:val="20"/>
                <w:szCs w:val="20"/>
                <w:color w:val="auto"/>
              </w:rPr>
            </w:pPr>
            <w:r>
              <w:rPr>
                <w:rFonts w:ascii="Arial" w:cs="Arial" w:eastAsia="Arial" w:hAnsi="Arial"/>
                <w:sz w:val="14"/>
                <w:szCs w:val="14"/>
                <w:b w:val="1"/>
                <w:bCs w:val="1"/>
                <w:color w:val="FFFFFF"/>
              </w:rPr>
              <w:t>Kuhn</w:t>
            </w:r>
          </w:p>
        </w:tc>
        <w:tc>
          <w:tcPr>
            <w:tcW w:w="1220" w:type="dxa"/>
            <w:vAlign w:val="bottom"/>
            <w:shd w:val="clear" w:color="auto" w:fill="1B6F80"/>
          </w:tcPr>
          <w:p>
            <w:pPr>
              <w:ind w:left="440"/>
              <w:spacing w:after="0"/>
              <w:rPr>
                <w:sz w:val="20"/>
                <w:szCs w:val="20"/>
                <w:color w:val="auto"/>
              </w:rPr>
            </w:pPr>
            <w:r>
              <w:rPr>
                <w:rFonts w:ascii="Arial" w:cs="Arial" w:eastAsia="Arial" w:hAnsi="Arial"/>
                <w:sz w:val="14"/>
                <w:szCs w:val="14"/>
                <w:b w:val="1"/>
                <w:bCs w:val="1"/>
                <w:color w:val="FFFFFF"/>
              </w:rPr>
              <w:t>Lang</w:t>
            </w:r>
          </w:p>
        </w:tc>
        <w:tc>
          <w:tcPr>
            <w:tcW w:w="1240" w:type="dxa"/>
            <w:vAlign w:val="bottom"/>
            <w:shd w:val="clear" w:color="auto" w:fill="1B6F80"/>
          </w:tcPr>
          <w:p>
            <w:pPr>
              <w:ind w:left="440"/>
              <w:spacing w:after="0"/>
              <w:rPr>
                <w:sz w:val="20"/>
                <w:szCs w:val="20"/>
                <w:color w:val="auto"/>
              </w:rPr>
            </w:pPr>
            <w:r>
              <w:rPr>
                <w:rFonts w:ascii="Arial" w:cs="Arial" w:eastAsia="Arial" w:hAnsi="Arial"/>
                <w:sz w:val="14"/>
                <w:szCs w:val="14"/>
                <w:b w:val="1"/>
                <w:bCs w:val="1"/>
                <w:color w:val="FFFFFF"/>
              </w:rPr>
              <w:t>Yazdi</w:t>
            </w:r>
          </w:p>
        </w:tc>
      </w:tr>
      <w:tr>
        <w:trPr>
          <w:trHeight w:val="70"/>
        </w:trPr>
        <w:tc>
          <w:tcPr>
            <w:tcW w:w="2320" w:type="dxa"/>
            <w:vAlign w:val="bottom"/>
            <w:shd w:val="clear" w:color="auto" w:fill="1B6F80"/>
          </w:tcPr>
          <w:p>
            <w:pPr>
              <w:spacing w:after="0"/>
              <w:rPr>
                <w:sz w:val="6"/>
                <w:szCs w:val="6"/>
                <w:color w:val="auto"/>
              </w:rPr>
            </w:pPr>
          </w:p>
        </w:tc>
        <w:tc>
          <w:tcPr>
            <w:tcW w:w="1460" w:type="dxa"/>
            <w:vAlign w:val="bottom"/>
            <w:shd w:val="clear" w:color="auto" w:fill="1B6F80"/>
          </w:tcPr>
          <w:p>
            <w:pPr>
              <w:spacing w:after="0"/>
              <w:rPr>
                <w:sz w:val="6"/>
                <w:szCs w:val="6"/>
                <w:color w:val="auto"/>
              </w:rPr>
            </w:pPr>
          </w:p>
        </w:tc>
        <w:tc>
          <w:tcPr>
            <w:tcW w:w="1160" w:type="dxa"/>
            <w:vAlign w:val="bottom"/>
            <w:shd w:val="clear" w:color="auto" w:fill="1B6F80"/>
          </w:tcPr>
          <w:p>
            <w:pPr>
              <w:spacing w:after="0"/>
              <w:rPr>
                <w:sz w:val="6"/>
                <w:szCs w:val="6"/>
                <w:color w:val="auto"/>
              </w:rPr>
            </w:pPr>
          </w:p>
        </w:tc>
        <w:tc>
          <w:tcPr>
            <w:tcW w:w="1500" w:type="dxa"/>
            <w:vAlign w:val="bottom"/>
            <w:shd w:val="clear" w:color="auto" w:fill="1B6F80"/>
          </w:tcPr>
          <w:p>
            <w:pPr>
              <w:spacing w:after="0"/>
              <w:rPr>
                <w:sz w:val="6"/>
                <w:szCs w:val="6"/>
                <w:color w:val="auto"/>
              </w:rPr>
            </w:pPr>
          </w:p>
        </w:tc>
        <w:tc>
          <w:tcPr>
            <w:tcW w:w="1140" w:type="dxa"/>
            <w:vAlign w:val="bottom"/>
            <w:shd w:val="clear" w:color="auto" w:fill="1B6F80"/>
          </w:tcPr>
          <w:p>
            <w:pPr>
              <w:spacing w:after="0"/>
              <w:rPr>
                <w:sz w:val="6"/>
                <w:szCs w:val="6"/>
                <w:color w:val="auto"/>
              </w:rPr>
            </w:pPr>
          </w:p>
        </w:tc>
        <w:tc>
          <w:tcPr>
            <w:tcW w:w="1220" w:type="dxa"/>
            <w:vAlign w:val="bottom"/>
            <w:shd w:val="clear" w:color="auto" w:fill="1B6F80"/>
          </w:tcPr>
          <w:p>
            <w:pPr>
              <w:spacing w:after="0"/>
              <w:rPr>
                <w:sz w:val="6"/>
                <w:szCs w:val="6"/>
                <w:color w:val="auto"/>
              </w:rPr>
            </w:pPr>
          </w:p>
        </w:tc>
        <w:tc>
          <w:tcPr>
            <w:tcW w:w="1220" w:type="dxa"/>
            <w:vAlign w:val="bottom"/>
            <w:shd w:val="clear" w:color="auto" w:fill="1B6F80"/>
          </w:tcPr>
          <w:p>
            <w:pPr>
              <w:spacing w:after="0"/>
              <w:rPr>
                <w:sz w:val="6"/>
                <w:szCs w:val="6"/>
                <w:color w:val="auto"/>
              </w:rPr>
            </w:pPr>
          </w:p>
        </w:tc>
        <w:tc>
          <w:tcPr>
            <w:tcW w:w="1240" w:type="dxa"/>
            <w:vAlign w:val="bottom"/>
            <w:shd w:val="clear" w:color="auto" w:fill="1B6F80"/>
          </w:tcPr>
          <w:p>
            <w:pPr>
              <w:spacing w:after="0"/>
              <w:rPr>
                <w:sz w:val="6"/>
                <w:szCs w:val="6"/>
                <w:color w:val="auto"/>
              </w:rPr>
            </w:pPr>
          </w:p>
        </w:tc>
      </w:tr>
      <w:tr>
        <w:trPr>
          <w:trHeight w:val="389"/>
        </w:trPr>
        <w:tc>
          <w:tcPr>
            <w:tcW w:w="2320" w:type="dxa"/>
            <w:vAlign w:val="bottom"/>
          </w:tcPr>
          <w:p>
            <w:pPr>
              <w:ind w:left="700"/>
              <w:spacing w:after="0"/>
              <w:rPr>
                <w:sz w:val="20"/>
                <w:szCs w:val="20"/>
                <w:color w:val="auto"/>
              </w:rPr>
            </w:pPr>
            <w:r>
              <w:rPr>
                <w:rFonts w:ascii="Arial" w:cs="Arial" w:eastAsia="Arial" w:hAnsi="Arial"/>
                <w:sz w:val="14"/>
                <w:szCs w:val="14"/>
                <w:b w:val="1"/>
                <w:bCs w:val="1"/>
                <w:color w:val="181818"/>
              </w:rPr>
              <w:t>CEO/President</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37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181818"/>
        </w:rPr>
        <w:t>Telecom</w:t>
      </w:r>
    </w:p>
    <w:p>
      <w:pPr>
        <w:spacing w:after="0" w:line="200" w:lineRule="exact"/>
        <w:rPr>
          <w:sz w:val="20"/>
          <w:szCs w:val="20"/>
          <w:color w:val="auto"/>
        </w:rPr>
      </w:pPr>
    </w:p>
    <w:p>
      <w:pPr>
        <w:spacing w:after="0" w:line="23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181818"/>
        </w:rPr>
        <w:t>Regulatory</w:t>
      </w:r>
    </w:p>
    <w:p>
      <w:pPr>
        <w:spacing w:after="0" w:line="200" w:lineRule="exact"/>
        <w:rPr>
          <w:sz w:val="20"/>
          <w:szCs w:val="20"/>
          <w:color w:val="auto"/>
        </w:rPr>
      </w:pPr>
    </w:p>
    <w:p>
      <w:pPr>
        <w:spacing w:after="0" w:line="23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181818"/>
        </w:rPr>
        <w:t>Financial Acumen</w:t>
      </w:r>
    </w:p>
    <w:p>
      <w:pPr>
        <w:spacing w:after="0" w:line="339" w:lineRule="exact"/>
        <w:rPr>
          <w:sz w:val="20"/>
          <w:szCs w:val="20"/>
          <w:color w:val="auto"/>
        </w:rPr>
      </w:pPr>
    </w:p>
    <w:p>
      <w:pPr>
        <w:ind w:left="700" w:right="9240"/>
        <w:spacing w:after="0" w:line="323" w:lineRule="auto"/>
        <w:rPr>
          <w:sz w:val="20"/>
          <w:szCs w:val="20"/>
          <w:color w:val="auto"/>
        </w:rPr>
      </w:pPr>
      <w:r>
        <w:rPr>
          <w:rFonts w:ascii="Arial" w:cs="Arial" w:eastAsia="Arial" w:hAnsi="Arial"/>
          <w:sz w:val="14"/>
          <w:szCs w:val="14"/>
          <w:b w:val="1"/>
          <w:bCs w:val="1"/>
          <w:color w:val="181818"/>
        </w:rPr>
        <w:t>Early Stage/ Hyper-Growth</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181818"/>
        </w:rPr>
        <w:t>Utilities</w:t>
      </w:r>
    </w:p>
    <w:p>
      <w:pPr>
        <w:spacing w:after="0" w:line="200" w:lineRule="exact"/>
        <w:rPr>
          <w:sz w:val="20"/>
          <w:szCs w:val="20"/>
          <w:color w:val="auto"/>
        </w:rPr>
      </w:pPr>
    </w:p>
    <w:p>
      <w:pPr>
        <w:spacing w:after="0" w:line="23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181818"/>
        </w:rPr>
        <w:t>Prior Public Board</w:t>
      </w:r>
    </w:p>
    <w:p>
      <w:pPr>
        <w:spacing w:after="0" w:line="200" w:lineRule="exact"/>
        <w:rPr>
          <w:sz w:val="20"/>
          <w:szCs w:val="20"/>
          <w:color w:val="auto"/>
        </w:rPr>
      </w:pPr>
    </w:p>
    <w:p>
      <w:pPr>
        <w:spacing w:after="0" w:line="22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181818"/>
        </w:rPr>
        <w:t>Technology</w:t>
      </w:r>
    </w:p>
    <w:p>
      <w:pPr>
        <w:spacing w:after="0" w:line="200" w:lineRule="exact"/>
        <w:rPr>
          <w:sz w:val="20"/>
          <w:szCs w:val="20"/>
          <w:color w:val="auto"/>
        </w:rPr>
      </w:pPr>
    </w:p>
    <w:p>
      <w:pPr>
        <w:spacing w:after="0" w:line="23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181818"/>
        </w:rPr>
        <w:t>Governance</w:t>
      </w:r>
    </w:p>
    <w:p>
      <w:pPr>
        <w:spacing w:after="0" w:line="200" w:lineRule="exact"/>
        <w:rPr>
          <w:sz w:val="20"/>
          <w:szCs w:val="20"/>
          <w:color w:val="auto"/>
        </w:rPr>
      </w:pPr>
    </w:p>
    <w:p>
      <w:pPr>
        <w:spacing w:after="0" w:line="22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181818"/>
        </w:rPr>
        <w:t>M&amp;A</w:t>
      </w:r>
    </w:p>
    <w:p>
      <w:pPr>
        <w:spacing w:after="0" w:line="200" w:lineRule="exact"/>
        <w:rPr>
          <w:sz w:val="20"/>
          <w:szCs w:val="20"/>
          <w:color w:val="auto"/>
        </w:rPr>
      </w:pPr>
    </w:p>
    <w:p>
      <w:pPr>
        <w:spacing w:after="0" w:line="23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181818"/>
        </w:rPr>
        <w:t>Risk</w:t>
      </w:r>
    </w:p>
    <w:p>
      <w:pPr>
        <w:spacing w:after="0" w:line="200" w:lineRule="exact"/>
        <w:rPr>
          <w:sz w:val="20"/>
          <w:szCs w:val="20"/>
          <w:color w:val="auto"/>
        </w:rPr>
      </w:pPr>
    </w:p>
    <w:p>
      <w:pPr>
        <w:spacing w:after="0" w:line="3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color w:val="1B6F80"/>
        </w:rPr>
        <w:t xml:space="preserve">Stockholder Nominees: </w:t>
      </w:r>
      <w:r>
        <w:rPr>
          <w:rFonts w:ascii="Arial" w:cs="Arial" w:eastAsia="Arial" w:hAnsi="Arial"/>
          <w:sz w:val="16"/>
          <w:szCs w:val="16"/>
          <w:color w:val="000000"/>
        </w:rPr>
        <w:t>Our Nominating and Corporate Governance Committee will review a reasonable number of director candidates recommended by a</w:t>
      </w:r>
      <w:r>
        <w:rPr>
          <w:rFonts w:ascii="Arial" w:cs="Arial" w:eastAsia="Arial" w:hAnsi="Arial"/>
          <w:sz w:val="16"/>
          <w:szCs w:val="16"/>
          <w:b w:val="1"/>
          <w:bCs w:val="1"/>
          <w:color w:val="1B6F80"/>
        </w:rPr>
        <w:t xml:space="preserve"> </w:t>
      </w:r>
      <w:r>
        <w:rPr>
          <w:rFonts w:ascii="Arial" w:cs="Arial" w:eastAsia="Arial" w:hAnsi="Arial"/>
          <w:sz w:val="16"/>
          <w:szCs w:val="16"/>
          <w:color w:val="000000"/>
        </w:rPr>
        <w:t>single stockholder who (i) has held over 2% of our common stock for over one year and (ii) who satisfies the notice, information, and consent provisions outlined in our Amended and Restated Bylaws. Our Board uses the same evaluation criteria and process for director nominees recommended by stockholders as it uses for other director nominees. There has been no change to the procedures by which stockholders may recommend nominees to our Board. For information concerning stockholder proposals, see “Stockholder Proposals for 2027 Annual Meeting” below in this Proxy Statement.</w:t>
      </w:r>
    </w:p>
    <w:p>
      <w:pPr>
        <w:spacing w:after="0" w:line="12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Director Compensation</w:t>
      </w:r>
    </w:p>
    <w:p>
      <w:pPr>
        <w:spacing w:after="0" w:line="12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directors play a critical role in guiding our strategic direction and overseeing the management of our Company. Ongoing developments in corporate governance and financial reporting have resulted in an increased demand for highly qualified and productive public company directors. The varied responsibilities, the substantial time commitment, and the potential risks of serving as a director for a public company require that we provide adequate compensation for the continued performance of our non-employee directors by offering them compensation that is commensurate with the workload and the demands we place on them. Our non-employee directors are compensated based on their Board and Board Committee responsibilities. Our executive officers on the Board do not receive additional compensation for their service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71577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Compensation Committee oversees director compensation and provides recommendations to our Board regarding the appropriate structure and amount of compensation for our non-employee directors. The Board is responsible for approving our non-employee director compensation program and the compensation paid to our non-employee directors. The Compensation Committee engages a compensation consultant to regularly review Director Compensation and provide benchmarking, survey, and other comparative market data, including such Director compensation data from the same peer group as is used in evaluating the compensation of our executive officers, to help determine if the Directors’ compensation levels are appropriate.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Non-Employee Director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For Fiscal 2026, our non-employee director compensation program consisted of:</w:t>
      </w:r>
    </w:p>
    <w:p>
      <w:pPr>
        <w:spacing w:after="0" w:line="119" w:lineRule="exact"/>
        <w:rPr>
          <w:sz w:val="20"/>
          <w:szCs w:val="20"/>
          <w:color w:val="auto"/>
        </w:rPr>
      </w:pPr>
    </w:p>
    <w:p>
      <w:pPr>
        <w:ind w:left="460" w:hanging="305"/>
        <w:spacing w:after="0"/>
        <w:tabs>
          <w:tab w:leader="none" w:pos="460" w:val="left"/>
        </w:tabs>
        <w:numPr>
          <w:ilvl w:val="0"/>
          <w:numId w:val="17"/>
        </w:numPr>
        <w:rPr>
          <w:rFonts w:ascii="Arial" w:cs="Arial" w:eastAsia="Arial" w:hAnsi="Arial"/>
          <w:sz w:val="22"/>
          <w:szCs w:val="22"/>
          <w:b w:val="1"/>
          <w:bCs w:val="1"/>
          <w:color w:val="1B6F80"/>
        </w:rPr>
      </w:pPr>
      <w:r>
        <w:rPr>
          <w:rFonts w:ascii="Arial" w:cs="Arial" w:eastAsia="Arial" w:hAnsi="Arial"/>
          <w:sz w:val="16"/>
          <w:szCs w:val="16"/>
          <w:color w:val="auto"/>
        </w:rPr>
        <w:t>Annual cash retainers for Board service;</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17"/>
        </w:numPr>
        <w:rPr>
          <w:rFonts w:ascii="Arial" w:cs="Arial" w:eastAsia="Arial" w:hAnsi="Arial"/>
          <w:sz w:val="22"/>
          <w:szCs w:val="22"/>
          <w:b w:val="1"/>
          <w:bCs w:val="1"/>
          <w:color w:val="1B6F80"/>
        </w:rPr>
      </w:pPr>
      <w:r>
        <w:rPr>
          <w:rFonts w:ascii="Arial" w:cs="Arial" w:eastAsia="Arial" w:hAnsi="Arial"/>
          <w:sz w:val="16"/>
          <w:szCs w:val="16"/>
          <w:color w:val="auto"/>
        </w:rPr>
        <w:t>Annual cash premium for service as the Chair of a Board Committee;</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17"/>
        </w:numPr>
        <w:rPr>
          <w:rFonts w:ascii="Arial" w:cs="Arial" w:eastAsia="Arial" w:hAnsi="Arial"/>
          <w:sz w:val="22"/>
          <w:szCs w:val="22"/>
          <w:b w:val="1"/>
          <w:bCs w:val="1"/>
          <w:color w:val="1B6F80"/>
        </w:rPr>
      </w:pPr>
      <w:r>
        <w:rPr>
          <w:rFonts w:ascii="Arial" w:cs="Arial" w:eastAsia="Arial" w:hAnsi="Arial"/>
          <w:sz w:val="16"/>
          <w:szCs w:val="16"/>
          <w:color w:val="auto"/>
        </w:rPr>
        <w:t>Annual cash premium for service as Lead Independent Director; and</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17"/>
        </w:numPr>
        <w:rPr>
          <w:rFonts w:ascii="Arial" w:cs="Arial" w:eastAsia="Arial" w:hAnsi="Arial"/>
          <w:sz w:val="22"/>
          <w:szCs w:val="22"/>
          <w:b w:val="1"/>
          <w:bCs w:val="1"/>
          <w:color w:val="1B6F80"/>
        </w:rPr>
      </w:pPr>
      <w:r>
        <w:rPr>
          <w:rFonts w:ascii="Arial" w:cs="Arial" w:eastAsia="Arial" w:hAnsi="Arial"/>
          <w:sz w:val="16"/>
          <w:szCs w:val="16"/>
          <w:color w:val="auto"/>
        </w:rPr>
        <w:t>Equity-based awards in the form of restricted stock granted annually to continuing non-employee directors.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Our non-employee directors do not receive any meeting fees.</w:t>
      </w:r>
    </w:p>
    <w:p>
      <w:pPr>
        <w:spacing w:after="0" w:line="15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181818"/>
        </w:rPr>
        <w:t xml:space="preserve">Annual Cash Retainers: </w:t>
      </w:r>
      <w:r>
        <w:rPr>
          <w:rFonts w:ascii="Arial" w:cs="Arial" w:eastAsia="Arial" w:hAnsi="Arial"/>
          <w:sz w:val="16"/>
          <w:szCs w:val="16"/>
          <w:color w:val="000000"/>
        </w:rPr>
        <w:t>Under our non-employee director compensation program, our non-employee directors received the annual cash retainers shown in</w:t>
      </w:r>
      <w:r>
        <w:rPr>
          <w:rFonts w:ascii="Arial" w:cs="Arial" w:eastAsia="Arial" w:hAnsi="Arial"/>
          <w:sz w:val="16"/>
          <w:szCs w:val="16"/>
          <w:b w:val="1"/>
          <w:bCs w:val="1"/>
          <w:color w:val="181818"/>
        </w:rPr>
        <w:t xml:space="preserve"> </w:t>
      </w:r>
      <w:r>
        <w:rPr>
          <w:rFonts w:ascii="Arial" w:cs="Arial" w:eastAsia="Arial" w:hAnsi="Arial"/>
          <w:sz w:val="16"/>
          <w:szCs w:val="16"/>
          <w:color w:val="000000"/>
        </w:rPr>
        <w:t>the table below. These annual retainers are payable in four equal quarterly installments.</w:t>
      </w:r>
    </w:p>
    <w:p>
      <w:pPr>
        <w:spacing w:after="0" w:line="3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181818"/>
        </w:rPr>
        <w:t xml:space="preserve">Equity-Based Awards: </w:t>
      </w:r>
      <w:r>
        <w:rPr>
          <w:rFonts w:ascii="Arial" w:cs="Arial" w:eastAsia="Arial" w:hAnsi="Arial"/>
          <w:sz w:val="16"/>
          <w:szCs w:val="16"/>
          <w:color w:val="000000"/>
        </w:rPr>
        <w:t>Under our non-employee director compensation program, each non-employee director also received an annual equity-based award</w:t>
      </w:r>
      <w:r>
        <w:rPr>
          <w:rFonts w:ascii="Arial" w:cs="Arial" w:eastAsia="Arial" w:hAnsi="Arial"/>
          <w:sz w:val="16"/>
          <w:szCs w:val="16"/>
          <w:b w:val="1"/>
          <w:bCs w:val="1"/>
          <w:color w:val="181818"/>
        </w:rPr>
        <w:t xml:space="preserve"> </w:t>
      </w:r>
      <w:r>
        <w:rPr>
          <w:rFonts w:ascii="Arial" w:cs="Arial" w:eastAsia="Arial" w:hAnsi="Arial"/>
          <w:sz w:val="16"/>
          <w:szCs w:val="16"/>
          <w:color w:val="000000"/>
        </w:rPr>
        <w:t>(in the form of restricted stock) valued at $170,000 at the time of grant. Each such annual award vests on the earlier of (i) immediately before the commencement of the next regularly scheduled Annual Meeting of stockholders or (ii) 12 months from the grant date.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table summarizes Fiscal 2026 non-employee director compensation:</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8840" w:type="dxa"/>
            <w:vAlign w:val="bottom"/>
            <w:tcBorders>
              <w:top w:val="single" w:sz="8" w:color="181818"/>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All Directors</w:t>
            </w:r>
          </w:p>
        </w:tc>
        <w:tc>
          <w:tcPr>
            <w:tcW w:w="244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69"/>
        </w:trPr>
        <w:tc>
          <w:tcPr>
            <w:tcW w:w="8840" w:type="dxa"/>
            <w:vAlign w:val="bottom"/>
            <w:tcBorders>
              <w:left w:val="single" w:sz="8" w:color="181818"/>
            </w:tcBorders>
            <w:shd w:val="clear" w:color="auto" w:fill="1B6F80"/>
          </w:tcPr>
          <w:p>
            <w:pPr>
              <w:spacing w:after="0"/>
              <w:rPr>
                <w:sz w:val="6"/>
                <w:szCs w:val="6"/>
                <w:color w:val="auto"/>
              </w:rPr>
            </w:pPr>
          </w:p>
        </w:tc>
        <w:tc>
          <w:tcPr>
            <w:tcW w:w="2440" w:type="dxa"/>
            <w:vAlign w:val="bottom"/>
            <w:tcBorders>
              <w:right w:val="single" w:sz="8" w:color="181818"/>
            </w:tcBorders>
            <w:shd w:val="clear" w:color="auto" w:fill="1B6F80"/>
          </w:tcPr>
          <w:p>
            <w:pPr>
              <w:spacing w:after="0"/>
              <w:rPr>
                <w:sz w:val="6"/>
                <w:szCs w:val="6"/>
                <w:color w:val="auto"/>
              </w:rPr>
            </w:pPr>
          </w:p>
        </w:tc>
      </w:tr>
      <w:tr>
        <w:trPr>
          <w:trHeight w:val="262"/>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Annual Board Cash Retainer</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65,000</w:t>
            </w:r>
          </w:p>
        </w:tc>
      </w:tr>
      <w:tr>
        <w:trPr>
          <w:trHeight w:val="76"/>
        </w:trPr>
        <w:tc>
          <w:tcPr>
            <w:tcW w:w="8840" w:type="dxa"/>
            <w:vAlign w:val="bottom"/>
            <w:tcBorders>
              <w:left w:val="single" w:sz="8" w:color="181818"/>
              <w:bottom w:val="single" w:sz="8" w:color="181818"/>
            </w:tcBorders>
          </w:tcPr>
          <w:p>
            <w:pPr>
              <w:spacing w:after="0"/>
              <w:rPr>
                <w:sz w:val="6"/>
                <w:szCs w:val="6"/>
                <w:color w:val="auto"/>
              </w:rPr>
            </w:pPr>
          </w:p>
        </w:tc>
        <w:tc>
          <w:tcPr>
            <w:tcW w:w="2440" w:type="dxa"/>
            <w:vAlign w:val="bottom"/>
            <w:tcBorders>
              <w:bottom w:val="single" w:sz="8" w:color="181818"/>
              <w:right w:val="single" w:sz="8" w:color="181818"/>
            </w:tcBorders>
          </w:tcPr>
          <w:p>
            <w:pPr>
              <w:spacing w:after="0"/>
              <w:rPr>
                <w:sz w:val="6"/>
                <w:szCs w:val="6"/>
                <w:color w:val="auto"/>
              </w:rPr>
            </w:pPr>
          </w:p>
        </w:tc>
      </w:tr>
      <w:tr>
        <w:trPr>
          <w:trHeight w:val="255"/>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Board Meeting Fee</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w:t>
            </w:r>
          </w:p>
        </w:tc>
      </w:tr>
      <w:tr>
        <w:trPr>
          <w:trHeight w:val="62"/>
        </w:trPr>
        <w:tc>
          <w:tcPr>
            <w:tcW w:w="8840" w:type="dxa"/>
            <w:vAlign w:val="bottom"/>
            <w:tcBorders>
              <w:left w:val="single" w:sz="8" w:color="181818"/>
              <w:bottom w:val="single" w:sz="8" w:color="181818"/>
            </w:tcBorders>
          </w:tcPr>
          <w:p>
            <w:pPr>
              <w:spacing w:after="0"/>
              <w:rPr>
                <w:sz w:val="5"/>
                <w:szCs w:val="5"/>
                <w:color w:val="auto"/>
              </w:rPr>
            </w:pPr>
          </w:p>
        </w:tc>
        <w:tc>
          <w:tcPr>
            <w:tcW w:w="2440" w:type="dxa"/>
            <w:vAlign w:val="bottom"/>
            <w:tcBorders>
              <w:bottom w:val="single" w:sz="8" w:color="181818"/>
              <w:right w:val="single" w:sz="8" w:color="181818"/>
            </w:tcBorders>
          </w:tcPr>
          <w:p>
            <w:pPr>
              <w:spacing w:after="0"/>
              <w:rPr>
                <w:sz w:val="5"/>
                <w:szCs w:val="5"/>
                <w:color w:val="auto"/>
              </w:rPr>
            </w:pPr>
          </w:p>
        </w:tc>
      </w:tr>
      <w:tr>
        <w:trPr>
          <w:trHeight w:val="255"/>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Annual Equity Award</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170,000</w:t>
            </w:r>
          </w:p>
        </w:tc>
      </w:tr>
      <w:tr>
        <w:trPr>
          <w:trHeight w:val="75"/>
        </w:trPr>
        <w:tc>
          <w:tcPr>
            <w:tcW w:w="8840" w:type="dxa"/>
            <w:vAlign w:val="bottom"/>
            <w:tcBorders>
              <w:left w:val="single" w:sz="8" w:color="181818"/>
              <w:bottom w:val="single" w:sz="8" w:color="181818"/>
            </w:tcBorders>
          </w:tcPr>
          <w:p>
            <w:pPr>
              <w:spacing w:after="0"/>
              <w:rPr>
                <w:sz w:val="6"/>
                <w:szCs w:val="6"/>
                <w:color w:val="auto"/>
              </w:rPr>
            </w:pPr>
          </w:p>
        </w:tc>
        <w:tc>
          <w:tcPr>
            <w:tcW w:w="2440" w:type="dxa"/>
            <w:vAlign w:val="bottom"/>
            <w:tcBorders>
              <w:bottom w:val="single" w:sz="8" w:color="181818"/>
              <w:right w:val="single" w:sz="8" w:color="181818"/>
            </w:tcBorders>
          </w:tcPr>
          <w:p>
            <w:pPr>
              <w:spacing w:after="0"/>
              <w:rPr>
                <w:sz w:val="6"/>
                <w:szCs w:val="6"/>
                <w:color w:val="auto"/>
              </w:rPr>
            </w:pPr>
          </w:p>
        </w:tc>
      </w:tr>
      <w:tr>
        <w:trPr>
          <w:trHeight w:val="255"/>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Committee Member Meeting Fees (All Committees)</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w:t>
            </w:r>
          </w:p>
        </w:tc>
      </w:tr>
      <w:tr>
        <w:trPr>
          <w:trHeight w:val="76"/>
        </w:trPr>
        <w:tc>
          <w:tcPr>
            <w:tcW w:w="8840" w:type="dxa"/>
            <w:vAlign w:val="bottom"/>
            <w:tcBorders>
              <w:left w:val="single" w:sz="8" w:color="181818"/>
              <w:bottom w:val="single" w:sz="8" w:color="181818"/>
            </w:tcBorders>
          </w:tcPr>
          <w:p>
            <w:pPr>
              <w:spacing w:after="0"/>
              <w:rPr>
                <w:sz w:val="6"/>
                <w:szCs w:val="6"/>
                <w:color w:val="auto"/>
              </w:rPr>
            </w:pPr>
          </w:p>
        </w:tc>
        <w:tc>
          <w:tcPr>
            <w:tcW w:w="2440" w:type="dxa"/>
            <w:vAlign w:val="bottom"/>
            <w:tcBorders>
              <w:bottom w:val="single" w:sz="8" w:color="181818"/>
              <w:right w:val="single" w:sz="8" w:color="181818"/>
            </w:tcBorders>
          </w:tcPr>
          <w:p>
            <w:pPr>
              <w:spacing w:after="0"/>
              <w:rPr>
                <w:sz w:val="6"/>
                <w:szCs w:val="6"/>
                <w:color w:val="auto"/>
              </w:rPr>
            </w:pPr>
          </w:p>
        </w:tc>
      </w:tr>
      <w:tr>
        <w:trPr>
          <w:trHeight w:val="262"/>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Estimated Total Board Member Annual Compensation</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b w:val="1"/>
                <w:bCs w:val="1"/>
                <w:color w:val="181818"/>
              </w:rPr>
              <w:t>235,000</w:t>
            </w:r>
          </w:p>
        </w:tc>
      </w:tr>
      <w:tr>
        <w:trPr>
          <w:trHeight w:val="69"/>
        </w:trPr>
        <w:tc>
          <w:tcPr>
            <w:tcW w:w="8840" w:type="dxa"/>
            <w:vAlign w:val="bottom"/>
            <w:tcBorders>
              <w:left w:val="single" w:sz="8" w:color="181818"/>
            </w:tcBorders>
          </w:tcPr>
          <w:p>
            <w:pPr>
              <w:spacing w:after="0"/>
              <w:rPr>
                <w:sz w:val="6"/>
                <w:szCs w:val="6"/>
                <w:color w:val="auto"/>
              </w:rPr>
            </w:pPr>
          </w:p>
        </w:tc>
        <w:tc>
          <w:tcPr>
            <w:tcW w:w="2440" w:type="dxa"/>
            <w:vAlign w:val="bottom"/>
            <w:tcBorders>
              <w:right w:val="single" w:sz="8" w:color="181818"/>
            </w:tcBorders>
          </w:tcPr>
          <w:p>
            <w:pPr>
              <w:spacing w:after="0"/>
              <w:rPr>
                <w:sz w:val="6"/>
                <w:szCs w:val="6"/>
                <w:color w:val="auto"/>
              </w:rPr>
            </w:pPr>
          </w:p>
        </w:tc>
      </w:tr>
      <w:tr>
        <w:trPr>
          <w:trHeight w:val="268"/>
        </w:trPr>
        <w:tc>
          <w:tcPr>
            <w:tcW w:w="8840" w:type="dxa"/>
            <w:vAlign w:val="bottom"/>
            <w:tcBorders>
              <w:left w:val="single" w:sz="8" w:color="181818"/>
            </w:tcBorders>
            <w:shd w:val="clear" w:color="auto" w:fill="AED0C7"/>
          </w:tcPr>
          <w:p>
            <w:pPr>
              <w:ind w:left="100"/>
              <w:spacing w:after="0"/>
              <w:rPr>
                <w:sz w:val="20"/>
                <w:szCs w:val="20"/>
                <w:color w:val="auto"/>
              </w:rPr>
            </w:pPr>
            <w:r>
              <w:rPr>
                <w:rFonts w:ascii="Arial" w:cs="Arial" w:eastAsia="Arial" w:hAnsi="Arial"/>
                <w:sz w:val="14"/>
                <w:szCs w:val="14"/>
                <w:b w:val="1"/>
                <w:bCs w:val="1"/>
                <w:color w:val="181818"/>
              </w:rPr>
              <w:t>Committee Chairperson Retainer</w:t>
            </w:r>
          </w:p>
        </w:tc>
        <w:tc>
          <w:tcPr>
            <w:tcW w:w="2440" w:type="dxa"/>
            <w:vAlign w:val="bottom"/>
            <w:tcBorders>
              <w:right w:val="single" w:sz="8" w:color="181818"/>
            </w:tcBorders>
            <w:shd w:val="clear" w:color="auto" w:fill="AED0C7"/>
          </w:tcPr>
          <w:p>
            <w:pPr>
              <w:spacing w:after="0"/>
              <w:rPr>
                <w:sz w:val="23"/>
                <w:szCs w:val="23"/>
                <w:color w:val="auto"/>
              </w:rPr>
            </w:pPr>
          </w:p>
        </w:tc>
      </w:tr>
      <w:tr>
        <w:trPr>
          <w:trHeight w:val="69"/>
        </w:trPr>
        <w:tc>
          <w:tcPr>
            <w:tcW w:w="8840" w:type="dxa"/>
            <w:vAlign w:val="bottom"/>
            <w:tcBorders>
              <w:left w:val="single" w:sz="8" w:color="181818"/>
            </w:tcBorders>
            <w:shd w:val="clear" w:color="auto" w:fill="AED0C7"/>
          </w:tcPr>
          <w:p>
            <w:pPr>
              <w:spacing w:after="0"/>
              <w:rPr>
                <w:sz w:val="6"/>
                <w:szCs w:val="6"/>
                <w:color w:val="auto"/>
              </w:rPr>
            </w:pPr>
          </w:p>
        </w:tc>
        <w:tc>
          <w:tcPr>
            <w:tcW w:w="2440" w:type="dxa"/>
            <w:vAlign w:val="bottom"/>
            <w:tcBorders>
              <w:right w:val="single" w:sz="8" w:color="181818"/>
            </w:tcBorders>
            <w:shd w:val="clear" w:color="auto" w:fill="AED0C7"/>
          </w:tcPr>
          <w:p>
            <w:pPr>
              <w:spacing w:after="0"/>
              <w:rPr>
                <w:sz w:val="6"/>
                <w:szCs w:val="6"/>
                <w:color w:val="auto"/>
              </w:rPr>
            </w:pPr>
          </w:p>
        </w:tc>
      </w:tr>
      <w:tr>
        <w:trPr>
          <w:trHeight w:val="262"/>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Audit</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20,000</w:t>
            </w:r>
          </w:p>
        </w:tc>
      </w:tr>
      <w:tr>
        <w:trPr>
          <w:trHeight w:val="62"/>
        </w:trPr>
        <w:tc>
          <w:tcPr>
            <w:tcW w:w="8840" w:type="dxa"/>
            <w:vAlign w:val="bottom"/>
            <w:tcBorders>
              <w:left w:val="single" w:sz="8" w:color="181818"/>
              <w:bottom w:val="single" w:sz="8" w:color="181818"/>
            </w:tcBorders>
          </w:tcPr>
          <w:p>
            <w:pPr>
              <w:spacing w:after="0"/>
              <w:rPr>
                <w:sz w:val="5"/>
                <w:szCs w:val="5"/>
                <w:color w:val="auto"/>
              </w:rPr>
            </w:pPr>
          </w:p>
        </w:tc>
        <w:tc>
          <w:tcPr>
            <w:tcW w:w="2440" w:type="dxa"/>
            <w:vAlign w:val="bottom"/>
            <w:tcBorders>
              <w:bottom w:val="single" w:sz="8" w:color="181818"/>
              <w:right w:val="single" w:sz="8" w:color="181818"/>
            </w:tcBorders>
          </w:tcPr>
          <w:p>
            <w:pPr>
              <w:spacing w:after="0"/>
              <w:rPr>
                <w:sz w:val="5"/>
                <w:szCs w:val="5"/>
                <w:color w:val="auto"/>
              </w:rPr>
            </w:pPr>
          </w:p>
        </w:tc>
      </w:tr>
      <w:tr>
        <w:trPr>
          <w:trHeight w:val="255"/>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Compensation</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15,000</w:t>
            </w:r>
          </w:p>
        </w:tc>
      </w:tr>
      <w:tr>
        <w:trPr>
          <w:trHeight w:val="75"/>
        </w:trPr>
        <w:tc>
          <w:tcPr>
            <w:tcW w:w="8840" w:type="dxa"/>
            <w:vAlign w:val="bottom"/>
            <w:tcBorders>
              <w:left w:val="single" w:sz="8" w:color="181818"/>
              <w:bottom w:val="single" w:sz="8" w:color="181818"/>
            </w:tcBorders>
          </w:tcPr>
          <w:p>
            <w:pPr>
              <w:spacing w:after="0"/>
              <w:rPr>
                <w:sz w:val="6"/>
                <w:szCs w:val="6"/>
                <w:color w:val="auto"/>
              </w:rPr>
            </w:pPr>
          </w:p>
        </w:tc>
        <w:tc>
          <w:tcPr>
            <w:tcW w:w="2440" w:type="dxa"/>
            <w:vAlign w:val="bottom"/>
            <w:tcBorders>
              <w:bottom w:val="single" w:sz="8" w:color="181818"/>
              <w:right w:val="single" w:sz="8" w:color="181818"/>
            </w:tcBorders>
          </w:tcPr>
          <w:p>
            <w:pPr>
              <w:spacing w:after="0"/>
              <w:rPr>
                <w:sz w:val="6"/>
                <w:szCs w:val="6"/>
                <w:color w:val="auto"/>
              </w:rPr>
            </w:pPr>
          </w:p>
        </w:tc>
      </w:tr>
      <w:tr>
        <w:trPr>
          <w:trHeight w:val="255"/>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Nominating/Governance</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10,000</w:t>
            </w:r>
          </w:p>
        </w:tc>
      </w:tr>
      <w:tr>
        <w:trPr>
          <w:trHeight w:val="75"/>
        </w:trPr>
        <w:tc>
          <w:tcPr>
            <w:tcW w:w="8840" w:type="dxa"/>
            <w:vAlign w:val="bottom"/>
            <w:tcBorders>
              <w:left w:val="single" w:sz="8" w:color="181818"/>
              <w:bottom w:val="single" w:sz="8" w:color="181818"/>
            </w:tcBorders>
          </w:tcPr>
          <w:p>
            <w:pPr>
              <w:spacing w:after="0"/>
              <w:rPr>
                <w:sz w:val="6"/>
                <w:szCs w:val="6"/>
                <w:color w:val="auto"/>
              </w:rPr>
            </w:pPr>
          </w:p>
        </w:tc>
        <w:tc>
          <w:tcPr>
            <w:tcW w:w="2440" w:type="dxa"/>
            <w:vAlign w:val="bottom"/>
            <w:tcBorders>
              <w:bottom w:val="single" w:sz="8" w:color="181818"/>
              <w:right w:val="single" w:sz="8" w:color="181818"/>
            </w:tcBorders>
          </w:tcPr>
          <w:p>
            <w:pPr>
              <w:spacing w:after="0"/>
              <w:rPr>
                <w:sz w:val="6"/>
                <w:szCs w:val="6"/>
                <w:color w:val="auto"/>
              </w:rPr>
            </w:pPr>
          </w:p>
        </w:tc>
      </w:tr>
      <w:tr>
        <w:trPr>
          <w:trHeight w:val="255"/>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Corporate Development</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8,500</w:t>
            </w:r>
          </w:p>
        </w:tc>
      </w:tr>
      <w:tr>
        <w:trPr>
          <w:trHeight w:val="76"/>
        </w:trPr>
        <w:tc>
          <w:tcPr>
            <w:tcW w:w="8840" w:type="dxa"/>
            <w:vAlign w:val="bottom"/>
            <w:tcBorders>
              <w:left w:val="single" w:sz="8" w:color="181818"/>
              <w:bottom w:val="single" w:sz="8" w:color="181818"/>
            </w:tcBorders>
          </w:tcPr>
          <w:p>
            <w:pPr>
              <w:spacing w:after="0"/>
              <w:rPr>
                <w:sz w:val="6"/>
                <w:szCs w:val="6"/>
                <w:color w:val="auto"/>
              </w:rPr>
            </w:pPr>
          </w:p>
        </w:tc>
        <w:tc>
          <w:tcPr>
            <w:tcW w:w="2440" w:type="dxa"/>
            <w:vAlign w:val="bottom"/>
            <w:tcBorders>
              <w:bottom w:val="single" w:sz="8" w:color="181818"/>
              <w:right w:val="single" w:sz="8" w:color="181818"/>
            </w:tcBorders>
          </w:tcPr>
          <w:p>
            <w:pPr>
              <w:spacing w:after="0"/>
              <w:rPr>
                <w:sz w:val="6"/>
                <w:szCs w:val="6"/>
                <w:color w:val="auto"/>
              </w:rPr>
            </w:pPr>
          </w:p>
        </w:tc>
      </w:tr>
      <w:tr>
        <w:trPr>
          <w:trHeight w:val="255"/>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Utility Engagement Committee</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w:t>
            </w:r>
          </w:p>
        </w:tc>
      </w:tr>
      <w:tr>
        <w:trPr>
          <w:trHeight w:val="75"/>
        </w:trPr>
        <w:tc>
          <w:tcPr>
            <w:tcW w:w="8840" w:type="dxa"/>
            <w:vAlign w:val="bottom"/>
            <w:tcBorders>
              <w:left w:val="single" w:sz="8" w:color="181818"/>
            </w:tcBorders>
          </w:tcPr>
          <w:p>
            <w:pPr>
              <w:spacing w:after="0"/>
              <w:rPr>
                <w:sz w:val="6"/>
                <w:szCs w:val="6"/>
                <w:color w:val="auto"/>
              </w:rPr>
            </w:pPr>
          </w:p>
        </w:tc>
        <w:tc>
          <w:tcPr>
            <w:tcW w:w="2440" w:type="dxa"/>
            <w:vAlign w:val="bottom"/>
            <w:tcBorders>
              <w:right w:val="single" w:sz="8" w:color="181818"/>
            </w:tcBorders>
          </w:tcPr>
          <w:p>
            <w:pPr>
              <w:spacing w:after="0"/>
              <w:rPr>
                <w:sz w:val="6"/>
                <w:szCs w:val="6"/>
                <w:color w:val="auto"/>
              </w:rPr>
            </w:pPr>
          </w:p>
        </w:tc>
      </w:tr>
      <w:tr>
        <w:trPr>
          <w:trHeight w:val="304"/>
        </w:trPr>
        <w:tc>
          <w:tcPr>
            <w:tcW w:w="8840" w:type="dxa"/>
            <w:vAlign w:val="bottom"/>
            <w:tcBorders>
              <w:left w:val="single" w:sz="8" w:color="181818"/>
              <w:bottom w:val="single" w:sz="8" w:color="AED0C7"/>
            </w:tcBorders>
            <w:shd w:val="clear" w:color="auto" w:fill="AED0C7"/>
          </w:tcPr>
          <w:p>
            <w:pPr>
              <w:ind w:left="100"/>
              <w:spacing w:after="0"/>
              <w:rPr>
                <w:sz w:val="20"/>
                <w:szCs w:val="20"/>
                <w:color w:val="auto"/>
              </w:rPr>
            </w:pPr>
            <w:r>
              <w:rPr>
                <w:rFonts w:ascii="Arial" w:cs="Arial" w:eastAsia="Arial" w:hAnsi="Arial"/>
                <w:sz w:val="14"/>
                <w:szCs w:val="14"/>
                <w:b w:val="1"/>
                <w:bCs w:val="1"/>
                <w:color w:val="181818"/>
              </w:rPr>
              <w:t>Board Leadership Compensation</w:t>
            </w:r>
          </w:p>
        </w:tc>
        <w:tc>
          <w:tcPr>
            <w:tcW w:w="2440" w:type="dxa"/>
            <w:vAlign w:val="bottom"/>
            <w:tcBorders>
              <w:bottom w:val="single" w:sz="8" w:color="AED0C7"/>
              <w:right w:val="single" w:sz="8" w:color="181818"/>
            </w:tcBorders>
            <w:shd w:val="clear" w:color="auto" w:fill="AED0C7"/>
          </w:tcPr>
          <w:p>
            <w:pPr>
              <w:spacing w:after="0"/>
              <w:rPr>
                <w:sz w:val="24"/>
                <w:szCs w:val="24"/>
                <w:color w:val="auto"/>
              </w:rPr>
            </w:pPr>
          </w:p>
        </w:tc>
      </w:tr>
      <w:tr>
        <w:trPr>
          <w:trHeight w:val="262"/>
        </w:trPr>
        <w:tc>
          <w:tcPr>
            <w:tcW w:w="88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Lead Independent Director Retainer (cash premium)</w:t>
            </w:r>
          </w:p>
        </w:tc>
        <w:tc>
          <w:tcPr>
            <w:tcW w:w="244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50,000</w:t>
            </w:r>
          </w:p>
        </w:tc>
      </w:tr>
      <w:tr>
        <w:trPr>
          <w:trHeight w:val="76"/>
        </w:trPr>
        <w:tc>
          <w:tcPr>
            <w:tcW w:w="8840" w:type="dxa"/>
            <w:vAlign w:val="bottom"/>
            <w:tcBorders>
              <w:left w:val="single" w:sz="8" w:color="181818"/>
              <w:bottom w:val="single" w:sz="8" w:color="181818"/>
            </w:tcBorders>
          </w:tcPr>
          <w:p>
            <w:pPr>
              <w:spacing w:after="0"/>
              <w:rPr>
                <w:sz w:val="6"/>
                <w:szCs w:val="6"/>
                <w:color w:val="auto"/>
              </w:rPr>
            </w:pPr>
          </w:p>
        </w:tc>
        <w:tc>
          <w:tcPr>
            <w:tcW w:w="2440" w:type="dxa"/>
            <w:vAlign w:val="bottom"/>
            <w:tcBorders>
              <w:bottom w:val="single" w:sz="8" w:color="181818"/>
              <w:right w:val="single" w:sz="8" w:color="181818"/>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514350</wp:posOffset>
            </wp:positionV>
            <wp:extent cx="71577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14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7"/>
        <w:spacing w:after="0" w:line="306" w:lineRule="auto"/>
        <w:rPr>
          <w:sz w:val="20"/>
          <w:szCs w:val="20"/>
          <w:color w:val="auto"/>
        </w:rPr>
      </w:pPr>
      <w:r>
        <w:rPr>
          <w:rFonts w:ascii="Arial" w:cs="Arial" w:eastAsia="Arial" w:hAnsi="Arial"/>
          <w:sz w:val="16"/>
          <w:szCs w:val="16"/>
          <w:b w:val="1"/>
          <w:bCs w:val="1"/>
          <w:color w:val="181818"/>
        </w:rPr>
        <w:t xml:space="preserve">Newly Appointed Directors: </w:t>
      </w:r>
      <w:r>
        <w:rPr>
          <w:rFonts w:ascii="Arial" w:cs="Arial" w:eastAsia="Arial" w:hAnsi="Arial"/>
          <w:sz w:val="16"/>
          <w:szCs w:val="16"/>
          <w:color w:val="000000"/>
        </w:rPr>
        <w:t>For any non-employee director appointed to the Board off-cycle (i.e., joining prior to election as a director nominee at an annual</w:t>
      </w:r>
      <w:r>
        <w:rPr>
          <w:rFonts w:ascii="Arial" w:cs="Arial" w:eastAsia="Arial" w:hAnsi="Arial"/>
          <w:sz w:val="16"/>
          <w:szCs w:val="16"/>
          <w:b w:val="1"/>
          <w:bCs w:val="1"/>
          <w:color w:val="181818"/>
        </w:rPr>
        <w:t xml:space="preserve"> </w:t>
      </w:r>
      <w:r>
        <w:rPr>
          <w:rFonts w:ascii="Arial" w:cs="Arial" w:eastAsia="Arial" w:hAnsi="Arial"/>
          <w:sz w:val="16"/>
          <w:szCs w:val="16"/>
          <w:color w:val="000000"/>
        </w:rPr>
        <w:t>meeting), and thereby, beginning their term mid-year, the first annual cash retainer is awarded pro-rata based on the fiscal quarter in which the director is appointed to the Board and each Board committee. Similarly, each non-employee director elected to the board off-cycle will receive their first annual restricted stock grant on a pro-rata basis, based on the fiscal quarter in which the director is appointed to the Board, with the fair value determined by the stock price on the grant date.</w:t>
      </w:r>
    </w:p>
    <w:p>
      <w:pPr>
        <w:spacing w:after="0" w:line="69" w:lineRule="exact"/>
        <w:rPr>
          <w:sz w:val="20"/>
          <w:szCs w:val="20"/>
          <w:color w:val="auto"/>
        </w:rPr>
      </w:pPr>
    </w:p>
    <w:p>
      <w:pPr>
        <w:jc w:val="both"/>
        <w:ind w:left="7"/>
        <w:spacing w:after="0" w:line="323" w:lineRule="auto"/>
        <w:rPr>
          <w:sz w:val="20"/>
          <w:szCs w:val="20"/>
          <w:color w:val="auto"/>
        </w:rPr>
      </w:pPr>
      <w:r>
        <w:rPr>
          <w:rFonts w:ascii="Arial" w:cs="Arial" w:eastAsia="Arial" w:hAnsi="Arial"/>
          <w:sz w:val="16"/>
          <w:szCs w:val="16"/>
          <w:b w:val="1"/>
          <w:bCs w:val="1"/>
          <w:color w:val="181818"/>
        </w:rPr>
        <w:t xml:space="preserve">Review: </w:t>
      </w:r>
      <w:r>
        <w:rPr>
          <w:rFonts w:ascii="Arial" w:cs="Arial" w:eastAsia="Arial" w:hAnsi="Arial"/>
          <w:sz w:val="16"/>
          <w:szCs w:val="16"/>
          <w:color w:val="000000"/>
        </w:rPr>
        <w:t>Pursuant to its charter, the Compensation Committee reviews this non-employee director compensation program from time to time, based upon</w:t>
      </w:r>
      <w:r>
        <w:rPr>
          <w:rFonts w:ascii="Arial" w:cs="Arial" w:eastAsia="Arial" w:hAnsi="Arial"/>
          <w:sz w:val="16"/>
          <w:szCs w:val="16"/>
          <w:b w:val="1"/>
          <w:bCs w:val="1"/>
          <w:color w:val="181818"/>
        </w:rPr>
        <w:t xml:space="preserve"> </w:t>
      </w:r>
      <w:r>
        <w:rPr>
          <w:rFonts w:ascii="Arial" w:cs="Arial" w:eastAsia="Arial" w:hAnsi="Arial"/>
          <w:sz w:val="16"/>
          <w:szCs w:val="16"/>
          <w:color w:val="000000"/>
        </w:rPr>
        <w:t>information it deems appropriate, including without limitation, reports from the independent compensation consultant, available survey data, and feedback from the director recruiting process, to determine if any adjustments should be recommended.</w:t>
      </w:r>
    </w:p>
    <w:p>
      <w:pPr>
        <w:spacing w:after="0" w:line="40" w:lineRule="exact"/>
        <w:rPr>
          <w:sz w:val="20"/>
          <w:szCs w:val="20"/>
          <w:color w:val="auto"/>
        </w:rPr>
      </w:pPr>
    </w:p>
    <w:p>
      <w:pPr>
        <w:jc w:val="both"/>
        <w:ind w:left="7"/>
        <w:spacing w:after="0" w:line="315" w:lineRule="auto"/>
        <w:rPr>
          <w:sz w:val="20"/>
          <w:szCs w:val="20"/>
          <w:color w:val="auto"/>
        </w:rPr>
      </w:pPr>
      <w:r>
        <w:rPr>
          <w:rFonts w:ascii="Arial" w:cs="Arial" w:eastAsia="Arial" w:hAnsi="Arial"/>
          <w:sz w:val="16"/>
          <w:szCs w:val="16"/>
          <w:b w:val="1"/>
          <w:bCs w:val="1"/>
          <w:color w:val="181818"/>
        </w:rPr>
        <w:t xml:space="preserve">Stock Ownership Guidelines: </w:t>
      </w:r>
      <w:r>
        <w:rPr>
          <w:rFonts w:ascii="Arial" w:cs="Arial" w:eastAsia="Arial" w:hAnsi="Arial"/>
          <w:sz w:val="16"/>
          <w:szCs w:val="16"/>
          <w:color w:val="000000"/>
        </w:rPr>
        <w:t>All non-employee directors are subject to stock ownership guidelines approved by the Board. Non-employee directors are</w:t>
      </w:r>
      <w:r>
        <w:rPr>
          <w:rFonts w:ascii="Arial" w:cs="Arial" w:eastAsia="Arial" w:hAnsi="Arial"/>
          <w:sz w:val="16"/>
          <w:szCs w:val="16"/>
          <w:b w:val="1"/>
          <w:bCs w:val="1"/>
          <w:color w:val="181818"/>
        </w:rPr>
        <w:t xml:space="preserve"> </w:t>
      </w:r>
      <w:r>
        <w:rPr>
          <w:rFonts w:ascii="Arial" w:cs="Arial" w:eastAsia="Arial" w:hAnsi="Arial"/>
          <w:sz w:val="16"/>
          <w:szCs w:val="16"/>
          <w:color w:val="000000"/>
        </w:rPr>
        <w:t>required to beneficially own shares of our common stock with a value equal to three times the annual cash retainer paid to them for service as a member of our Board. Our non-employee directors have five years from the time of initial appointment to achieve their stock ownership guideline level. As of the end of Fiscal 2026, each non-employee director is in compliance with the stock ownership guidelines.</w:t>
      </w:r>
    </w:p>
    <w:p>
      <w:pPr>
        <w:spacing w:after="0" w:line="60" w:lineRule="exact"/>
        <w:rPr>
          <w:sz w:val="20"/>
          <w:szCs w:val="20"/>
          <w:color w:val="auto"/>
        </w:rPr>
      </w:pPr>
    </w:p>
    <w:p>
      <w:pPr>
        <w:jc w:val="both"/>
        <w:ind w:left="7"/>
        <w:spacing w:after="0" w:line="329" w:lineRule="auto"/>
        <w:rPr>
          <w:sz w:val="20"/>
          <w:szCs w:val="20"/>
          <w:color w:val="auto"/>
        </w:rPr>
      </w:pPr>
      <w:r>
        <w:rPr>
          <w:rFonts w:ascii="Arial" w:cs="Arial" w:eastAsia="Arial" w:hAnsi="Arial"/>
          <w:sz w:val="16"/>
          <w:szCs w:val="16"/>
          <w:b w:val="1"/>
          <w:bCs w:val="1"/>
          <w:color w:val="181818"/>
        </w:rPr>
        <w:t xml:space="preserve">Reimbursement: </w:t>
      </w:r>
      <w:r>
        <w:rPr>
          <w:rFonts w:ascii="Arial" w:cs="Arial" w:eastAsia="Arial" w:hAnsi="Arial"/>
          <w:sz w:val="16"/>
          <w:szCs w:val="16"/>
          <w:color w:val="000000"/>
        </w:rPr>
        <w:t>Our directors are entitled to reimbursement for their reasonable travel and lodging expenses for attending Board and Board Committee</w:t>
      </w:r>
      <w:r>
        <w:rPr>
          <w:rFonts w:ascii="Arial" w:cs="Arial" w:eastAsia="Arial" w:hAnsi="Arial"/>
          <w:sz w:val="16"/>
          <w:szCs w:val="16"/>
          <w:b w:val="1"/>
          <w:bCs w:val="1"/>
          <w:color w:val="181818"/>
        </w:rPr>
        <w:t xml:space="preserve"> </w:t>
      </w:r>
      <w:r>
        <w:rPr>
          <w:rFonts w:ascii="Arial" w:cs="Arial" w:eastAsia="Arial" w:hAnsi="Arial"/>
          <w:sz w:val="16"/>
          <w:szCs w:val="16"/>
          <w:color w:val="000000"/>
        </w:rPr>
        <w:t>meetings.</w:t>
      </w:r>
    </w:p>
    <w:p>
      <w:pPr>
        <w:spacing w:after="0" w:line="7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Director Compensation Table</w:t>
      </w:r>
    </w:p>
    <w:p>
      <w:pPr>
        <w:spacing w:after="0" w:line="150" w:lineRule="exact"/>
        <w:rPr>
          <w:sz w:val="20"/>
          <w:szCs w:val="20"/>
          <w:color w:val="auto"/>
        </w:rPr>
      </w:pPr>
    </w:p>
    <w:p>
      <w:pPr>
        <w:jc w:val="both"/>
        <w:ind w:left="7"/>
        <w:spacing w:after="0" w:line="341" w:lineRule="auto"/>
        <w:rPr>
          <w:sz w:val="20"/>
          <w:szCs w:val="20"/>
          <w:color w:val="auto"/>
        </w:rPr>
      </w:pPr>
      <w:r>
        <w:rPr>
          <w:rFonts w:ascii="Arial" w:cs="Arial" w:eastAsia="Arial" w:hAnsi="Arial"/>
          <w:sz w:val="16"/>
          <w:szCs w:val="16"/>
          <w:i w:val="1"/>
          <w:iCs w:val="1"/>
          <w:color w:val="auto"/>
        </w:rPr>
        <w:t>The following table summarizes the compensation awarded to, earned by, or paid for services rendered in all capacities by our non-employee directors during Fiscal 2026.</w:t>
      </w:r>
    </w:p>
    <w:p>
      <w:pPr>
        <w:spacing w:after="0" w:line="40" w:lineRule="exact"/>
        <w:rPr>
          <w:sz w:val="20"/>
          <w:szCs w:val="20"/>
          <w:color w:val="auto"/>
        </w:rPr>
      </w:pPr>
    </w:p>
    <w:tbl>
      <w:tblPr>
        <w:tblLayout w:type="fixed"/>
        <w:tblInd w:w="17" w:type="dxa"/>
        <w:tblCellMar>
          <w:top w:w="0" w:type="dxa"/>
          <w:left w:w="0" w:type="dxa"/>
          <w:bottom w:w="0" w:type="dxa"/>
          <w:right w:w="0" w:type="dxa"/>
        </w:tblCellMar>
      </w:tblPr>
      <w:tr>
        <w:trPr>
          <w:trHeight w:val="200"/>
        </w:trPr>
        <w:tc>
          <w:tcPr>
            <w:tcW w:w="2660" w:type="dxa"/>
            <w:vAlign w:val="bottom"/>
            <w:tcBorders>
              <w:top w:val="single" w:sz="8" w:color="181818"/>
              <w:left w:val="single" w:sz="8" w:color="181818"/>
            </w:tcBorders>
            <w:shd w:val="clear" w:color="auto" w:fill="1B6F80"/>
          </w:tcPr>
          <w:p>
            <w:pPr>
              <w:spacing w:after="0"/>
              <w:rPr>
                <w:sz w:val="17"/>
                <w:szCs w:val="17"/>
                <w:color w:val="auto"/>
              </w:rPr>
            </w:pPr>
          </w:p>
        </w:tc>
        <w:tc>
          <w:tcPr>
            <w:tcW w:w="3100" w:type="dxa"/>
            <w:vAlign w:val="bottom"/>
            <w:tcBorders>
              <w:top w:val="single" w:sz="8" w:color="181818"/>
            </w:tcBorders>
            <w:shd w:val="clear" w:color="auto" w:fill="1B6F80"/>
          </w:tcPr>
          <w:p>
            <w:pPr>
              <w:jc w:val="right"/>
              <w:ind w:right="428"/>
              <w:spacing w:after="0"/>
              <w:rPr>
                <w:sz w:val="20"/>
                <w:szCs w:val="20"/>
                <w:color w:val="auto"/>
              </w:rPr>
            </w:pPr>
            <w:r>
              <w:rPr>
                <w:rFonts w:ascii="Arial" w:cs="Arial" w:eastAsia="Arial" w:hAnsi="Arial"/>
                <w:sz w:val="14"/>
                <w:szCs w:val="14"/>
                <w:b w:val="1"/>
                <w:bCs w:val="1"/>
                <w:color w:val="FFFFFF"/>
              </w:rPr>
              <w:t>Fees earned or paid in Cash</w:t>
            </w:r>
          </w:p>
        </w:tc>
        <w:tc>
          <w:tcPr>
            <w:tcW w:w="1940" w:type="dxa"/>
            <w:vAlign w:val="bottom"/>
            <w:tcBorders>
              <w:top w:val="single" w:sz="8" w:color="181818"/>
            </w:tcBorders>
            <w:shd w:val="clear" w:color="auto" w:fill="1B6F80"/>
          </w:tcPr>
          <w:p>
            <w:pPr>
              <w:jc w:val="right"/>
              <w:ind w:right="412"/>
              <w:spacing w:after="0"/>
              <w:rPr>
                <w:sz w:val="20"/>
                <w:szCs w:val="20"/>
                <w:color w:val="auto"/>
              </w:rPr>
            </w:pPr>
            <w:r>
              <w:rPr>
                <w:rFonts w:ascii="Arial" w:cs="Arial" w:eastAsia="Arial" w:hAnsi="Arial"/>
                <w:sz w:val="14"/>
                <w:szCs w:val="14"/>
                <w:b w:val="1"/>
                <w:bCs w:val="1"/>
                <w:color w:val="FFFFFF"/>
              </w:rPr>
              <w:t>Stock Awards</w:t>
            </w:r>
          </w:p>
        </w:tc>
        <w:tc>
          <w:tcPr>
            <w:tcW w:w="2180" w:type="dxa"/>
            <w:vAlign w:val="bottom"/>
            <w:tcBorders>
              <w:top w:val="single" w:sz="8" w:color="181818"/>
            </w:tcBorders>
            <w:shd w:val="clear" w:color="auto" w:fill="1B6F80"/>
          </w:tcPr>
          <w:p>
            <w:pPr>
              <w:ind w:left="460"/>
              <w:spacing w:after="0"/>
              <w:rPr>
                <w:sz w:val="20"/>
                <w:szCs w:val="20"/>
                <w:color w:val="auto"/>
              </w:rPr>
            </w:pPr>
            <w:r>
              <w:rPr>
                <w:rFonts w:ascii="Arial" w:cs="Arial" w:eastAsia="Arial" w:hAnsi="Arial"/>
                <w:sz w:val="14"/>
                <w:szCs w:val="14"/>
                <w:b w:val="1"/>
                <w:bCs w:val="1"/>
                <w:color w:val="FFFFFF"/>
              </w:rPr>
              <w:t>Option Awards</w:t>
            </w:r>
          </w:p>
        </w:tc>
        <w:tc>
          <w:tcPr>
            <w:tcW w:w="140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Total</w:t>
            </w:r>
          </w:p>
        </w:tc>
      </w:tr>
      <w:tr>
        <w:trPr>
          <w:trHeight w:val="252"/>
        </w:trPr>
        <w:tc>
          <w:tcPr>
            <w:tcW w:w="2660" w:type="dxa"/>
            <w:vAlign w:val="bottom"/>
            <w:tcBorders>
              <w:left w:val="single" w:sz="8" w:color="181818"/>
              <w:bottom w:val="single" w:sz="8" w:color="1B6F80"/>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Name</w:t>
            </w:r>
          </w:p>
        </w:tc>
        <w:tc>
          <w:tcPr>
            <w:tcW w:w="3100" w:type="dxa"/>
            <w:vAlign w:val="bottom"/>
            <w:tcBorders>
              <w:bottom w:val="single" w:sz="8" w:color="1B6F80"/>
            </w:tcBorders>
            <w:shd w:val="clear" w:color="auto" w:fill="1B6F80"/>
          </w:tcPr>
          <w:p>
            <w:pPr>
              <w:jc w:val="right"/>
              <w:ind w:right="428"/>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(1)</w:t>
            </w:r>
          </w:p>
        </w:tc>
        <w:tc>
          <w:tcPr>
            <w:tcW w:w="1940" w:type="dxa"/>
            <w:vAlign w:val="bottom"/>
            <w:tcBorders>
              <w:bottom w:val="single" w:sz="8" w:color="1B6F80"/>
            </w:tcBorders>
            <w:shd w:val="clear" w:color="auto" w:fill="1B6F80"/>
          </w:tcPr>
          <w:p>
            <w:pPr>
              <w:jc w:val="right"/>
              <w:ind w:right="412"/>
              <w:spacing w:after="0" w:line="218"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(2)(3)</w:t>
            </w:r>
          </w:p>
        </w:tc>
        <w:tc>
          <w:tcPr>
            <w:tcW w:w="2180" w:type="dxa"/>
            <w:vAlign w:val="bottom"/>
            <w:tcBorders>
              <w:bottom w:val="single" w:sz="8" w:color="1B6F80"/>
            </w:tcBorders>
            <w:shd w:val="clear" w:color="auto" w:fill="1B6F80"/>
          </w:tcPr>
          <w:p>
            <w:pPr>
              <w:ind w:left="1300"/>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1B6F80"/>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268"/>
        </w:trPr>
        <w:tc>
          <w:tcPr>
            <w:tcW w:w="266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Jeffrey A. Altman</w:t>
            </w:r>
          </w:p>
        </w:tc>
        <w:tc>
          <w:tcPr>
            <w:tcW w:w="3100" w:type="dxa"/>
            <w:vAlign w:val="bottom"/>
          </w:tcPr>
          <w:p>
            <w:pPr>
              <w:jc w:val="right"/>
              <w:ind w:right="468"/>
              <w:spacing w:after="0"/>
              <w:rPr>
                <w:sz w:val="20"/>
                <w:szCs w:val="20"/>
                <w:color w:val="auto"/>
              </w:rPr>
            </w:pPr>
            <w:r>
              <w:rPr>
                <w:rFonts w:ascii="Arial" w:cs="Arial" w:eastAsia="Arial" w:hAnsi="Arial"/>
                <w:sz w:val="14"/>
                <w:szCs w:val="14"/>
                <w:color w:val="auto"/>
              </w:rPr>
              <w:t>65,000</w:t>
            </w:r>
          </w:p>
        </w:tc>
        <w:tc>
          <w:tcPr>
            <w:tcW w:w="1940" w:type="dxa"/>
            <w:vAlign w:val="bottom"/>
          </w:tcPr>
          <w:p>
            <w:pPr>
              <w:jc w:val="right"/>
              <w:ind w:right="452"/>
              <w:spacing w:after="0"/>
              <w:rPr>
                <w:sz w:val="20"/>
                <w:szCs w:val="20"/>
                <w:color w:val="auto"/>
              </w:rPr>
            </w:pPr>
            <w:r>
              <w:rPr>
                <w:rFonts w:ascii="Arial" w:cs="Arial" w:eastAsia="Arial" w:hAnsi="Arial"/>
                <w:sz w:val="14"/>
                <w:szCs w:val="14"/>
                <w:color w:val="auto"/>
              </w:rPr>
              <w:t>170,020</w:t>
            </w:r>
          </w:p>
        </w:tc>
        <w:tc>
          <w:tcPr>
            <w:tcW w:w="2180" w:type="dxa"/>
            <w:vAlign w:val="bottom"/>
          </w:tcPr>
          <w:p>
            <w:pPr>
              <w:ind w:left="128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235,020</w:t>
            </w:r>
          </w:p>
        </w:tc>
      </w:tr>
      <w:tr>
        <w:trPr>
          <w:trHeight w:val="70"/>
        </w:trPr>
        <w:tc>
          <w:tcPr>
            <w:tcW w:w="2660" w:type="dxa"/>
            <w:vAlign w:val="bottom"/>
            <w:tcBorders>
              <w:left w:val="single" w:sz="8" w:color="181818"/>
              <w:bottom w:val="single" w:sz="8" w:color="181818"/>
            </w:tcBorders>
          </w:tcPr>
          <w:p>
            <w:pPr>
              <w:spacing w:after="0"/>
              <w:rPr>
                <w:sz w:val="6"/>
                <w:szCs w:val="6"/>
                <w:color w:val="auto"/>
              </w:rPr>
            </w:pPr>
          </w:p>
        </w:tc>
        <w:tc>
          <w:tcPr>
            <w:tcW w:w="3100" w:type="dxa"/>
            <w:vAlign w:val="bottom"/>
            <w:tcBorders>
              <w:bottom w:val="single" w:sz="8" w:color="181818"/>
            </w:tcBorders>
          </w:tcPr>
          <w:p>
            <w:pPr>
              <w:spacing w:after="0"/>
              <w:rPr>
                <w:sz w:val="6"/>
                <w:szCs w:val="6"/>
                <w:color w:val="auto"/>
              </w:rPr>
            </w:pPr>
          </w:p>
        </w:tc>
        <w:tc>
          <w:tcPr>
            <w:tcW w:w="1940" w:type="dxa"/>
            <w:vAlign w:val="bottom"/>
            <w:tcBorders>
              <w:bottom w:val="single" w:sz="8" w:color="181818"/>
            </w:tcBorders>
          </w:tcPr>
          <w:p>
            <w:pPr>
              <w:spacing w:after="0"/>
              <w:rPr>
                <w:sz w:val="6"/>
                <w:szCs w:val="6"/>
                <w:color w:val="auto"/>
              </w:rPr>
            </w:pPr>
          </w:p>
        </w:tc>
        <w:tc>
          <w:tcPr>
            <w:tcW w:w="2180" w:type="dxa"/>
            <w:vAlign w:val="bottom"/>
            <w:tcBorders>
              <w:bottom w:val="single" w:sz="8" w:color="181818"/>
            </w:tcBorders>
          </w:tcPr>
          <w:p>
            <w:pPr>
              <w:spacing w:after="0"/>
              <w:rPr>
                <w:sz w:val="6"/>
                <w:szCs w:val="6"/>
                <w:color w:val="auto"/>
              </w:rPr>
            </w:pPr>
          </w:p>
        </w:tc>
        <w:tc>
          <w:tcPr>
            <w:tcW w:w="1400" w:type="dxa"/>
            <w:vAlign w:val="bottom"/>
            <w:tcBorders>
              <w:bottom w:val="single" w:sz="8" w:color="181818"/>
              <w:right w:val="single" w:sz="8" w:color="181818"/>
            </w:tcBorders>
          </w:tcPr>
          <w:p>
            <w:pPr>
              <w:spacing w:after="0"/>
              <w:rPr>
                <w:sz w:val="6"/>
                <w:szCs w:val="6"/>
                <w:color w:val="auto"/>
              </w:rPr>
            </w:pPr>
          </w:p>
        </w:tc>
      </w:tr>
      <w:tr>
        <w:trPr>
          <w:trHeight w:val="262"/>
        </w:trPr>
        <w:tc>
          <w:tcPr>
            <w:tcW w:w="266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Leslie B. Daniels</w:t>
            </w:r>
          </w:p>
        </w:tc>
        <w:tc>
          <w:tcPr>
            <w:tcW w:w="3100" w:type="dxa"/>
            <w:vAlign w:val="bottom"/>
          </w:tcPr>
          <w:p>
            <w:pPr>
              <w:jc w:val="right"/>
              <w:ind w:right="468"/>
              <w:spacing w:after="0"/>
              <w:rPr>
                <w:sz w:val="20"/>
                <w:szCs w:val="20"/>
                <w:color w:val="auto"/>
              </w:rPr>
            </w:pPr>
            <w:r>
              <w:rPr>
                <w:rFonts w:ascii="Arial" w:cs="Arial" w:eastAsia="Arial" w:hAnsi="Arial"/>
                <w:sz w:val="14"/>
                <w:szCs w:val="14"/>
                <w:color w:val="auto"/>
              </w:rPr>
              <w:t>83,500</w:t>
            </w:r>
          </w:p>
        </w:tc>
        <w:tc>
          <w:tcPr>
            <w:tcW w:w="1940" w:type="dxa"/>
            <w:vAlign w:val="bottom"/>
          </w:tcPr>
          <w:p>
            <w:pPr>
              <w:jc w:val="right"/>
              <w:ind w:right="452"/>
              <w:spacing w:after="0"/>
              <w:rPr>
                <w:sz w:val="20"/>
                <w:szCs w:val="20"/>
                <w:color w:val="auto"/>
              </w:rPr>
            </w:pPr>
            <w:r>
              <w:rPr>
                <w:rFonts w:ascii="Arial" w:cs="Arial" w:eastAsia="Arial" w:hAnsi="Arial"/>
                <w:sz w:val="14"/>
                <w:szCs w:val="14"/>
                <w:color w:val="auto"/>
              </w:rPr>
              <w:t>170,020</w:t>
            </w:r>
          </w:p>
        </w:tc>
        <w:tc>
          <w:tcPr>
            <w:tcW w:w="2180" w:type="dxa"/>
            <w:vAlign w:val="bottom"/>
          </w:tcPr>
          <w:p>
            <w:pPr>
              <w:ind w:left="128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253,520</w:t>
            </w:r>
          </w:p>
        </w:tc>
      </w:tr>
      <w:tr>
        <w:trPr>
          <w:trHeight w:val="70"/>
        </w:trPr>
        <w:tc>
          <w:tcPr>
            <w:tcW w:w="2660" w:type="dxa"/>
            <w:vAlign w:val="bottom"/>
            <w:tcBorders>
              <w:left w:val="single" w:sz="8" w:color="181818"/>
              <w:bottom w:val="single" w:sz="8" w:color="181818"/>
            </w:tcBorders>
          </w:tcPr>
          <w:p>
            <w:pPr>
              <w:spacing w:after="0"/>
              <w:rPr>
                <w:sz w:val="6"/>
                <w:szCs w:val="6"/>
                <w:color w:val="auto"/>
              </w:rPr>
            </w:pPr>
          </w:p>
        </w:tc>
        <w:tc>
          <w:tcPr>
            <w:tcW w:w="3100" w:type="dxa"/>
            <w:vAlign w:val="bottom"/>
            <w:tcBorders>
              <w:bottom w:val="single" w:sz="8" w:color="181818"/>
            </w:tcBorders>
          </w:tcPr>
          <w:p>
            <w:pPr>
              <w:spacing w:after="0"/>
              <w:rPr>
                <w:sz w:val="6"/>
                <w:szCs w:val="6"/>
                <w:color w:val="auto"/>
              </w:rPr>
            </w:pPr>
          </w:p>
        </w:tc>
        <w:tc>
          <w:tcPr>
            <w:tcW w:w="1940" w:type="dxa"/>
            <w:vAlign w:val="bottom"/>
            <w:tcBorders>
              <w:bottom w:val="single" w:sz="8" w:color="181818"/>
            </w:tcBorders>
          </w:tcPr>
          <w:p>
            <w:pPr>
              <w:spacing w:after="0"/>
              <w:rPr>
                <w:sz w:val="6"/>
                <w:szCs w:val="6"/>
                <w:color w:val="auto"/>
              </w:rPr>
            </w:pPr>
          </w:p>
        </w:tc>
        <w:tc>
          <w:tcPr>
            <w:tcW w:w="2180" w:type="dxa"/>
            <w:vAlign w:val="bottom"/>
            <w:tcBorders>
              <w:bottom w:val="single" w:sz="8" w:color="181818"/>
            </w:tcBorders>
          </w:tcPr>
          <w:p>
            <w:pPr>
              <w:spacing w:after="0"/>
              <w:rPr>
                <w:sz w:val="6"/>
                <w:szCs w:val="6"/>
                <w:color w:val="auto"/>
              </w:rPr>
            </w:pPr>
          </w:p>
        </w:tc>
        <w:tc>
          <w:tcPr>
            <w:tcW w:w="1400" w:type="dxa"/>
            <w:vAlign w:val="bottom"/>
            <w:tcBorders>
              <w:bottom w:val="single" w:sz="8" w:color="181818"/>
              <w:right w:val="single" w:sz="8" w:color="181818"/>
            </w:tcBorders>
          </w:tcPr>
          <w:p>
            <w:pPr>
              <w:spacing w:after="0"/>
              <w:rPr>
                <w:sz w:val="6"/>
                <w:szCs w:val="6"/>
                <w:color w:val="auto"/>
              </w:rPr>
            </w:pPr>
          </w:p>
        </w:tc>
      </w:tr>
      <w:tr>
        <w:trPr>
          <w:trHeight w:val="262"/>
        </w:trPr>
        <w:tc>
          <w:tcPr>
            <w:tcW w:w="266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Mark A. Fleischhauer</w:t>
            </w:r>
          </w:p>
        </w:tc>
        <w:tc>
          <w:tcPr>
            <w:tcW w:w="3100" w:type="dxa"/>
            <w:vAlign w:val="bottom"/>
          </w:tcPr>
          <w:p>
            <w:pPr>
              <w:jc w:val="right"/>
              <w:ind w:right="468"/>
              <w:spacing w:after="0"/>
              <w:rPr>
                <w:sz w:val="20"/>
                <w:szCs w:val="20"/>
                <w:color w:val="auto"/>
              </w:rPr>
            </w:pPr>
            <w:r>
              <w:rPr>
                <w:rFonts w:ascii="Arial" w:cs="Arial" w:eastAsia="Arial" w:hAnsi="Arial"/>
                <w:sz w:val="14"/>
                <w:szCs w:val="14"/>
                <w:color w:val="auto"/>
              </w:rPr>
              <w:t>85,000</w:t>
            </w:r>
          </w:p>
        </w:tc>
        <w:tc>
          <w:tcPr>
            <w:tcW w:w="1940" w:type="dxa"/>
            <w:vAlign w:val="bottom"/>
          </w:tcPr>
          <w:p>
            <w:pPr>
              <w:jc w:val="right"/>
              <w:ind w:right="452"/>
              <w:spacing w:after="0"/>
              <w:rPr>
                <w:sz w:val="20"/>
                <w:szCs w:val="20"/>
                <w:color w:val="auto"/>
              </w:rPr>
            </w:pPr>
            <w:r>
              <w:rPr>
                <w:rFonts w:ascii="Arial" w:cs="Arial" w:eastAsia="Arial" w:hAnsi="Arial"/>
                <w:sz w:val="14"/>
                <w:szCs w:val="14"/>
                <w:color w:val="auto"/>
              </w:rPr>
              <w:t>170,020</w:t>
            </w:r>
          </w:p>
        </w:tc>
        <w:tc>
          <w:tcPr>
            <w:tcW w:w="2180" w:type="dxa"/>
            <w:vAlign w:val="bottom"/>
          </w:tcPr>
          <w:p>
            <w:pPr>
              <w:ind w:left="128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255,020</w:t>
            </w:r>
          </w:p>
        </w:tc>
      </w:tr>
      <w:tr>
        <w:trPr>
          <w:trHeight w:val="56"/>
        </w:trPr>
        <w:tc>
          <w:tcPr>
            <w:tcW w:w="2660" w:type="dxa"/>
            <w:vAlign w:val="bottom"/>
            <w:tcBorders>
              <w:left w:val="single" w:sz="8" w:color="181818"/>
              <w:bottom w:val="single" w:sz="8" w:color="181818"/>
            </w:tcBorders>
          </w:tcPr>
          <w:p>
            <w:pPr>
              <w:spacing w:after="0"/>
              <w:rPr>
                <w:sz w:val="4"/>
                <w:szCs w:val="4"/>
                <w:color w:val="auto"/>
              </w:rPr>
            </w:pPr>
          </w:p>
        </w:tc>
        <w:tc>
          <w:tcPr>
            <w:tcW w:w="3100" w:type="dxa"/>
            <w:vAlign w:val="bottom"/>
            <w:tcBorders>
              <w:bottom w:val="single" w:sz="8" w:color="181818"/>
            </w:tcBorders>
          </w:tcPr>
          <w:p>
            <w:pPr>
              <w:spacing w:after="0"/>
              <w:rPr>
                <w:sz w:val="4"/>
                <w:szCs w:val="4"/>
                <w:color w:val="auto"/>
              </w:rPr>
            </w:pPr>
          </w:p>
        </w:tc>
        <w:tc>
          <w:tcPr>
            <w:tcW w:w="1940" w:type="dxa"/>
            <w:vAlign w:val="bottom"/>
            <w:tcBorders>
              <w:bottom w:val="single" w:sz="8" w:color="181818"/>
            </w:tcBorders>
          </w:tcPr>
          <w:p>
            <w:pPr>
              <w:spacing w:after="0"/>
              <w:rPr>
                <w:sz w:val="4"/>
                <w:szCs w:val="4"/>
                <w:color w:val="auto"/>
              </w:rPr>
            </w:pPr>
          </w:p>
        </w:tc>
        <w:tc>
          <w:tcPr>
            <w:tcW w:w="2180" w:type="dxa"/>
            <w:vAlign w:val="bottom"/>
            <w:tcBorders>
              <w:bottom w:val="single" w:sz="8" w:color="181818"/>
            </w:tcBorders>
          </w:tcPr>
          <w:p>
            <w:pPr>
              <w:spacing w:after="0"/>
              <w:rPr>
                <w:sz w:val="4"/>
                <w:szCs w:val="4"/>
                <w:color w:val="auto"/>
              </w:rPr>
            </w:pPr>
          </w:p>
        </w:tc>
        <w:tc>
          <w:tcPr>
            <w:tcW w:w="1400" w:type="dxa"/>
            <w:vAlign w:val="bottom"/>
            <w:tcBorders>
              <w:bottom w:val="single" w:sz="8" w:color="181818"/>
              <w:right w:val="single" w:sz="8" w:color="181818"/>
            </w:tcBorders>
          </w:tcPr>
          <w:p>
            <w:pPr>
              <w:spacing w:after="0"/>
              <w:rPr>
                <w:sz w:val="4"/>
                <w:szCs w:val="4"/>
                <w:color w:val="auto"/>
              </w:rPr>
            </w:pPr>
          </w:p>
        </w:tc>
      </w:tr>
      <w:tr>
        <w:trPr>
          <w:trHeight w:val="262"/>
        </w:trPr>
        <w:tc>
          <w:tcPr>
            <w:tcW w:w="266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William E. Heard</w:t>
            </w:r>
          </w:p>
        </w:tc>
        <w:tc>
          <w:tcPr>
            <w:tcW w:w="3100" w:type="dxa"/>
            <w:vAlign w:val="bottom"/>
          </w:tcPr>
          <w:p>
            <w:pPr>
              <w:jc w:val="right"/>
              <w:ind w:right="468"/>
              <w:spacing w:after="0"/>
              <w:rPr>
                <w:sz w:val="20"/>
                <w:szCs w:val="20"/>
                <w:color w:val="auto"/>
              </w:rPr>
            </w:pPr>
            <w:r>
              <w:rPr>
                <w:rFonts w:ascii="Arial" w:cs="Arial" w:eastAsia="Arial" w:hAnsi="Arial"/>
                <w:sz w:val="14"/>
                <w:szCs w:val="14"/>
                <w:color w:val="auto"/>
              </w:rPr>
              <w:t>65,000</w:t>
            </w:r>
          </w:p>
        </w:tc>
        <w:tc>
          <w:tcPr>
            <w:tcW w:w="1940" w:type="dxa"/>
            <w:vAlign w:val="bottom"/>
          </w:tcPr>
          <w:p>
            <w:pPr>
              <w:jc w:val="right"/>
              <w:ind w:right="452"/>
              <w:spacing w:after="0"/>
              <w:rPr>
                <w:sz w:val="20"/>
                <w:szCs w:val="20"/>
                <w:color w:val="auto"/>
              </w:rPr>
            </w:pPr>
            <w:r>
              <w:rPr>
                <w:rFonts w:ascii="Arial" w:cs="Arial" w:eastAsia="Arial" w:hAnsi="Arial"/>
                <w:sz w:val="14"/>
                <w:szCs w:val="14"/>
                <w:color w:val="auto"/>
              </w:rPr>
              <w:t>170,020</w:t>
            </w:r>
          </w:p>
        </w:tc>
        <w:tc>
          <w:tcPr>
            <w:tcW w:w="2180" w:type="dxa"/>
            <w:vAlign w:val="bottom"/>
          </w:tcPr>
          <w:p>
            <w:pPr>
              <w:ind w:left="128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235,020</w:t>
            </w:r>
          </w:p>
        </w:tc>
      </w:tr>
      <w:tr>
        <w:trPr>
          <w:trHeight w:val="69"/>
        </w:trPr>
        <w:tc>
          <w:tcPr>
            <w:tcW w:w="2660" w:type="dxa"/>
            <w:vAlign w:val="bottom"/>
            <w:tcBorders>
              <w:left w:val="single" w:sz="8" w:color="181818"/>
              <w:bottom w:val="single" w:sz="8" w:color="181818"/>
            </w:tcBorders>
          </w:tcPr>
          <w:p>
            <w:pPr>
              <w:spacing w:after="0"/>
              <w:rPr>
                <w:sz w:val="6"/>
                <w:szCs w:val="6"/>
                <w:color w:val="auto"/>
              </w:rPr>
            </w:pPr>
          </w:p>
        </w:tc>
        <w:tc>
          <w:tcPr>
            <w:tcW w:w="3100" w:type="dxa"/>
            <w:vAlign w:val="bottom"/>
            <w:tcBorders>
              <w:bottom w:val="single" w:sz="8" w:color="181818"/>
            </w:tcBorders>
          </w:tcPr>
          <w:p>
            <w:pPr>
              <w:spacing w:after="0"/>
              <w:rPr>
                <w:sz w:val="6"/>
                <w:szCs w:val="6"/>
                <w:color w:val="auto"/>
              </w:rPr>
            </w:pPr>
          </w:p>
        </w:tc>
        <w:tc>
          <w:tcPr>
            <w:tcW w:w="1940" w:type="dxa"/>
            <w:vAlign w:val="bottom"/>
            <w:tcBorders>
              <w:bottom w:val="single" w:sz="8" w:color="181818"/>
            </w:tcBorders>
          </w:tcPr>
          <w:p>
            <w:pPr>
              <w:spacing w:after="0"/>
              <w:rPr>
                <w:sz w:val="6"/>
                <w:szCs w:val="6"/>
                <w:color w:val="auto"/>
              </w:rPr>
            </w:pPr>
          </w:p>
        </w:tc>
        <w:tc>
          <w:tcPr>
            <w:tcW w:w="2180" w:type="dxa"/>
            <w:vAlign w:val="bottom"/>
            <w:tcBorders>
              <w:bottom w:val="single" w:sz="8" w:color="181818"/>
            </w:tcBorders>
          </w:tcPr>
          <w:p>
            <w:pPr>
              <w:spacing w:after="0"/>
              <w:rPr>
                <w:sz w:val="6"/>
                <w:szCs w:val="6"/>
                <w:color w:val="auto"/>
              </w:rPr>
            </w:pPr>
          </w:p>
        </w:tc>
        <w:tc>
          <w:tcPr>
            <w:tcW w:w="1400" w:type="dxa"/>
            <w:vAlign w:val="bottom"/>
            <w:tcBorders>
              <w:bottom w:val="single" w:sz="8" w:color="181818"/>
              <w:right w:val="single" w:sz="8" w:color="181818"/>
            </w:tcBorders>
          </w:tcPr>
          <w:p>
            <w:pPr>
              <w:spacing w:after="0"/>
              <w:rPr>
                <w:sz w:val="6"/>
                <w:szCs w:val="6"/>
                <w:color w:val="auto"/>
              </w:rPr>
            </w:pPr>
          </w:p>
        </w:tc>
      </w:tr>
      <w:tr>
        <w:trPr>
          <w:trHeight w:val="262"/>
        </w:trPr>
        <w:tc>
          <w:tcPr>
            <w:tcW w:w="266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Mahvash Yazdi</w:t>
            </w:r>
          </w:p>
        </w:tc>
        <w:tc>
          <w:tcPr>
            <w:tcW w:w="3100" w:type="dxa"/>
            <w:vAlign w:val="bottom"/>
          </w:tcPr>
          <w:p>
            <w:pPr>
              <w:jc w:val="right"/>
              <w:ind w:right="468"/>
              <w:spacing w:after="0"/>
              <w:rPr>
                <w:sz w:val="20"/>
                <w:szCs w:val="20"/>
                <w:color w:val="auto"/>
              </w:rPr>
            </w:pPr>
            <w:r>
              <w:rPr>
                <w:rFonts w:ascii="Arial" w:cs="Arial" w:eastAsia="Arial" w:hAnsi="Arial"/>
                <w:sz w:val="14"/>
                <w:szCs w:val="14"/>
                <w:color w:val="auto"/>
              </w:rPr>
              <w:t>130,000</w:t>
            </w:r>
          </w:p>
        </w:tc>
        <w:tc>
          <w:tcPr>
            <w:tcW w:w="1940" w:type="dxa"/>
            <w:vAlign w:val="bottom"/>
          </w:tcPr>
          <w:p>
            <w:pPr>
              <w:jc w:val="right"/>
              <w:ind w:right="452"/>
              <w:spacing w:after="0"/>
              <w:rPr>
                <w:sz w:val="20"/>
                <w:szCs w:val="20"/>
                <w:color w:val="auto"/>
              </w:rPr>
            </w:pPr>
            <w:r>
              <w:rPr>
                <w:rFonts w:ascii="Arial" w:cs="Arial" w:eastAsia="Arial" w:hAnsi="Arial"/>
                <w:sz w:val="14"/>
                <w:szCs w:val="14"/>
                <w:color w:val="auto"/>
              </w:rPr>
              <w:t>170,020</w:t>
            </w:r>
          </w:p>
        </w:tc>
        <w:tc>
          <w:tcPr>
            <w:tcW w:w="2180" w:type="dxa"/>
            <w:vAlign w:val="bottom"/>
          </w:tcPr>
          <w:p>
            <w:pPr>
              <w:ind w:left="128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300,020</w:t>
            </w:r>
          </w:p>
        </w:tc>
      </w:tr>
      <w:tr>
        <w:trPr>
          <w:trHeight w:val="70"/>
        </w:trPr>
        <w:tc>
          <w:tcPr>
            <w:tcW w:w="2660" w:type="dxa"/>
            <w:vAlign w:val="bottom"/>
            <w:tcBorders>
              <w:left w:val="single" w:sz="8" w:color="181818"/>
              <w:bottom w:val="single" w:sz="8" w:color="181818"/>
            </w:tcBorders>
          </w:tcPr>
          <w:p>
            <w:pPr>
              <w:spacing w:after="0"/>
              <w:rPr>
                <w:sz w:val="6"/>
                <w:szCs w:val="6"/>
                <w:color w:val="auto"/>
              </w:rPr>
            </w:pPr>
          </w:p>
        </w:tc>
        <w:tc>
          <w:tcPr>
            <w:tcW w:w="3100" w:type="dxa"/>
            <w:vAlign w:val="bottom"/>
            <w:tcBorders>
              <w:bottom w:val="single" w:sz="8" w:color="181818"/>
            </w:tcBorders>
          </w:tcPr>
          <w:p>
            <w:pPr>
              <w:spacing w:after="0"/>
              <w:rPr>
                <w:sz w:val="6"/>
                <w:szCs w:val="6"/>
                <w:color w:val="auto"/>
              </w:rPr>
            </w:pPr>
          </w:p>
        </w:tc>
        <w:tc>
          <w:tcPr>
            <w:tcW w:w="1940" w:type="dxa"/>
            <w:vAlign w:val="bottom"/>
            <w:tcBorders>
              <w:bottom w:val="single" w:sz="8" w:color="181818"/>
            </w:tcBorders>
          </w:tcPr>
          <w:p>
            <w:pPr>
              <w:spacing w:after="0"/>
              <w:rPr>
                <w:sz w:val="6"/>
                <w:szCs w:val="6"/>
                <w:color w:val="auto"/>
              </w:rPr>
            </w:pPr>
          </w:p>
        </w:tc>
        <w:tc>
          <w:tcPr>
            <w:tcW w:w="2180" w:type="dxa"/>
            <w:vAlign w:val="bottom"/>
            <w:tcBorders>
              <w:bottom w:val="single" w:sz="8" w:color="181818"/>
            </w:tcBorders>
          </w:tcPr>
          <w:p>
            <w:pPr>
              <w:spacing w:after="0"/>
              <w:rPr>
                <w:sz w:val="6"/>
                <w:szCs w:val="6"/>
                <w:color w:val="auto"/>
              </w:rPr>
            </w:pPr>
          </w:p>
        </w:tc>
        <w:tc>
          <w:tcPr>
            <w:tcW w:w="1400" w:type="dxa"/>
            <w:vAlign w:val="bottom"/>
            <w:tcBorders>
              <w:bottom w:val="single" w:sz="8" w:color="181818"/>
              <w:right w:val="single" w:sz="8" w:color="181818"/>
            </w:tcBorders>
          </w:tcPr>
          <w:p>
            <w:pPr>
              <w:spacing w:after="0"/>
              <w:rPr>
                <w:sz w:val="6"/>
                <w:szCs w:val="6"/>
                <w:color w:val="auto"/>
              </w:rPr>
            </w:pPr>
          </w:p>
        </w:tc>
      </w:tr>
    </w:tbl>
    <w:p>
      <w:pPr>
        <w:spacing w:after="0" w:line="149" w:lineRule="exact"/>
        <w:rPr>
          <w:sz w:val="20"/>
          <w:szCs w:val="20"/>
          <w:color w:val="auto"/>
        </w:rPr>
      </w:pPr>
    </w:p>
    <w:p>
      <w:pPr>
        <w:ind w:left="327" w:right="220" w:hanging="327"/>
        <w:spacing w:after="0" w:line="311" w:lineRule="auto"/>
        <w:tabs>
          <w:tab w:leader="none" w:pos="315" w:val="left"/>
        </w:tabs>
        <w:numPr>
          <w:ilvl w:val="0"/>
          <w:numId w:val="18"/>
        </w:numPr>
        <w:rPr>
          <w:rFonts w:ascii="Arial" w:cs="Arial" w:eastAsia="Arial" w:hAnsi="Arial"/>
          <w:sz w:val="14"/>
          <w:szCs w:val="14"/>
          <w:b w:val="1"/>
          <w:bCs w:val="1"/>
          <w:color w:val="181818"/>
        </w:rPr>
      </w:pPr>
      <w:r>
        <w:rPr>
          <w:rFonts w:ascii="Arial" w:cs="Arial" w:eastAsia="Arial" w:hAnsi="Arial"/>
          <w:sz w:val="14"/>
          <w:szCs w:val="14"/>
          <w:color w:val="181818"/>
        </w:rPr>
        <w:t xml:space="preserve">Represents </w:t>
      </w:r>
      <w:r>
        <w:rPr>
          <w:rFonts w:ascii="Arial" w:cs="Arial" w:eastAsia="Arial" w:hAnsi="Arial"/>
          <w:sz w:val="14"/>
          <w:szCs w:val="14"/>
          <w:color w:val="000000"/>
        </w:rPr>
        <w:t>annual cash retainers for Board service and for service as chair of one of the standing Board Committees and Lead Independent Director, if applicable. Cash</w:t>
      </w:r>
      <w:r>
        <w:rPr>
          <w:rFonts w:ascii="Arial" w:cs="Arial" w:eastAsia="Arial" w:hAnsi="Arial"/>
          <w:sz w:val="14"/>
          <w:szCs w:val="14"/>
          <w:color w:val="181818"/>
        </w:rPr>
        <w:t xml:space="preserve"> </w:t>
      </w:r>
      <w:r>
        <w:rPr>
          <w:rFonts w:ascii="Arial" w:cs="Arial" w:eastAsia="Arial" w:hAnsi="Arial"/>
          <w:sz w:val="14"/>
          <w:szCs w:val="14"/>
          <w:color w:val="000000"/>
        </w:rPr>
        <w:t>retainers are paid quarterly in four equal installments.</w:t>
      </w:r>
    </w:p>
    <w:p>
      <w:pPr>
        <w:spacing w:after="0" w:line="14" w:lineRule="exact"/>
        <w:rPr>
          <w:rFonts w:ascii="Arial" w:cs="Arial" w:eastAsia="Arial" w:hAnsi="Arial"/>
          <w:sz w:val="14"/>
          <w:szCs w:val="14"/>
          <w:b w:val="1"/>
          <w:bCs w:val="1"/>
          <w:color w:val="181818"/>
        </w:rPr>
      </w:pPr>
    </w:p>
    <w:p>
      <w:pPr>
        <w:ind w:left="327" w:right="140" w:hanging="327"/>
        <w:spacing w:after="0" w:line="296" w:lineRule="auto"/>
        <w:tabs>
          <w:tab w:leader="none" w:pos="295" w:val="left"/>
        </w:tabs>
        <w:numPr>
          <w:ilvl w:val="0"/>
          <w:numId w:val="18"/>
        </w:numPr>
        <w:rPr>
          <w:rFonts w:ascii="Arial" w:cs="Arial" w:eastAsia="Arial" w:hAnsi="Arial"/>
          <w:sz w:val="14"/>
          <w:szCs w:val="14"/>
          <w:b w:val="1"/>
          <w:bCs w:val="1"/>
          <w:color w:val="181818"/>
        </w:rPr>
      </w:pPr>
      <w:r>
        <w:rPr>
          <w:rFonts w:ascii="Arial" w:cs="Arial" w:eastAsia="Arial" w:hAnsi="Arial"/>
          <w:sz w:val="14"/>
          <w:szCs w:val="14"/>
          <w:color w:val="auto"/>
        </w:rPr>
        <w:t>These amounts represent the grant date fair market value of restricted stock awards granted by the Company during the period presented for services as a director, determined in accordance with FASB ASC Topic 718. For the assumptions used in our valuations, see “Note 13 - Stock Acquisition Rights, Stock Options and Warrants” of our notes to consolidated financial statements in our Annual Report.</w:t>
      </w:r>
    </w:p>
    <w:p>
      <w:pPr>
        <w:spacing w:after="0" w:line="11" w:lineRule="exact"/>
        <w:rPr>
          <w:rFonts w:ascii="Arial" w:cs="Arial" w:eastAsia="Arial" w:hAnsi="Arial"/>
          <w:sz w:val="14"/>
          <w:szCs w:val="14"/>
          <w:b w:val="1"/>
          <w:bCs w:val="1"/>
          <w:color w:val="181818"/>
        </w:rPr>
      </w:pPr>
    </w:p>
    <w:p>
      <w:pPr>
        <w:ind w:left="287" w:hanging="287"/>
        <w:spacing w:after="0"/>
        <w:tabs>
          <w:tab w:leader="none" w:pos="287" w:val="left"/>
        </w:tabs>
        <w:numPr>
          <w:ilvl w:val="0"/>
          <w:numId w:val="18"/>
        </w:numPr>
        <w:rPr>
          <w:rFonts w:ascii="Arial" w:cs="Arial" w:eastAsia="Arial" w:hAnsi="Arial"/>
          <w:sz w:val="14"/>
          <w:szCs w:val="14"/>
          <w:b w:val="1"/>
          <w:bCs w:val="1"/>
          <w:color w:val="181818"/>
        </w:rPr>
      </w:pPr>
      <w:r>
        <w:rPr>
          <w:rFonts w:ascii="Arial" w:cs="Arial" w:eastAsia="Arial" w:hAnsi="Arial"/>
          <w:sz w:val="14"/>
          <w:szCs w:val="14"/>
          <w:color w:val="auto"/>
        </w:rPr>
        <w:t>During the fiscal year ended March 31, 2026, the following directors received shares of our restricted stock awards: Jeffrey A. Altman: 7,767 shares; Leslie B. Daniels: 7,767</w:t>
      </w:r>
    </w:p>
    <w:p>
      <w:pPr>
        <w:spacing w:after="0" w:line="39" w:lineRule="exact"/>
        <w:rPr>
          <w:rFonts w:ascii="Arial" w:cs="Arial" w:eastAsia="Arial" w:hAnsi="Arial"/>
          <w:sz w:val="14"/>
          <w:szCs w:val="14"/>
          <w:b w:val="1"/>
          <w:bCs w:val="1"/>
          <w:color w:val="181818"/>
        </w:rPr>
      </w:pPr>
    </w:p>
    <w:p>
      <w:pPr>
        <w:ind w:left="327" w:right="420"/>
        <w:spacing w:after="0" w:line="294" w:lineRule="auto"/>
        <w:rPr>
          <w:rFonts w:ascii="Arial" w:cs="Arial" w:eastAsia="Arial" w:hAnsi="Arial"/>
          <w:sz w:val="14"/>
          <w:szCs w:val="14"/>
          <w:b w:val="1"/>
          <w:bCs w:val="1"/>
          <w:color w:val="181818"/>
        </w:rPr>
      </w:pPr>
      <w:r>
        <w:rPr>
          <w:rFonts w:ascii="Arial" w:cs="Arial" w:eastAsia="Arial" w:hAnsi="Arial"/>
          <w:sz w:val="14"/>
          <w:szCs w:val="14"/>
          <w:color w:val="auto"/>
        </w:rPr>
        <w:t>shares; Mark A. Fleischhauer: 7,767 shares; William E. Heard: 7,767 shares; and Mahvash Yazdi: 7,767 shares. All restricted stock awards held by our non-employee directors are fully vested or are scheduled to vest in full on August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299720</wp:posOffset>
            </wp:positionV>
            <wp:extent cx="71577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19" w:name="page20"/>
    <w:bookmarkEnd w:id="19"/>
    <w:p>
      <w:pPr>
        <w:spacing w:after="0"/>
        <w:rPr>
          <w:sz w:val="20"/>
          <w:szCs w:val="20"/>
          <w:color w:val="auto"/>
        </w:rPr>
      </w:pPr>
      <w:r>
        <w:rPr>
          <w:rFonts w:ascii="Arial" w:cs="Arial" w:eastAsia="Arial" w:hAnsi="Arial"/>
          <w:sz w:val="41"/>
          <w:szCs w:val="41"/>
          <w:b w:val="1"/>
          <w:bCs w:val="1"/>
          <w:color w:val="181818"/>
        </w:rPr>
        <w:t>Corporate Governance Matters</w:t>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Corporate Governance Guidelines and Code of Business Conduct</w:t>
      </w:r>
    </w:p>
    <w:p>
      <w:pPr>
        <w:spacing w:after="0" w:line="13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Good corporate governance is fundamental to the overall success of our business, serving our stockholders well and maintaining our integrity in the marketplace. Our key governing documents — Corporate Governance Guidelines, Code of Business Conduct, Amended and Restated Bylaws, and the charters for each of our Board committees — form our corporate governance framework. These documents cover topics including, but not limited to, director qualification criteria, director responsibilities, director compensation, director orientation and continuing education, communications from stockholders to our Board, succession planning, and the annual evaluations of our Board and its committees. Copies of these key governing documents are available on our investor website at investors.anterix.com. Any stockholder may obtain a printed copy upon request to our Chief Legal Officer and Corporate Secretary.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highlights of our corporate governance program are included below:</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970"/>
        </w:trPr>
        <w:tc>
          <w:tcPr>
            <w:tcW w:w="3760" w:type="dxa"/>
            <w:vAlign w:val="bottom"/>
            <w:tcBorders>
              <w:top w:val="single" w:sz="8" w:color="181818"/>
              <w:left w:val="single" w:sz="8" w:color="181818"/>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Annual Election</w:t>
            </w:r>
          </w:p>
        </w:tc>
        <w:tc>
          <w:tcPr>
            <w:tcW w:w="3760" w:type="dxa"/>
            <w:vAlign w:val="bottom"/>
            <w:tcBorders>
              <w:top w:val="single" w:sz="8" w:color="181818"/>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Executive Succession</w:t>
            </w:r>
          </w:p>
        </w:tc>
        <w:tc>
          <w:tcPr>
            <w:tcW w:w="3760" w:type="dxa"/>
            <w:vAlign w:val="bottom"/>
            <w:tcBorders>
              <w:top w:val="single" w:sz="8" w:color="181818"/>
              <w:right w:val="single" w:sz="8" w:color="181818"/>
            </w:tcBorders>
            <w:shd w:val="clear" w:color="auto" w:fill="1B6F80"/>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760" w:type="dxa"/>
            <w:vAlign w:val="bottom"/>
            <w:tcBorders>
              <w:left w:val="single" w:sz="8" w:color="181818"/>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of Directors</w:t>
            </w:r>
          </w:p>
        </w:tc>
        <w:tc>
          <w:tcPr>
            <w:tcW w:w="3760" w:type="dxa"/>
            <w:vAlign w:val="bottom"/>
            <w:tcBorders>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Planning</w:t>
            </w:r>
          </w:p>
        </w:tc>
        <w:tc>
          <w:tcPr>
            <w:tcW w:w="3760" w:type="dxa"/>
            <w:vAlign w:val="bottom"/>
            <w:tcBorders>
              <w:right w:val="single" w:sz="8" w:color="181818"/>
            </w:tcBorders>
            <w:vMerge w:val="restart"/>
            <w:shd w:val="clear" w:color="auto" w:fill="1B6F80"/>
          </w:tcPr>
          <w:p>
            <w:pPr>
              <w:jc w:val="center"/>
              <w:spacing w:after="0"/>
              <w:rPr>
                <w:sz w:val="20"/>
                <w:szCs w:val="20"/>
                <w:color w:val="auto"/>
              </w:rPr>
            </w:pPr>
            <w:r>
              <w:rPr>
                <w:rFonts w:ascii="Arial" w:cs="Arial" w:eastAsia="Arial" w:hAnsi="Arial"/>
                <w:sz w:val="14"/>
                <w:szCs w:val="14"/>
                <w:b w:val="1"/>
                <w:bCs w:val="1"/>
                <w:color w:val="FFFFFF"/>
              </w:rPr>
              <w:t>Board Oversight of Human</w:t>
            </w:r>
          </w:p>
        </w:tc>
        <w:tc>
          <w:tcPr>
            <w:tcW w:w="0" w:type="dxa"/>
            <w:vAlign w:val="bottom"/>
          </w:tcPr>
          <w:p>
            <w:pPr>
              <w:spacing w:after="0"/>
              <w:rPr>
                <w:sz w:val="1"/>
                <w:szCs w:val="1"/>
                <w:color w:val="auto"/>
              </w:rPr>
            </w:pPr>
          </w:p>
        </w:tc>
      </w:tr>
      <w:tr>
        <w:trPr>
          <w:trHeight w:val="41"/>
        </w:trPr>
        <w:tc>
          <w:tcPr>
            <w:tcW w:w="3760" w:type="dxa"/>
            <w:vAlign w:val="bottom"/>
            <w:tcBorders>
              <w:left w:val="single" w:sz="8" w:color="181818"/>
              <w:right w:val="single" w:sz="8" w:color="181818"/>
            </w:tcBorders>
            <w:shd w:val="clear" w:color="auto" w:fill="E5FF70"/>
          </w:tcPr>
          <w:p>
            <w:pPr>
              <w:spacing w:after="0"/>
              <w:rPr>
                <w:sz w:val="3"/>
                <w:szCs w:val="3"/>
                <w:color w:val="auto"/>
              </w:rPr>
            </w:pPr>
          </w:p>
        </w:tc>
        <w:tc>
          <w:tcPr>
            <w:tcW w:w="3760" w:type="dxa"/>
            <w:vAlign w:val="bottom"/>
            <w:tcBorders>
              <w:right w:val="single" w:sz="8" w:color="181818"/>
            </w:tcBorders>
            <w:shd w:val="clear" w:color="auto" w:fill="D9D9D9"/>
          </w:tcPr>
          <w:p>
            <w:pPr>
              <w:spacing w:after="0"/>
              <w:rPr>
                <w:sz w:val="3"/>
                <w:szCs w:val="3"/>
                <w:color w:val="auto"/>
              </w:rPr>
            </w:pPr>
          </w:p>
        </w:tc>
        <w:tc>
          <w:tcPr>
            <w:tcW w:w="3760" w:type="dxa"/>
            <w:vAlign w:val="bottom"/>
            <w:tcBorders>
              <w:right w:val="single" w:sz="8" w:color="181818"/>
            </w:tcBorders>
            <w:vMerge w:val="continue"/>
            <w:shd w:val="clear" w:color="auto" w:fill="1B6F80"/>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760" w:type="dxa"/>
            <w:vAlign w:val="bottom"/>
            <w:tcBorders>
              <w:left w:val="single" w:sz="8" w:color="181818"/>
              <w:bottom w:val="single" w:sz="8" w:color="181818"/>
              <w:right w:val="single" w:sz="8" w:color="181818"/>
            </w:tcBorders>
            <w:shd w:val="clear" w:color="auto" w:fill="E5FF70"/>
          </w:tcPr>
          <w:p>
            <w:pPr>
              <w:spacing w:after="0"/>
              <w:rPr>
                <w:sz w:val="13"/>
                <w:szCs w:val="13"/>
                <w:color w:val="auto"/>
              </w:rPr>
            </w:pPr>
          </w:p>
        </w:tc>
        <w:tc>
          <w:tcPr>
            <w:tcW w:w="3760" w:type="dxa"/>
            <w:vAlign w:val="bottom"/>
            <w:tcBorders>
              <w:bottom w:val="single" w:sz="8" w:color="181818"/>
              <w:right w:val="single" w:sz="8" w:color="181818"/>
            </w:tcBorders>
            <w:shd w:val="clear" w:color="auto" w:fill="D9D9D9"/>
          </w:tcPr>
          <w:p>
            <w:pPr>
              <w:spacing w:after="0"/>
              <w:rPr>
                <w:sz w:val="13"/>
                <w:szCs w:val="13"/>
                <w:color w:val="auto"/>
              </w:rPr>
            </w:pPr>
          </w:p>
        </w:tc>
        <w:tc>
          <w:tcPr>
            <w:tcW w:w="3760" w:type="dxa"/>
            <w:vAlign w:val="bottom"/>
            <w:tcBorders>
              <w:bottom w:val="single" w:sz="8" w:color="1B6F80"/>
              <w:right w:val="single" w:sz="8" w:color="181818"/>
            </w:tcBorders>
            <w:shd w:val="clear" w:color="auto" w:fill="1B6F80"/>
          </w:tcPr>
          <w:p>
            <w:pPr>
              <w:jc w:val="center"/>
              <w:spacing w:after="0" w:line="155" w:lineRule="exact"/>
              <w:rPr>
                <w:sz w:val="20"/>
                <w:szCs w:val="20"/>
                <w:color w:val="auto"/>
              </w:rPr>
            </w:pPr>
            <w:r>
              <w:rPr>
                <w:rFonts w:ascii="Arial" w:cs="Arial" w:eastAsia="Arial" w:hAnsi="Arial"/>
                <w:sz w:val="14"/>
                <w:szCs w:val="14"/>
                <w:b w:val="1"/>
                <w:bCs w:val="1"/>
                <w:color w:val="FFFFFF"/>
              </w:rPr>
              <w:t>Capital Management,</w:t>
            </w:r>
          </w:p>
        </w:tc>
        <w:tc>
          <w:tcPr>
            <w:tcW w:w="0" w:type="dxa"/>
            <w:vAlign w:val="bottom"/>
          </w:tcPr>
          <w:p>
            <w:pPr>
              <w:spacing w:after="0"/>
              <w:rPr>
                <w:sz w:val="1"/>
                <w:szCs w:val="1"/>
                <w:color w:val="auto"/>
              </w:rPr>
            </w:pPr>
          </w:p>
        </w:tc>
      </w:tr>
      <w:tr>
        <w:trPr>
          <w:trHeight w:val="202"/>
        </w:trPr>
        <w:tc>
          <w:tcPr>
            <w:tcW w:w="3760" w:type="dxa"/>
            <w:vAlign w:val="bottom"/>
            <w:tcBorders>
              <w:top w:val="single" w:sz="8" w:color="1B6F80"/>
              <w:left w:val="single" w:sz="8" w:color="181818"/>
              <w:right w:val="single" w:sz="8" w:color="181818"/>
            </w:tcBorders>
            <w:shd w:val="clear" w:color="auto" w:fill="1B6F80"/>
          </w:tcPr>
          <w:p>
            <w:pPr>
              <w:spacing w:after="0"/>
              <w:rPr>
                <w:sz w:val="17"/>
                <w:szCs w:val="17"/>
                <w:color w:val="auto"/>
              </w:rPr>
            </w:pPr>
          </w:p>
        </w:tc>
        <w:tc>
          <w:tcPr>
            <w:tcW w:w="3760" w:type="dxa"/>
            <w:vAlign w:val="bottom"/>
            <w:tcBorders>
              <w:top w:val="single" w:sz="8" w:color="AED0C7"/>
              <w:right w:val="single" w:sz="8" w:color="181818"/>
            </w:tcBorders>
            <w:shd w:val="clear" w:color="auto" w:fill="AED0C7"/>
          </w:tcPr>
          <w:p>
            <w:pPr>
              <w:spacing w:after="0"/>
              <w:rPr>
                <w:sz w:val="17"/>
                <w:szCs w:val="17"/>
                <w:color w:val="auto"/>
              </w:rPr>
            </w:pPr>
          </w:p>
        </w:tc>
        <w:tc>
          <w:tcPr>
            <w:tcW w:w="3760" w:type="dxa"/>
            <w:vAlign w:val="bottom"/>
            <w:tcBorders>
              <w:top w:val="single" w:sz="8" w:color="1B6F80"/>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Corporate Culture, Ethics</w:t>
            </w:r>
          </w:p>
        </w:tc>
        <w:tc>
          <w:tcPr>
            <w:tcW w:w="0" w:type="dxa"/>
            <w:vAlign w:val="bottom"/>
          </w:tcPr>
          <w:p>
            <w:pPr>
              <w:spacing w:after="0"/>
              <w:rPr>
                <w:sz w:val="1"/>
                <w:szCs w:val="1"/>
                <w:color w:val="auto"/>
              </w:rPr>
            </w:pPr>
          </w:p>
        </w:tc>
      </w:tr>
      <w:tr>
        <w:trPr>
          <w:trHeight w:val="394"/>
        </w:trPr>
        <w:tc>
          <w:tcPr>
            <w:tcW w:w="3760" w:type="dxa"/>
            <w:vAlign w:val="bottom"/>
            <w:tcBorders>
              <w:left w:val="single" w:sz="8" w:color="181818"/>
              <w:bottom w:val="single" w:sz="8" w:color="1B6F80"/>
              <w:right w:val="single" w:sz="8" w:color="181818"/>
            </w:tcBorders>
            <w:vMerge w:val="restart"/>
            <w:shd w:val="clear" w:color="auto" w:fill="1B6F80"/>
          </w:tcPr>
          <w:p>
            <w:pPr>
              <w:jc w:val="center"/>
              <w:spacing w:after="0"/>
              <w:rPr>
                <w:sz w:val="20"/>
                <w:szCs w:val="20"/>
                <w:color w:val="auto"/>
              </w:rPr>
            </w:pPr>
            <w:r>
              <w:rPr>
                <w:rFonts w:ascii="Arial" w:cs="Arial" w:eastAsia="Arial" w:hAnsi="Arial"/>
                <w:sz w:val="14"/>
                <w:szCs w:val="14"/>
                <w:b w:val="1"/>
                <w:bCs w:val="1"/>
                <w:color w:val="FFFFFF"/>
              </w:rPr>
              <w:t>Board Oversight</w:t>
            </w:r>
          </w:p>
        </w:tc>
        <w:tc>
          <w:tcPr>
            <w:tcW w:w="3760" w:type="dxa"/>
            <w:vAlign w:val="bottom"/>
            <w:tcBorders>
              <w:bottom w:val="single" w:sz="8" w:color="AED0C7"/>
              <w:right w:val="single" w:sz="8" w:color="181818"/>
            </w:tcBorders>
            <w:vMerge w:val="restart"/>
            <w:shd w:val="clear" w:color="auto" w:fill="AED0C7"/>
          </w:tcPr>
          <w:p>
            <w:pPr>
              <w:jc w:val="center"/>
              <w:spacing w:after="0"/>
              <w:rPr>
                <w:sz w:val="20"/>
                <w:szCs w:val="20"/>
                <w:color w:val="auto"/>
              </w:rPr>
            </w:pPr>
            <w:r>
              <w:rPr>
                <w:rFonts w:ascii="Arial" w:cs="Arial" w:eastAsia="Arial" w:hAnsi="Arial"/>
                <w:sz w:val="14"/>
                <w:szCs w:val="14"/>
                <w:b w:val="1"/>
                <w:bCs w:val="1"/>
                <w:color w:val="181818"/>
              </w:rPr>
              <w:t>Anti-hedging and</w:t>
            </w:r>
          </w:p>
        </w:tc>
        <w:tc>
          <w:tcPr>
            <w:tcW w:w="3760" w:type="dxa"/>
            <w:vAlign w:val="bottom"/>
            <w:tcBorders>
              <w:bottom w:val="single" w:sz="8" w:color="181818"/>
              <w:right w:val="single" w:sz="8" w:color="181818"/>
            </w:tcBorders>
            <w:shd w:val="clear" w:color="auto" w:fill="1B6F80"/>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tcBorders>
              <w:left w:val="single" w:sz="8" w:color="181818"/>
              <w:right w:val="single" w:sz="8" w:color="181818"/>
            </w:tcBorders>
            <w:vMerge w:val="continue"/>
            <w:shd w:val="clear" w:color="auto" w:fill="1B6F80"/>
          </w:tcPr>
          <w:p>
            <w:pPr>
              <w:spacing w:after="0"/>
              <w:rPr>
                <w:sz w:val="22"/>
                <w:szCs w:val="22"/>
                <w:color w:val="auto"/>
              </w:rPr>
            </w:pPr>
          </w:p>
        </w:tc>
        <w:tc>
          <w:tcPr>
            <w:tcW w:w="3760" w:type="dxa"/>
            <w:vAlign w:val="bottom"/>
            <w:tcBorders>
              <w:right w:val="single" w:sz="8" w:color="181818"/>
            </w:tcBorders>
            <w:vMerge w:val="continue"/>
            <w:shd w:val="clear" w:color="auto" w:fill="AED0C7"/>
          </w:tcPr>
          <w:p>
            <w:pPr>
              <w:spacing w:after="0"/>
              <w:rPr>
                <w:sz w:val="22"/>
                <w:szCs w:val="22"/>
                <w:color w:val="auto"/>
              </w:rPr>
            </w:pPr>
          </w:p>
        </w:tc>
        <w:tc>
          <w:tcPr>
            <w:tcW w:w="3760" w:type="dxa"/>
            <w:vAlign w:val="bottom"/>
            <w:tcBorders>
              <w:right w:val="single" w:sz="8" w:color="181818"/>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760" w:type="dxa"/>
            <w:vAlign w:val="bottom"/>
            <w:tcBorders>
              <w:left w:val="single" w:sz="8" w:color="181818"/>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of ESG</w:t>
            </w:r>
          </w:p>
        </w:tc>
        <w:tc>
          <w:tcPr>
            <w:tcW w:w="3760" w:type="dxa"/>
            <w:vAlign w:val="bottom"/>
            <w:tcBorders>
              <w:right w:val="single" w:sz="8" w:color="181818"/>
            </w:tcBorders>
            <w:vMerge w:val="restart"/>
            <w:shd w:val="clear" w:color="auto" w:fill="AED0C7"/>
          </w:tcPr>
          <w:p>
            <w:pPr>
              <w:jc w:val="center"/>
              <w:spacing w:after="0"/>
              <w:rPr>
                <w:sz w:val="20"/>
                <w:szCs w:val="20"/>
                <w:color w:val="auto"/>
              </w:rPr>
            </w:pPr>
            <w:r>
              <w:rPr>
                <w:rFonts w:ascii="Arial" w:cs="Arial" w:eastAsia="Arial" w:hAnsi="Arial"/>
                <w:sz w:val="14"/>
                <w:szCs w:val="14"/>
                <w:b w:val="1"/>
                <w:bCs w:val="1"/>
                <w:color w:val="181818"/>
              </w:rPr>
              <w:t>Anti-pledging Policies</w:t>
            </w:r>
          </w:p>
        </w:tc>
        <w:tc>
          <w:tcPr>
            <w:tcW w:w="3760" w:type="dxa"/>
            <w:vAlign w:val="bottom"/>
            <w:tcBorders>
              <w:right w:val="single" w:sz="8" w:color="181818"/>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3760" w:type="dxa"/>
            <w:vAlign w:val="bottom"/>
            <w:tcBorders>
              <w:left w:val="single" w:sz="8" w:color="181818"/>
              <w:right w:val="single" w:sz="8" w:color="181818"/>
            </w:tcBorders>
            <w:shd w:val="clear" w:color="auto" w:fill="1B6F80"/>
          </w:tcPr>
          <w:p>
            <w:pPr>
              <w:spacing w:after="0"/>
              <w:rPr>
                <w:sz w:val="4"/>
                <w:szCs w:val="4"/>
                <w:color w:val="auto"/>
              </w:rPr>
            </w:pPr>
          </w:p>
        </w:tc>
        <w:tc>
          <w:tcPr>
            <w:tcW w:w="3760" w:type="dxa"/>
            <w:vAlign w:val="bottom"/>
            <w:tcBorders>
              <w:right w:val="single" w:sz="8" w:color="181818"/>
            </w:tcBorders>
            <w:vMerge w:val="continue"/>
            <w:shd w:val="clear" w:color="auto" w:fill="AED0C7"/>
          </w:tcPr>
          <w:p>
            <w:pPr>
              <w:spacing w:after="0"/>
              <w:rPr>
                <w:sz w:val="4"/>
                <w:szCs w:val="4"/>
                <w:color w:val="auto"/>
              </w:rPr>
            </w:pPr>
          </w:p>
        </w:tc>
        <w:tc>
          <w:tcPr>
            <w:tcW w:w="3760" w:type="dxa"/>
            <w:vAlign w:val="bottom"/>
            <w:tcBorders>
              <w:right w:val="single" w:sz="8" w:color="181818"/>
            </w:tcBorders>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3760" w:type="dxa"/>
            <w:vAlign w:val="bottom"/>
            <w:tcBorders>
              <w:left w:val="single" w:sz="8" w:color="181818"/>
              <w:bottom w:val="single" w:sz="8" w:color="181818"/>
              <w:right w:val="single" w:sz="8" w:color="181818"/>
            </w:tcBorders>
            <w:shd w:val="clear" w:color="auto" w:fill="1B6F80"/>
          </w:tcPr>
          <w:p>
            <w:pPr>
              <w:spacing w:after="0"/>
              <w:rPr>
                <w:sz w:val="11"/>
                <w:szCs w:val="11"/>
                <w:color w:val="auto"/>
              </w:rPr>
            </w:pPr>
          </w:p>
        </w:tc>
        <w:tc>
          <w:tcPr>
            <w:tcW w:w="3760" w:type="dxa"/>
            <w:vAlign w:val="bottom"/>
            <w:tcBorders>
              <w:bottom w:val="single" w:sz="8" w:color="181818"/>
              <w:right w:val="single" w:sz="8" w:color="181818"/>
            </w:tcBorders>
            <w:shd w:val="clear" w:color="auto" w:fill="AED0C7"/>
          </w:tcPr>
          <w:p>
            <w:pPr>
              <w:spacing w:after="0"/>
              <w:rPr>
                <w:sz w:val="11"/>
                <w:szCs w:val="11"/>
                <w:color w:val="auto"/>
              </w:rPr>
            </w:pPr>
          </w:p>
        </w:tc>
        <w:tc>
          <w:tcPr>
            <w:tcW w:w="3760" w:type="dxa"/>
            <w:vAlign w:val="bottom"/>
            <w:tcBorders>
              <w:bottom w:val="single" w:sz="8" w:color="D9D9D9"/>
              <w:right w:val="single" w:sz="8" w:color="181818"/>
            </w:tcBorders>
            <w:vMerge w:val="restart"/>
            <w:shd w:val="clear" w:color="auto" w:fill="D9D9D9"/>
          </w:tcPr>
          <w:p>
            <w:pPr>
              <w:jc w:val="center"/>
              <w:spacing w:after="0"/>
              <w:rPr>
                <w:sz w:val="20"/>
                <w:szCs w:val="20"/>
                <w:color w:val="auto"/>
              </w:rPr>
            </w:pPr>
            <w:r>
              <w:rPr>
                <w:rFonts w:ascii="Arial" w:cs="Arial" w:eastAsia="Arial" w:hAnsi="Arial"/>
                <w:sz w:val="14"/>
                <w:szCs w:val="14"/>
                <w:b w:val="1"/>
                <w:bCs w:val="1"/>
                <w:color w:val="181818"/>
              </w:rPr>
              <w:t>Stock Ownership</w:t>
            </w:r>
          </w:p>
        </w:tc>
        <w:tc>
          <w:tcPr>
            <w:tcW w:w="0" w:type="dxa"/>
            <w:vAlign w:val="bottom"/>
          </w:tcPr>
          <w:p>
            <w:pPr>
              <w:spacing w:after="0"/>
              <w:rPr>
                <w:sz w:val="1"/>
                <w:szCs w:val="1"/>
                <w:color w:val="auto"/>
              </w:rPr>
            </w:pPr>
          </w:p>
        </w:tc>
      </w:tr>
      <w:tr>
        <w:trPr>
          <w:trHeight w:val="559"/>
        </w:trPr>
        <w:tc>
          <w:tcPr>
            <w:tcW w:w="3760" w:type="dxa"/>
            <w:vAlign w:val="bottom"/>
            <w:tcBorders>
              <w:left w:val="single" w:sz="8" w:color="181818"/>
              <w:right w:val="single" w:sz="8" w:color="181818"/>
            </w:tcBorders>
            <w:shd w:val="clear" w:color="auto" w:fill="AED0C7"/>
          </w:tcPr>
          <w:p>
            <w:pPr>
              <w:spacing w:after="0"/>
              <w:rPr>
                <w:sz w:val="24"/>
                <w:szCs w:val="24"/>
                <w:color w:val="auto"/>
              </w:rPr>
            </w:pPr>
          </w:p>
        </w:tc>
        <w:tc>
          <w:tcPr>
            <w:tcW w:w="3760" w:type="dxa"/>
            <w:vAlign w:val="bottom"/>
            <w:tcBorders>
              <w:right w:val="single" w:sz="8" w:color="181818"/>
            </w:tcBorders>
            <w:shd w:val="clear" w:color="auto" w:fill="E5FF70"/>
          </w:tcPr>
          <w:p>
            <w:pPr>
              <w:spacing w:after="0"/>
              <w:rPr>
                <w:sz w:val="24"/>
                <w:szCs w:val="24"/>
                <w:color w:val="auto"/>
              </w:rPr>
            </w:pPr>
          </w:p>
        </w:tc>
        <w:tc>
          <w:tcPr>
            <w:tcW w:w="3760" w:type="dxa"/>
            <w:vAlign w:val="bottom"/>
            <w:tcBorders>
              <w:right w:val="single" w:sz="8" w:color="181818"/>
            </w:tcBorders>
            <w:vMerge w:val="continue"/>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60" w:type="dxa"/>
            <w:vAlign w:val="bottom"/>
            <w:tcBorders>
              <w:left w:val="single" w:sz="8" w:color="181818"/>
              <w:right w:val="single" w:sz="8" w:color="181818"/>
            </w:tcBorders>
            <w:shd w:val="clear" w:color="auto" w:fill="AED0C7"/>
          </w:tcPr>
          <w:p>
            <w:pPr>
              <w:spacing w:after="0"/>
              <w:rPr>
                <w:sz w:val="15"/>
                <w:szCs w:val="15"/>
                <w:color w:val="auto"/>
              </w:rPr>
            </w:pPr>
          </w:p>
        </w:tc>
        <w:tc>
          <w:tcPr>
            <w:tcW w:w="3760" w:type="dxa"/>
            <w:vAlign w:val="bottom"/>
            <w:tcBorders>
              <w:right w:val="single" w:sz="8" w:color="181818"/>
            </w:tcBorders>
            <w:shd w:val="clear" w:color="auto" w:fill="E5FF70"/>
          </w:tcPr>
          <w:p>
            <w:pPr>
              <w:spacing w:after="0"/>
              <w:rPr>
                <w:sz w:val="15"/>
                <w:szCs w:val="15"/>
                <w:color w:val="auto"/>
              </w:rPr>
            </w:pPr>
          </w:p>
        </w:tc>
        <w:tc>
          <w:tcPr>
            <w:tcW w:w="3760" w:type="dxa"/>
            <w:vAlign w:val="bottom"/>
            <w:tcBorders>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Requirements for Directors</w:t>
            </w:r>
          </w:p>
        </w:tc>
        <w:tc>
          <w:tcPr>
            <w:tcW w:w="0" w:type="dxa"/>
            <w:vAlign w:val="bottom"/>
          </w:tcPr>
          <w:p>
            <w:pPr>
              <w:spacing w:after="0"/>
              <w:rPr>
                <w:sz w:val="1"/>
                <w:szCs w:val="1"/>
                <w:color w:val="auto"/>
              </w:rPr>
            </w:pPr>
          </w:p>
        </w:tc>
      </w:tr>
      <w:tr>
        <w:trPr>
          <w:trHeight w:val="216"/>
        </w:trPr>
        <w:tc>
          <w:tcPr>
            <w:tcW w:w="3760" w:type="dxa"/>
            <w:vAlign w:val="bottom"/>
            <w:tcBorders>
              <w:left w:val="single" w:sz="8" w:color="181818"/>
              <w:right w:val="single" w:sz="8" w:color="181818"/>
            </w:tcBorders>
            <w:shd w:val="clear" w:color="auto" w:fill="AED0C7"/>
          </w:tcPr>
          <w:p>
            <w:pPr>
              <w:jc w:val="center"/>
              <w:spacing w:after="0"/>
              <w:rPr>
                <w:sz w:val="20"/>
                <w:szCs w:val="20"/>
                <w:color w:val="auto"/>
              </w:rPr>
            </w:pPr>
            <w:r>
              <w:rPr>
                <w:rFonts w:ascii="Arial" w:cs="Arial" w:eastAsia="Arial" w:hAnsi="Arial"/>
                <w:sz w:val="14"/>
                <w:szCs w:val="14"/>
                <w:b w:val="1"/>
                <w:bCs w:val="1"/>
                <w:color w:val="181818"/>
              </w:rPr>
              <w:t>Enterprise Risk</w:t>
            </w:r>
          </w:p>
        </w:tc>
        <w:tc>
          <w:tcPr>
            <w:tcW w:w="3760" w:type="dxa"/>
            <w:vAlign w:val="bottom"/>
            <w:tcBorders>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Annual Advisory Vote on</w:t>
            </w:r>
          </w:p>
        </w:tc>
        <w:tc>
          <w:tcPr>
            <w:tcW w:w="3760" w:type="dxa"/>
            <w:vAlign w:val="bottom"/>
            <w:tcBorders>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and Executive Officers</w:t>
            </w:r>
          </w:p>
        </w:tc>
        <w:tc>
          <w:tcPr>
            <w:tcW w:w="0" w:type="dxa"/>
            <w:vAlign w:val="bottom"/>
          </w:tcPr>
          <w:p>
            <w:pPr>
              <w:spacing w:after="0"/>
              <w:rPr>
                <w:sz w:val="1"/>
                <w:szCs w:val="1"/>
                <w:color w:val="auto"/>
              </w:rPr>
            </w:pPr>
          </w:p>
        </w:tc>
      </w:tr>
      <w:tr>
        <w:trPr>
          <w:trHeight w:val="202"/>
        </w:trPr>
        <w:tc>
          <w:tcPr>
            <w:tcW w:w="3760" w:type="dxa"/>
            <w:vAlign w:val="bottom"/>
            <w:tcBorders>
              <w:left w:val="single" w:sz="8" w:color="181818"/>
              <w:right w:val="single" w:sz="8" w:color="181818"/>
            </w:tcBorders>
            <w:shd w:val="clear" w:color="auto" w:fill="AED0C7"/>
          </w:tcPr>
          <w:p>
            <w:pPr>
              <w:jc w:val="center"/>
              <w:spacing w:after="0"/>
              <w:rPr>
                <w:sz w:val="20"/>
                <w:szCs w:val="20"/>
                <w:color w:val="auto"/>
              </w:rPr>
            </w:pPr>
            <w:r>
              <w:rPr>
                <w:rFonts w:ascii="Arial" w:cs="Arial" w:eastAsia="Arial" w:hAnsi="Arial"/>
                <w:sz w:val="14"/>
                <w:szCs w:val="14"/>
                <w:b w:val="1"/>
                <w:bCs w:val="1"/>
                <w:color w:val="181818"/>
              </w:rPr>
              <w:t>Management</w:t>
            </w:r>
          </w:p>
        </w:tc>
        <w:tc>
          <w:tcPr>
            <w:tcW w:w="3760" w:type="dxa"/>
            <w:vAlign w:val="bottom"/>
            <w:tcBorders>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Executive Compensation</w:t>
            </w:r>
          </w:p>
        </w:tc>
        <w:tc>
          <w:tcPr>
            <w:tcW w:w="3760" w:type="dxa"/>
            <w:vAlign w:val="bottom"/>
            <w:tcBorders>
              <w:right w:val="single" w:sz="8" w:color="181818"/>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760" w:type="dxa"/>
            <w:vAlign w:val="bottom"/>
            <w:tcBorders>
              <w:left w:val="single" w:sz="8" w:color="181818"/>
              <w:bottom w:val="single" w:sz="8" w:color="181818"/>
              <w:right w:val="single" w:sz="8" w:color="181818"/>
            </w:tcBorders>
            <w:shd w:val="clear" w:color="auto" w:fill="AED0C7"/>
          </w:tcPr>
          <w:p>
            <w:pPr>
              <w:spacing w:after="0"/>
              <w:rPr>
                <w:sz w:val="14"/>
                <w:szCs w:val="14"/>
                <w:color w:val="auto"/>
              </w:rPr>
            </w:pPr>
          </w:p>
        </w:tc>
        <w:tc>
          <w:tcPr>
            <w:tcW w:w="3760" w:type="dxa"/>
            <w:vAlign w:val="bottom"/>
            <w:tcBorders>
              <w:bottom w:val="single" w:sz="8" w:color="181818"/>
              <w:right w:val="single" w:sz="8" w:color="181818"/>
            </w:tcBorders>
            <w:shd w:val="clear" w:color="auto" w:fill="E5FF70"/>
          </w:tcPr>
          <w:p>
            <w:pPr>
              <w:spacing w:after="0"/>
              <w:rPr>
                <w:sz w:val="14"/>
                <w:szCs w:val="14"/>
                <w:color w:val="auto"/>
              </w:rPr>
            </w:pPr>
          </w:p>
        </w:tc>
        <w:tc>
          <w:tcPr>
            <w:tcW w:w="3760" w:type="dxa"/>
            <w:vAlign w:val="bottom"/>
            <w:tcBorders>
              <w:bottom w:val="single" w:sz="8" w:color="181818"/>
              <w:right w:val="single" w:sz="8" w:color="181818"/>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-2407920</wp:posOffset>
            </wp:positionV>
            <wp:extent cx="283210" cy="283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-2407920</wp:posOffset>
            </wp:positionV>
            <wp:extent cx="282575"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-2253615</wp:posOffset>
            </wp:positionV>
            <wp:extent cx="282575" cy="282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-1542415</wp:posOffset>
            </wp:positionV>
            <wp:extent cx="282575" cy="283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-1567815</wp:posOffset>
            </wp:positionV>
            <wp:extent cx="282575" cy="282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-1010920</wp:posOffset>
            </wp:positionV>
            <wp:extent cx="308610"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-736600</wp:posOffset>
            </wp:positionV>
            <wp:extent cx="283210" cy="282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-736600</wp:posOffset>
            </wp:positionV>
            <wp:extent cx="282575" cy="282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Policies and Practices Highlights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Code of Business Conduct</w:t>
      </w:r>
    </w:p>
    <w:p>
      <w:pPr>
        <w:spacing w:after="0" w:line="8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Our Board has adopted a Code of Business Conduct (the "Code") that applies to our directors, officers, employees and affiliates. Our Audit Committee reviews and oversees the Code. We train our employees and Directors on the Code annually and provide additional compliance training on key topics and other policies on a rotational basis, including insider trading, anti-harassment, and discrimination. All employees and Directors are required annually to reaffirm their compliance with the Code. Employees are required to speak up about misconduct and report suspected or known Code violations. The Code prohibits retaliation against anyone who raises an issue or concern in good faith. Any waiver of the Code for our directors or executive officers may be made only by our Board or the Audit Committee. We intend to disclose on our website any material amendment to, or waiver of, any provision of the Code that would be required to be disclosed to stockholders under the rules of the SEC or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376555</wp:posOffset>
            </wp:positionV>
            <wp:extent cx="71577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16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79" w:right="318"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Whistleblower Hotline</w:t>
      </w:r>
    </w:p>
    <w:p>
      <w:pPr>
        <w:spacing w:after="0" w:line="10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employees are encouraged to report complaints regarding accounting, internal controls, auditing matters, violations of law, violations of our Code or other concerns regarding the conduct of our employees, representatives or business partners through our secure whistleblower hotline, and we enable any reported concerns to be submitted anonymously. The whistleblower hotline is made available to employees via an external, independent website operated by an independent service provider. Any matter reported through the whistleblower hotline and determined not to be frivolous or immaterial is reviewed first by our Chief Legal Officer and, in certain cases, by our Chair of the Audit Committee, and investigated and discussed with our Audit Committee and, if warranted, the full Board. When appropriate, independent third parties assist in an investigation.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Clawback Policy</w:t>
      </w:r>
    </w:p>
    <w:p>
      <w:pPr>
        <w:spacing w:after="0" w:line="10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November 2023, we amended our clawback policy (the "Executive Compensation Recoupment Policy") to comply with Nasdaq Listing Standard 5608 requirements implementing Rule 10D-1 under the Securities Exchange Act of 1943, as amended (the "Exchange Act"). In the event we are required to prepare an accounting restatement of the Company’s financial statements due to material non-compliance with any financial reporting requirement under the federal securities laws, we will seek to recover, on a reasonably prompt basis, the excess incentive-based compensation received by any covered executive, including our named executive officers, during the prior three fiscal years, that exceeds the amount that the executive otherwise would have received had the incentive-based compensation been determined based on the restated financial statements. The recovery of such compensation applies regardless of whether an executive officer engaged in misconduct or otherwise caused or contributed to the requirement for a restatement. We file our Executive Compensation Recoupment Policy as an exhibit to our Annual Report each year.</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Prohibition on Hedging and Pledging</w:t>
      </w:r>
    </w:p>
    <w:p>
      <w:pPr>
        <w:spacing w:after="0" w:line="1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maintain an Insider Trading Policy that, among other things, prohibits all employees and agents, including our officers and directors and designated consultants, and independent contractors, or their designees, from engaging in “hedging” transactions with respect to our securities. This includes publicly traded options, short sales, puts and calls, and any other types of hedging transactions. In addition, we also restrict pledging our securities as collateral for a loan or holding our securities in margin accounts, subject, however, to certain limited exceptions, including transactions pursuant to a trading plan that complies with Rule 10b5-1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363855</wp:posOffset>
            </wp:positionV>
            <wp:extent cx="71577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Board Committees</w:t>
      </w:r>
    </w:p>
    <w:p>
      <w:pPr>
        <w:spacing w:after="0" w:line="123" w:lineRule="exact"/>
        <w:rPr>
          <w:sz w:val="20"/>
          <w:szCs w:val="20"/>
          <w:color w:val="auto"/>
        </w:rPr>
      </w:pPr>
    </w:p>
    <w:p>
      <w:pPr>
        <w:spacing w:after="0" w:line="344" w:lineRule="auto"/>
        <w:rPr>
          <w:sz w:val="20"/>
          <w:szCs w:val="20"/>
          <w:color w:val="auto"/>
        </w:rPr>
      </w:pPr>
      <w:r>
        <w:rPr>
          <w:rFonts w:ascii="Arial" w:cs="Arial" w:eastAsia="Arial" w:hAnsi="Arial"/>
          <w:sz w:val="16"/>
          <w:szCs w:val="16"/>
          <w:color w:val="auto"/>
        </w:rPr>
        <w:t>The Board has five committees: Audit, Compensation, Nominating and Corporate Governance, Corporate Development, and Utility Engagement. Each Board committee functions under a written charter adopted by the Board, copies of which are available on our investor website at investors.anterix.com.</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020" w:type="dxa"/>
            <w:vAlign w:val="bottom"/>
            <w:tcBorders>
              <w:top w:val="single" w:sz="8" w:color="181818"/>
              <w:left w:val="single" w:sz="8" w:color="181818"/>
            </w:tcBorders>
            <w:shd w:val="clear" w:color="auto" w:fill="1B6F80"/>
          </w:tcPr>
          <w:p>
            <w:pPr>
              <w:spacing w:after="0"/>
              <w:rPr>
                <w:sz w:val="17"/>
                <w:szCs w:val="17"/>
                <w:color w:val="auto"/>
              </w:rPr>
            </w:pPr>
          </w:p>
        </w:tc>
        <w:tc>
          <w:tcPr>
            <w:tcW w:w="2380" w:type="dxa"/>
            <w:vAlign w:val="bottom"/>
            <w:tcBorders>
              <w:top w:val="single" w:sz="8" w:color="181818"/>
            </w:tcBorders>
            <w:shd w:val="clear" w:color="auto" w:fill="1B6F80"/>
          </w:tcPr>
          <w:p>
            <w:pPr>
              <w:spacing w:after="0"/>
              <w:rPr>
                <w:sz w:val="17"/>
                <w:szCs w:val="17"/>
                <w:color w:val="auto"/>
              </w:rPr>
            </w:pPr>
          </w:p>
        </w:tc>
        <w:tc>
          <w:tcPr>
            <w:tcW w:w="1540" w:type="dxa"/>
            <w:vAlign w:val="bottom"/>
            <w:tcBorders>
              <w:top w:val="single" w:sz="8" w:color="181818"/>
            </w:tcBorders>
            <w:shd w:val="clear" w:color="auto" w:fill="1B6F80"/>
          </w:tcPr>
          <w:p>
            <w:pPr>
              <w:jc w:val="center"/>
              <w:ind w:right="30"/>
              <w:spacing w:after="0"/>
              <w:rPr>
                <w:sz w:val="20"/>
                <w:szCs w:val="20"/>
                <w:color w:val="auto"/>
              </w:rPr>
            </w:pPr>
            <w:r>
              <w:rPr>
                <w:rFonts w:ascii="Arial" w:cs="Arial" w:eastAsia="Arial" w:hAnsi="Arial"/>
                <w:sz w:val="14"/>
                <w:szCs w:val="14"/>
                <w:b w:val="1"/>
                <w:bCs w:val="1"/>
                <w:color w:val="FFFFFF"/>
              </w:rPr>
              <w:t>Compensation</w:t>
            </w:r>
          </w:p>
        </w:tc>
        <w:tc>
          <w:tcPr>
            <w:tcW w:w="3640" w:type="dxa"/>
            <w:vAlign w:val="bottom"/>
            <w:tcBorders>
              <w:top w:val="single" w:sz="8" w:color="181818"/>
            </w:tcBorders>
            <w:gridSpan w:val="2"/>
            <w:shd w:val="clear" w:color="auto" w:fill="1B6F80"/>
          </w:tcPr>
          <w:p>
            <w:pPr>
              <w:ind w:left="80"/>
              <w:spacing w:after="0"/>
              <w:rPr>
                <w:sz w:val="20"/>
                <w:szCs w:val="20"/>
                <w:color w:val="auto"/>
              </w:rPr>
            </w:pPr>
            <w:r>
              <w:rPr>
                <w:rFonts w:ascii="Arial" w:cs="Arial" w:eastAsia="Arial" w:hAnsi="Arial"/>
                <w:sz w:val="14"/>
                <w:szCs w:val="14"/>
                <w:b w:val="1"/>
                <w:bCs w:val="1"/>
                <w:color w:val="FFFFFF"/>
              </w:rPr>
              <w:t>Nominating &amp; Corporate  Corporate Development</w:t>
            </w:r>
          </w:p>
        </w:tc>
        <w:tc>
          <w:tcPr>
            <w:tcW w:w="1700" w:type="dxa"/>
            <w:vAlign w:val="bottom"/>
            <w:tcBorders>
              <w:top w:val="single" w:sz="8" w:color="181818"/>
              <w:right w:val="single" w:sz="8" w:color="181818"/>
            </w:tcBorders>
            <w:shd w:val="clear" w:color="auto" w:fill="1B6F80"/>
          </w:tcPr>
          <w:p>
            <w:pPr>
              <w:jc w:val="center"/>
              <w:ind w:right="48"/>
              <w:spacing w:after="0"/>
              <w:rPr>
                <w:sz w:val="20"/>
                <w:szCs w:val="20"/>
                <w:color w:val="auto"/>
              </w:rPr>
            </w:pPr>
            <w:r>
              <w:rPr>
                <w:rFonts w:ascii="Arial" w:cs="Arial" w:eastAsia="Arial" w:hAnsi="Arial"/>
                <w:sz w:val="14"/>
                <w:szCs w:val="14"/>
                <w:b w:val="1"/>
                <w:bCs w:val="1"/>
                <w:color w:val="FFFFFF"/>
              </w:rPr>
              <w:t>Utility Engagement</w:t>
            </w:r>
          </w:p>
        </w:tc>
        <w:tc>
          <w:tcPr>
            <w:tcW w:w="0" w:type="dxa"/>
            <w:vAlign w:val="bottom"/>
          </w:tcPr>
          <w:p>
            <w:pPr>
              <w:spacing w:after="0"/>
              <w:rPr>
                <w:sz w:val="1"/>
                <w:szCs w:val="1"/>
                <w:color w:val="auto"/>
              </w:rPr>
            </w:pPr>
          </w:p>
        </w:tc>
      </w:tr>
      <w:tr>
        <w:trPr>
          <w:trHeight w:val="202"/>
        </w:trPr>
        <w:tc>
          <w:tcPr>
            <w:tcW w:w="2020" w:type="dxa"/>
            <w:vAlign w:val="bottom"/>
            <w:tcBorders>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Director Name</w:t>
            </w:r>
          </w:p>
        </w:tc>
        <w:tc>
          <w:tcPr>
            <w:tcW w:w="2380" w:type="dxa"/>
            <w:vAlign w:val="bottom"/>
            <w:shd w:val="clear" w:color="auto" w:fill="1B6F80"/>
          </w:tcPr>
          <w:p>
            <w:pPr>
              <w:jc w:val="center"/>
              <w:ind w:left="657"/>
              <w:spacing w:after="0"/>
              <w:rPr>
                <w:sz w:val="20"/>
                <w:szCs w:val="20"/>
                <w:color w:val="auto"/>
              </w:rPr>
            </w:pPr>
            <w:r>
              <w:rPr>
                <w:rFonts w:ascii="Arial" w:cs="Arial" w:eastAsia="Arial" w:hAnsi="Arial"/>
                <w:sz w:val="14"/>
                <w:szCs w:val="14"/>
                <w:b w:val="1"/>
                <w:bCs w:val="1"/>
                <w:color w:val="FFFFFF"/>
              </w:rPr>
              <w:t>Audit Committee</w:t>
            </w:r>
          </w:p>
        </w:tc>
        <w:tc>
          <w:tcPr>
            <w:tcW w:w="1540" w:type="dxa"/>
            <w:vAlign w:val="bottom"/>
            <w:shd w:val="clear" w:color="auto" w:fill="1B6F80"/>
          </w:tcPr>
          <w:p>
            <w:pPr>
              <w:jc w:val="center"/>
              <w:ind w:right="10"/>
              <w:spacing w:after="0"/>
              <w:rPr>
                <w:sz w:val="20"/>
                <w:szCs w:val="20"/>
                <w:color w:val="auto"/>
              </w:rPr>
            </w:pPr>
            <w:r>
              <w:rPr>
                <w:rFonts w:ascii="Arial" w:cs="Arial" w:eastAsia="Arial" w:hAnsi="Arial"/>
                <w:sz w:val="14"/>
                <w:szCs w:val="14"/>
                <w:b w:val="1"/>
                <w:bCs w:val="1"/>
                <w:color w:val="FFFFFF"/>
              </w:rPr>
              <w:t>Committee</w:t>
            </w:r>
          </w:p>
        </w:tc>
        <w:tc>
          <w:tcPr>
            <w:tcW w:w="2100" w:type="dxa"/>
            <w:vAlign w:val="bottom"/>
            <w:shd w:val="clear" w:color="auto" w:fill="1B6F80"/>
          </w:tcPr>
          <w:p>
            <w:pPr>
              <w:ind w:left="100"/>
              <w:spacing w:after="0"/>
              <w:rPr>
                <w:sz w:val="20"/>
                <w:szCs w:val="20"/>
                <w:color w:val="auto"/>
              </w:rPr>
            </w:pPr>
            <w:r>
              <w:rPr>
                <w:rFonts w:ascii="Arial" w:cs="Arial" w:eastAsia="Arial" w:hAnsi="Arial"/>
                <w:sz w:val="14"/>
                <w:szCs w:val="14"/>
                <w:b w:val="1"/>
                <w:bCs w:val="1"/>
                <w:color w:val="FFFFFF"/>
              </w:rPr>
              <w:t>Governance Committee</w:t>
            </w:r>
          </w:p>
        </w:tc>
        <w:tc>
          <w:tcPr>
            <w:tcW w:w="1540" w:type="dxa"/>
            <w:vAlign w:val="bottom"/>
            <w:shd w:val="clear" w:color="auto" w:fill="1B6F80"/>
          </w:tcPr>
          <w:p>
            <w:pPr>
              <w:ind w:left="200"/>
              <w:spacing w:after="0"/>
              <w:rPr>
                <w:sz w:val="20"/>
                <w:szCs w:val="20"/>
                <w:color w:val="auto"/>
              </w:rPr>
            </w:pPr>
            <w:r>
              <w:rPr>
                <w:rFonts w:ascii="Arial" w:cs="Arial" w:eastAsia="Arial" w:hAnsi="Arial"/>
                <w:sz w:val="14"/>
                <w:szCs w:val="14"/>
                <w:b w:val="1"/>
                <w:bCs w:val="1"/>
                <w:color w:val="FFFFFF"/>
              </w:rPr>
              <w:t>Committee</w:t>
            </w:r>
          </w:p>
        </w:tc>
        <w:tc>
          <w:tcPr>
            <w:tcW w:w="1700" w:type="dxa"/>
            <w:vAlign w:val="bottom"/>
            <w:tcBorders>
              <w:right w:val="single" w:sz="8" w:color="181818"/>
            </w:tcBorders>
            <w:shd w:val="clear" w:color="auto" w:fill="1B6F80"/>
          </w:tcPr>
          <w:p>
            <w:pPr>
              <w:jc w:val="center"/>
              <w:ind w:right="48"/>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69"/>
        </w:trPr>
        <w:tc>
          <w:tcPr>
            <w:tcW w:w="2020" w:type="dxa"/>
            <w:vAlign w:val="bottom"/>
            <w:tcBorders>
              <w:left w:val="single" w:sz="8" w:color="181818"/>
            </w:tcBorders>
            <w:shd w:val="clear" w:color="auto" w:fill="1B6F80"/>
          </w:tcPr>
          <w:p>
            <w:pPr>
              <w:spacing w:after="0"/>
              <w:rPr>
                <w:sz w:val="6"/>
                <w:szCs w:val="6"/>
                <w:color w:val="auto"/>
              </w:rPr>
            </w:pPr>
          </w:p>
        </w:tc>
        <w:tc>
          <w:tcPr>
            <w:tcW w:w="2380" w:type="dxa"/>
            <w:vAlign w:val="bottom"/>
            <w:shd w:val="clear" w:color="auto" w:fill="1B6F80"/>
          </w:tcPr>
          <w:p>
            <w:pPr>
              <w:spacing w:after="0"/>
              <w:rPr>
                <w:sz w:val="6"/>
                <w:szCs w:val="6"/>
                <w:color w:val="auto"/>
              </w:rPr>
            </w:pPr>
          </w:p>
        </w:tc>
        <w:tc>
          <w:tcPr>
            <w:tcW w:w="1540" w:type="dxa"/>
            <w:vAlign w:val="bottom"/>
            <w:shd w:val="clear" w:color="auto" w:fill="1B6F80"/>
          </w:tcPr>
          <w:p>
            <w:pPr>
              <w:spacing w:after="0"/>
              <w:rPr>
                <w:sz w:val="6"/>
                <w:szCs w:val="6"/>
                <w:color w:val="auto"/>
              </w:rPr>
            </w:pPr>
          </w:p>
        </w:tc>
        <w:tc>
          <w:tcPr>
            <w:tcW w:w="2100" w:type="dxa"/>
            <w:vAlign w:val="bottom"/>
            <w:shd w:val="clear" w:color="auto" w:fill="1B6F80"/>
          </w:tcPr>
          <w:p>
            <w:pPr>
              <w:spacing w:after="0"/>
              <w:rPr>
                <w:sz w:val="6"/>
                <w:szCs w:val="6"/>
                <w:color w:val="auto"/>
              </w:rPr>
            </w:pPr>
          </w:p>
        </w:tc>
        <w:tc>
          <w:tcPr>
            <w:tcW w:w="1540" w:type="dxa"/>
            <w:vAlign w:val="bottom"/>
            <w:shd w:val="clear" w:color="auto" w:fill="1B6F80"/>
          </w:tcPr>
          <w:p>
            <w:pPr>
              <w:spacing w:after="0"/>
              <w:rPr>
                <w:sz w:val="6"/>
                <w:szCs w:val="6"/>
                <w:color w:val="auto"/>
              </w:rPr>
            </w:pPr>
          </w:p>
        </w:tc>
        <w:tc>
          <w:tcPr>
            <w:tcW w:w="1700" w:type="dxa"/>
            <w:vAlign w:val="bottom"/>
            <w:tcBorders>
              <w:right w:val="single" w:sz="8" w:color="181818"/>
            </w:tcBorders>
            <w:shd w:val="clear" w:color="auto" w:fill="1B6F80"/>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20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Thomas R. Kuhn</w:t>
            </w:r>
          </w:p>
        </w:tc>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Borders>
              <w:right w:val="single" w:sz="8" w:color="181818"/>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20" w:type="dxa"/>
            <w:vAlign w:val="bottom"/>
            <w:tcBorders>
              <w:left w:val="single" w:sz="8" w:color="181818"/>
              <w:bottom w:val="single" w:sz="8" w:color="181818"/>
            </w:tcBorders>
          </w:tcPr>
          <w:p>
            <w:pPr>
              <w:spacing w:after="0"/>
              <w:rPr>
                <w:sz w:val="11"/>
                <w:szCs w:val="11"/>
                <w:color w:val="auto"/>
              </w:rPr>
            </w:pPr>
          </w:p>
        </w:tc>
        <w:tc>
          <w:tcPr>
            <w:tcW w:w="2380" w:type="dxa"/>
            <w:vAlign w:val="bottom"/>
            <w:tcBorders>
              <w:bottom w:val="single" w:sz="8" w:color="181818"/>
            </w:tcBorders>
          </w:tcPr>
          <w:p>
            <w:pPr>
              <w:spacing w:after="0"/>
              <w:rPr>
                <w:sz w:val="11"/>
                <w:szCs w:val="11"/>
                <w:color w:val="auto"/>
              </w:rPr>
            </w:pPr>
          </w:p>
        </w:tc>
        <w:tc>
          <w:tcPr>
            <w:tcW w:w="1540" w:type="dxa"/>
            <w:vAlign w:val="bottom"/>
            <w:tcBorders>
              <w:bottom w:val="single" w:sz="8" w:color="181818"/>
            </w:tcBorders>
          </w:tcPr>
          <w:p>
            <w:pPr>
              <w:spacing w:after="0"/>
              <w:rPr>
                <w:sz w:val="11"/>
                <w:szCs w:val="11"/>
                <w:color w:val="auto"/>
              </w:rPr>
            </w:pPr>
          </w:p>
        </w:tc>
        <w:tc>
          <w:tcPr>
            <w:tcW w:w="2100" w:type="dxa"/>
            <w:vAlign w:val="bottom"/>
            <w:tcBorders>
              <w:bottom w:val="single" w:sz="8" w:color="181818"/>
            </w:tcBorders>
          </w:tcPr>
          <w:p>
            <w:pPr>
              <w:spacing w:after="0"/>
              <w:rPr>
                <w:sz w:val="11"/>
                <w:szCs w:val="11"/>
                <w:color w:val="auto"/>
              </w:rPr>
            </w:pPr>
          </w:p>
        </w:tc>
        <w:tc>
          <w:tcPr>
            <w:tcW w:w="1540" w:type="dxa"/>
            <w:vAlign w:val="bottom"/>
            <w:tcBorders>
              <w:bottom w:val="single" w:sz="8" w:color="181818"/>
            </w:tcBorders>
          </w:tcPr>
          <w:p>
            <w:pPr>
              <w:spacing w:after="0"/>
              <w:rPr>
                <w:sz w:val="11"/>
                <w:szCs w:val="11"/>
                <w:color w:val="auto"/>
              </w:rPr>
            </w:pPr>
          </w:p>
        </w:tc>
        <w:tc>
          <w:tcPr>
            <w:tcW w:w="1700" w:type="dxa"/>
            <w:vAlign w:val="bottom"/>
            <w:tcBorders>
              <w:bottom w:val="single" w:sz="8" w:color="181818"/>
              <w:right w:val="single" w:sz="8" w:color="181818"/>
            </w:tcBorders>
          </w:tcPr>
          <w:p>
            <w:pPr>
              <w:spacing w:after="0"/>
              <w:rPr>
                <w:sz w:val="11"/>
                <w:szCs w:val="11"/>
                <w:color w:val="auto"/>
              </w:rPr>
            </w:pPr>
          </w:p>
        </w:tc>
        <w:tc>
          <w:tcPr>
            <w:tcW w:w="0" w:type="dxa"/>
            <w:vAlign w:val="bottom"/>
          </w:tcPr>
          <w:p>
            <w:pPr>
              <w:spacing w:after="0"/>
              <w:rPr>
                <w:sz w:val="1"/>
                <w:szCs w:val="1"/>
                <w:color w:val="auto"/>
              </w:rPr>
            </w:pPr>
          </w:p>
        </w:tc>
      </w:tr>
      <w:tr>
        <w:trPr>
          <w:trHeight w:val="342"/>
        </w:trPr>
        <w:tc>
          <w:tcPr>
            <w:tcW w:w="20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Scott Lang</w:t>
            </w:r>
          </w:p>
        </w:tc>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00" w:type="dxa"/>
            <w:vAlign w:val="bottom"/>
            <w:tcBorders>
              <w:right w:val="single" w:sz="8" w:color="181818"/>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20" w:type="dxa"/>
            <w:vAlign w:val="bottom"/>
            <w:tcBorders>
              <w:left w:val="single" w:sz="8" w:color="181818"/>
              <w:bottom w:val="single" w:sz="8" w:color="181818"/>
            </w:tcBorders>
          </w:tcPr>
          <w:p>
            <w:pPr>
              <w:spacing w:after="0"/>
              <w:rPr>
                <w:sz w:val="13"/>
                <w:szCs w:val="13"/>
                <w:color w:val="auto"/>
              </w:rPr>
            </w:pPr>
          </w:p>
        </w:tc>
        <w:tc>
          <w:tcPr>
            <w:tcW w:w="2380" w:type="dxa"/>
            <w:vAlign w:val="bottom"/>
            <w:tcBorders>
              <w:bottom w:val="single" w:sz="8" w:color="181818"/>
            </w:tcBorders>
          </w:tcPr>
          <w:p>
            <w:pPr>
              <w:spacing w:after="0"/>
              <w:rPr>
                <w:sz w:val="13"/>
                <w:szCs w:val="13"/>
                <w:color w:val="auto"/>
              </w:rPr>
            </w:pPr>
          </w:p>
        </w:tc>
        <w:tc>
          <w:tcPr>
            <w:tcW w:w="1540" w:type="dxa"/>
            <w:vAlign w:val="bottom"/>
            <w:tcBorders>
              <w:bottom w:val="single" w:sz="8" w:color="181818"/>
            </w:tcBorders>
          </w:tcPr>
          <w:p>
            <w:pPr>
              <w:spacing w:after="0"/>
              <w:rPr>
                <w:sz w:val="13"/>
                <w:szCs w:val="13"/>
                <w:color w:val="auto"/>
              </w:rPr>
            </w:pPr>
          </w:p>
        </w:tc>
        <w:tc>
          <w:tcPr>
            <w:tcW w:w="2100" w:type="dxa"/>
            <w:vAlign w:val="bottom"/>
            <w:tcBorders>
              <w:bottom w:val="single" w:sz="8" w:color="181818"/>
            </w:tcBorders>
          </w:tcPr>
          <w:p>
            <w:pPr>
              <w:spacing w:after="0"/>
              <w:rPr>
                <w:sz w:val="13"/>
                <w:szCs w:val="13"/>
                <w:color w:val="auto"/>
              </w:rPr>
            </w:pPr>
          </w:p>
        </w:tc>
        <w:tc>
          <w:tcPr>
            <w:tcW w:w="1540" w:type="dxa"/>
            <w:vAlign w:val="bottom"/>
            <w:tcBorders>
              <w:bottom w:val="single" w:sz="8" w:color="181818"/>
            </w:tcBorders>
          </w:tcPr>
          <w:p>
            <w:pPr>
              <w:spacing w:after="0"/>
              <w:rPr>
                <w:sz w:val="13"/>
                <w:szCs w:val="13"/>
                <w:color w:val="auto"/>
              </w:rPr>
            </w:pPr>
          </w:p>
        </w:tc>
        <w:tc>
          <w:tcPr>
            <w:tcW w:w="1700" w:type="dxa"/>
            <w:vAlign w:val="bottom"/>
            <w:tcBorders>
              <w:bottom w:val="single" w:sz="8" w:color="181818"/>
              <w:right w:val="single" w:sz="8" w:color="181818"/>
            </w:tcBorders>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20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Mahvash Yazdi</w:t>
            </w:r>
          </w:p>
        </w:tc>
        <w:tc>
          <w:tcPr>
            <w:tcW w:w="2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700" w:type="dxa"/>
            <w:vAlign w:val="bottom"/>
            <w:tcBorders>
              <w:right w:val="single" w:sz="8" w:color="181818"/>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09314A"/>
              </w:rPr>
              <w:t>INDEPENDENT</w:t>
            </w:r>
          </w:p>
        </w:tc>
        <w:tc>
          <w:tcPr>
            <w:tcW w:w="2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20" w:type="dxa"/>
            <w:vAlign w:val="bottom"/>
            <w:tcBorders>
              <w:left w:val="single" w:sz="8" w:color="181818"/>
              <w:bottom w:val="single" w:sz="8" w:color="181818"/>
            </w:tcBorders>
          </w:tcPr>
          <w:p>
            <w:pPr>
              <w:spacing w:after="0"/>
              <w:rPr>
                <w:sz w:val="2"/>
                <w:szCs w:val="2"/>
                <w:color w:val="auto"/>
              </w:rPr>
            </w:pPr>
          </w:p>
        </w:tc>
        <w:tc>
          <w:tcPr>
            <w:tcW w:w="2380" w:type="dxa"/>
            <w:vAlign w:val="bottom"/>
            <w:tcBorders>
              <w:bottom w:val="single" w:sz="8" w:color="181818"/>
            </w:tcBorders>
          </w:tcPr>
          <w:p>
            <w:pPr>
              <w:spacing w:after="0"/>
              <w:rPr>
                <w:sz w:val="2"/>
                <w:szCs w:val="2"/>
                <w:color w:val="auto"/>
              </w:rPr>
            </w:pPr>
          </w:p>
        </w:tc>
        <w:tc>
          <w:tcPr>
            <w:tcW w:w="1540" w:type="dxa"/>
            <w:vAlign w:val="bottom"/>
            <w:tcBorders>
              <w:bottom w:val="single" w:sz="8" w:color="181818"/>
            </w:tcBorders>
          </w:tcPr>
          <w:p>
            <w:pPr>
              <w:spacing w:after="0"/>
              <w:rPr>
                <w:sz w:val="2"/>
                <w:szCs w:val="2"/>
                <w:color w:val="auto"/>
              </w:rPr>
            </w:pPr>
          </w:p>
        </w:tc>
        <w:tc>
          <w:tcPr>
            <w:tcW w:w="2100" w:type="dxa"/>
            <w:vAlign w:val="bottom"/>
            <w:tcBorders>
              <w:bottom w:val="single" w:sz="8" w:color="181818"/>
            </w:tcBorders>
          </w:tcPr>
          <w:p>
            <w:pPr>
              <w:spacing w:after="0"/>
              <w:rPr>
                <w:sz w:val="2"/>
                <w:szCs w:val="2"/>
                <w:color w:val="auto"/>
              </w:rPr>
            </w:pPr>
          </w:p>
        </w:tc>
        <w:tc>
          <w:tcPr>
            <w:tcW w:w="1540" w:type="dxa"/>
            <w:vAlign w:val="bottom"/>
            <w:tcBorders>
              <w:bottom w:val="single" w:sz="8" w:color="181818"/>
            </w:tcBorders>
          </w:tcPr>
          <w:p>
            <w:pPr>
              <w:spacing w:after="0"/>
              <w:rPr>
                <w:sz w:val="2"/>
                <w:szCs w:val="2"/>
                <w:color w:val="auto"/>
              </w:rPr>
            </w:pPr>
          </w:p>
        </w:tc>
        <w:tc>
          <w:tcPr>
            <w:tcW w:w="1700" w:type="dxa"/>
            <w:vAlign w:val="bottom"/>
            <w:tcBorders>
              <w:bottom w:val="single" w:sz="8" w:color="181818"/>
              <w:right w:val="single" w:sz="8" w:color="181818"/>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0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Mark A. Fleischhauer</w:t>
            </w:r>
          </w:p>
        </w:tc>
        <w:tc>
          <w:tcPr>
            <w:tcW w:w="2380" w:type="dxa"/>
            <w:vAlign w:val="bottom"/>
            <w:vMerge w:val="restart"/>
          </w:tcPr>
          <w:p>
            <w:pPr>
              <w:ind w:left="200"/>
              <w:spacing w:after="0" w:line="191" w:lineRule="exact"/>
              <w:rPr>
                <w:sz w:val="20"/>
                <w:szCs w:val="20"/>
                <w:color w:val="auto"/>
              </w:rPr>
            </w:pPr>
            <w:r>
              <w:rPr>
                <w:rFonts w:ascii="MS PGothic" w:cs="MS PGothic" w:eastAsia="MS PGothic" w:hAnsi="MS PGothic"/>
                <w:sz w:val="19"/>
                <w:szCs w:val="19"/>
                <w:color w:val="09314A"/>
              </w:rPr>
              <w:t>★</w:t>
            </w:r>
          </w:p>
        </w:tc>
        <w:tc>
          <w:tcPr>
            <w:tcW w:w="15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700" w:type="dxa"/>
            <w:vAlign w:val="bottom"/>
            <w:tcBorders>
              <w:right w:val="single" w:sz="8" w:color="181818"/>
            </w:tcBorders>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2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b w:val="1"/>
                <w:bCs w:val="1"/>
                <w:color w:val="09314A"/>
              </w:rPr>
              <w:t>INDEPENDENT</w:t>
            </w:r>
          </w:p>
        </w:tc>
        <w:tc>
          <w:tcPr>
            <w:tcW w:w="238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700" w:type="dxa"/>
            <w:vAlign w:val="bottom"/>
            <w:tcBorders>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20" w:type="dxa"/>
            <w:vAlign w:val="bottom"/>
            <w:tcBorders>
              <w:left w:val="single" w:sz="8" w:color="181818"/>
            </w:tcBorders>
            <w:vMerge w:val="continue"/>
          </w:tcPr>
          <w:p>
            <w:pPr>
              <w:spacing w:after="0"/>
              <w:rPr>
                <w:sz w:val="11"/>
                <w:szCs w:val="11"/>
                <w:color w:val="auto"/>
              </w:rPr>
            </w:pPr>
          </w:p>
        </w:tc>
        <w:tc>
          <w:tcPr>
            <w:tcW w:w="2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700" w:type="dxa"/>
            <w:vAlign w:val="bottom"/>
            <w:tcBorders>
              <w:right w:val="single" w:sz="8" w:color="181818"/>
            </w:tcBorders>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20" w:type="dxa"/>
            <w:vAlign w:val="bottom"/>
            <w:tcBorders>
              <w:left w:val="single" w:sz="8" w:color="181818"/>
              <w:bottom w:val="single" w:sz="8" w:color="181818"/>
            </w:tcBorders>
          </w:tcPr>
          <w:p>
            <w:pPr>
              <w:spacing w:after="0"/>
              <w:rPr>
                <w:sz w:val="2"/>
                <w:szCs w:val="2"/>
                <w:color w:val="auto"/>
              </w:rPr>
            </w:pPr>
          </w:p>
        </w:tc>
        <w:tc>
          <w:tcPr>
            <w:tcW w:w="2380" w:type="dxa"/>
            <w:vAlign w:val="bottom"/>
            <w:tcBorders>
              <w:bottom w:val="single" w:sz="8" w:color="181818"/>
            </w:tcBorders>
          </w:tcPr>
          <w:p>
            <w:pPr>
              <w:spacing w:after="0"/>
              <w:rPr>
                <w:sz w:val="2"/>
                <w:szCs w:val="2"/>
                <w:color w:val="auto"/>
              </w:rPr>
            </w:pPr>
          </w:p>
        </w:tc>
        <w:tc>
          <w:tcPr>
            <w:tcW w:w="1540" w:type="dxa"/>
            <w:vAlign w:val="bottom"/>
            <w:tcBorders>
              <w:bottom w:val="single" w:sz="8" w:color="181818"/>
            </w:tcBorders>
          </w:tcPr>
          <w:p>
            <w:pPr>
              <w:spacing w:after="0"/>
              <w:rPr>
                <w:sz w:val="2"/>
                <w:szCs w:val="2"/>
                <w:color w:val="auto"/>
              </w:rPr>
            </w:pPr>
          </w:p>
        </w:tc>
        <w:tc>
          <w:tcPr>
            <w:tcW w:w="2100" w:type="dxa"/>
            <w:vAlign w:val="bottom"/>
            <w:tcBorders>
              <w:bottom w:val="single" w:sz="8" w:color="181818"/>
            </w:tcBorders>
          </w:tcPr>
          <w:p>
            <w:pPr>
              <w:spacing w:after="0"/>
              <w:rPr>
                <w:sz w:val="2"/>
                <w:szCs w:val="2"/>
                <w:color w:val="auto"/>
              </w:rPr>
            </w:pPr>
          </w:p>
        </w:tc>
        <w:tc>
          <w:tcPr>
            <w:tcW w:w="1540" w:type="dxa"/>
            <w:vAlign w:val="bottom"/>
            <w:tcBorders>
              <w:bottom w:val="single" w:sz="8" w:color="181818"/>
            </w:tcBorders>
          </w:tcPr>
          <w:p>
            <w:pPr>
              <w:spacing w:after="0"/>
              <w:rPr>
                <w:sz w:val="2"/>
                <w:szCs w:val="2"/>
                <w:color w:val="auto"/>
              </w:rPr>
            </w:pPr>
          </w:p>
        </w:tc>
        <w:tc>
          <w:tcPr>
            <w:tcW w:w="1700" w:type="dxa"/>
            <w:vAlign w:val="bottom"/>
            <w:tcBorders>
              <w:bottom w:val="single" w:sz="8" w:color="181818"/>
              <w:right w:val="single" w:sz="8" w:color="181818"/>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0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Jeffrey A. Altman</w:t>
            </w:r>
          </w:p>
        </w:tc>
        <w:tc>
          <w:tcPr>
            <w:tcW w:w="2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700" w:type="dxa"/>
            <w:vAlign w:val="bottom"/>
            <w:tcBorders>
              <w:right w:val="single" w:sz="8" w:color="181818"/>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09314A"/>
              </w:rPr>
              <w:t>INDEPENDENT</w:t>
            </w:r>
          </w:p>
        </w:tc>
        <w:tc>
          <w:tcPr>
            <w:tcW w:w="2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20" w:type="dxa"/>
            <w:vAlign w:val="bottom"/>
            <w:tcBorders>
              <w:left w:val="single" w:sz="8" w:color="181818"/>
              <w:bottom w:val="single" w:sz="8" w:color="181818"/>
            </w:tcBorders>
          </w:tcPr>
          <w:p>
            <w:pPr>
              <w:spacing w:after="0"/>
              <w:rPr>
                <w:sz w:val="2"/>
                <w:szCs w:val="2"/>
                <w:color w:val="auto"/>
              </w:rPr>
            </w:pPr>
          </w:p>
        </w:tc>
        <w:tc>
          <w:tcPr>
            <w:tcW w:w="2380" w:type="dxa"/>
            <w:vAlign w:val="bottom"/>
            <w:tcBorders>
              <w:bottom w:val="single" w:sz="8" w:color="181818"/>
            </w:tcBorders>
          </w:tcPr>
          <w:p>
            <w:pPr>
              <w:spacing w:after="0"/>
              <w:rPr>
                <w:sz w:val="2"/>
                <w:szCs w:val="2"/>
                <w:color w:val="auto"/>
              </w:rPr>
            </w:pPr>
          </w:p>
        </w:tc>
        <w:tc>
          <w:tcPr>
            <w:tcW w:w="1540" w:type="dxa"/>
            <w:vAlign w:val="bottom"/>
            <w:tcBorders>
              <w:bottom w:val="single" w:sz="8" w:color="181818"/>
            </w:tcBorders>
          </w:tcPr>
          <w:p>
            <w:pPr>
              <w:spacing w:after="0"/>
              <w:rPr>
                <w:sz w:val="2"/>
                <w:szCs w:val="2"/>
                <w:color w:val="auto"/>
              </w:rPr>
            </w:pPr>
          </w:p>
        </w:tc>
        <w:tc>
          <w:tcPr>
            <w:tcW w:w="2100" w:type="dxa"/>
            <w:vAlign w:val="bottom"/>
            <w:tcBorders>
              <w:bottom w:val="single" w:sz="8" w:color="181818"/>
            </w:tcBorders>
          </w:tcPr>
          <w:p>
            <w:pPr>
              <w:spacing w:after="0"/>
              <w:rPr>
                <w:sz w:val="2"/>
                <w:szCs w:val="2"/>
                <w:color w:val="auto"/>
              </w:rPr>
            </w:pPr>
          </w:p>
        </w:tc>
        <w:tc>
          <w:tcPr>
            <w:tcW w:w="1540" w:type="dxa"/>
            <w:vAlign w:val="bottom"/>
            <w:tcBorders>
              <w:bottom w:val="single" w:sz="8" w:color="181818"/>
            </w:tcBorders>
          </w:tcPr>
          <w:p>
            <w:pPr>
              <w:spacing w:after="0"/>
              <w:rPr>
                <w:sz w:val="2"/>
                <w:szCs w:val="2"/>
                <w:color w:val="auto"/>
              </w:rPr>
            </w:pPr>
          </w:p>
        </w:tc>
        <w:tc>
          <w:tcPr>
            <w:tcW w:w="1700" w:type="dxa"/>
            <w:vAlign w:val="bottom"/>
            <w:tcBorders>
              <w:bottom w:val="single" w:sz="8" w:color="181818"/>
              <w:right w:val="single" w:sz="8" w:color="181818"/>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0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Leslie B. Daniels</w:t>
            </w:r>
          </w:p>
        </w:tc>
        <w:tc>
          <w:tcPr>
            <w:tcW w:w="2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700" w:type="dxa"/>
            <w:vAlign w:val="bottom"/>
            <w:tcBorders>
              <w:right w:val="single" w:sz="8" w:color="181818"/>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09314A"/>
              </w:rPr>
              <w:t>INDEPENDENT</w:t>
            </w:r>
          </w:p>
        </w:tc>
        <w:tc>
          <w:tcPr>
            <w:tcW w:w="2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20" w:type="dxa"/>
            <w:vAlign w:val="bottom"/>
            <w:tcBorders>
              <w:left w:val="single" w:sz="8" w:color="181818"/>
              <w:bottom w:val="single" w:sz="8" w:color="181818"/>
            </w:tcBorders>
          </w:tcPr>
          <w:p>
            <w:pPr>
              <w:spacing w:after="0"/>
              <w:rPr>
                <w:sz w:val="2"/>
                <w:szCs w:val="2"/>
                <w:color w:val="auto"/>
              </w:rPr>
            </w:pPr>
          </w:p>
        </w:tc>
        <w:tc>
          <w:tcPr>
            <w:tcW w:w="2380" w:type="dxa"/>
            <w:vAlign w:val="bottom"/>
            <w:tcBorders>
              <w:bottom w:val="single" w:sz="8" w:color="181818"/>
            </w:tcBorders>
          </w:tcPr>
          <w:p>
            <w:pPr>
              <w:spacing w:after="0"/>
              <w:rPr>
                <w:sz w:val="2"/>
                <w:szCs w:val="2"/>
                <w:color w:val="auto"/>
              </w:rPr>
            </w:pPr>
          </w:p>
        </w:tc>
        <w:tc>
          <w:tcPr>
            <w:tcW w:w="1540" w:type="dxa"/>
            <w:vAlign w:val="bottom"/>
            <w:tcBorders>
              <w:bottom w:val="single" w:sz="8" w:color="181818"/>
            </w:tcBorders>
          </w:tcPr>
          <w:p>
            <w:pPr>
              <w:spacing w:after="0"/>
              <w:rPr>
                <w:sz w:val="2"/>
                <w:szCs w:val="2"/>
                <w:color w:val="auto"/>
              </w:rPr>
            </w:pPr>
          </w:p>
        </w:tc>
        <w:tc>
          <w:tcPr>
            <w:tcW w:w="2100" w:type="dxa"/>
            <w:vAlign w:val="bottom"/>
            <w:tcBorders>
              <w:bottom w:val="single" w:sz="8" w:color="181818"/>
            </w:tcBorders>
          </w:tcPr>
          <w:p>
            <w:pPr>
              <w:spacing w:after="0"/>
              <w:rPr>
                <w:sz w:val="2"/>
                <w:szCs w:val="2"/>
                <w:color w:val="auto"/>
              </w:rPr>
            </w:pPr>
          </w:p>
        </w:tc>
        <w:tc>
          <w:tcPr>
            <w:tcW w:w="1540" w:type="dxa"/>
            <w:vAlign w:val="bottom"/>
            <w:tcBorders>
              <w:bottom w:val="single" w:sz="8" w:color="181818"/>
            </w:tcBorders>
          </w:tcPr>
          <w:p>
            <w:pPr>
              <w:spacing w:after="0"/>
              <w:rPr>
                <w:sz w:val="2"/>
                <w:szCs w:val="2"/>
                <w:color w:val="auto"/>
              </w:rPr>
            </w:pPr>
          </w:p>
        </w:tc>
        <w:tc>
          <w:tcPr>
            <w:tcW w:w="1700" w:type="dxa"/>
            <w:vAlign w:val="bottom"/>
            <w:tcBorders>
              <w:bottom w:val="single" w:sz="8" w:color="181818"/>
              <w:right w:val="single" w:sz="8" w:color="181818"/>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0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William E. Heard</w:t>
            </w:r>
          </w:p>
        </w:tc>
        <w:tc>
          <w:tcPr>
            <w:tcW w:w="2380" w:type="dxa"/>
            <w:vAlign w:val="bottom"/>
            <w:vMerge w:val="restart"/>
          </w:tcPr>
          <w:p>
            <w:pPr>
              <w:ind w:left="200"/>
              <w:spacing w:after="0" w:line="191" w:lineRule="exact"/>
              <w:rPr>
                <w:sz w:val="20"/>
                <w:szCs w:val="20"/>
                <w:color w:val="auto"/>
              </w:rPr>
            </w:pPr>
            <w:r>
              <w:rPr>
                <w:rFonts w:ascii="MS PGothic" w:cs="MS PGothic" w:eastAsia="MS PGothic" w:hAnsi="MS PGothic"/>
                <w:sz w:val="19"/>
                <w:szCs w:val="19"/>
                <w:color w:val="09314A"/>
              </w:rPr>
              <w:t>★</w:t>
            </w:r>
          </w:p>
        </w:tc>
        <w:tc>
          <w:tcPr>
            <w:tcW w:w="15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700" w:type="dxa"/>
            <w:vAlign w:val="bottom"/>
            <w:tcBorders>
              <w:right w:val="single" w:sz="8" w:color="181818"/>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02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b w:val="1"/>
                <w:bCs w:val="1"/>
                <w:color w:val="09314A"/>
              </w:rPr>
              <w:t>INDEPENDENT</w:t>
            </w:r>
          </w:p>
        </w:tc>
        <w:tc>
          <w:tcPr>
            <w:tcW w:w="238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00" w:type="dxa"/>
            <w:vAlign w:val="bottom"/>
            <w:tcBorders>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181818"/>
            </w:tcBorders>
            <w:vMerge w:val="continue"/>
          </w:tcPr>
          <w:p>
            <w:pPr>
              <w:spacing w:after="0"/>
              <w:rPr>
                <w:sz w:val="12"/>
                <w:szCs w:val="12"/>
                <w:color w:val="auto"/>
              </w:rPr>
            </w:pPr>
          </w:p>
        </w:tc>
        <w:tc>
          <w:tcPr>
            <w:tcW w:w="2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00" w:type="dxa"/>
            <w:vAlign w:val="bottom"/>
            <w:tcBorders>
              <w:right w:val="single" w:sz="8" w:color="181818"/>
            </w:tcBorders>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20" w:type="dxa"/>
            <w:vAlign w:val="bottom"/>
            <w:tcBorders>
              <w:left w:val="single" w:sz="8" w:color="181818"/>
              <w:bottom w:val="single" w:sz="8" w:color="181818"/>
            </w:tcBorders>
          </w:tcPr>
          <w:p>
            <w:pPr>
              <w:spacing w:after="0"/>
              <w:rPr>
                <w:sz w:val="2"/>
                <w:szCs w:val="2"/>
                <w:color w:val="auto"/>
              </w:rPr>
            </w:pPr>
          </w:p>
        </w:tc>
        <w:tc>
          <w:tcPr>
            <w:tcW w:w="2380" w:type="dxa"/>
            <w:vAlign w:val="bottom"/>
            <w:tcBorders>
              <w:bottom w:val="single" w:sz="8" w:color="181818"/>
            </w:tcBorders>
          </w:tcPr>
          <w:p>
            <w:pPr>
              <w:spacing w:after="0"/>
              <w:rPr>
                <w:sz w:val="2"/>
                <w:szCs w:val="2"/>
                <w:color w:val="auto"/>
              </w:rPr>
            </w:pPr>
          </w:p>
        </w:tc>
        <w:tc>
          <w:tcPr>
            <w:tcW w:w="1540" w:type="dxa"/>
            <w:vAlign w:val="bottom"/>
            <w:tcBorders>
              <w:bottom w:val="single" w:sz="8" w:color="181818"/>
            </w:tcBorders>
          </w:tcPr>
          <w:p>
            <w:pPr>
              <w:spacing w:after="0"/>
              <w:rPr>
                <w:sz w:val="2"/>
                <w:szCs w:val="2"/>
                <w:color w:val="auto"/>
              </w:rPr>
            </w:pPr>
          </w:p>
        </w:tc>
        <w:tc>
          <w:tcPr>
            <w:tcW w:w="2100" w:type="dxa"/>
            <w:vAlign w:val="bottom"/>
            <w:tcBorders>
              <w:bottom w:val="single" w:sz="8" w:color="181818"/>
            </w:tcBorders>
          </w:tcPr>
          <w:p>
            <w:pPr>
              <w:spacing w:after="0"/>
              <w:rPr>
                <w:sz w:val="2"/>
                <w:szCs w:val="2"/>
                <w:color w:val="auto"/>
              </w:rPr>
            </w:pPr>
          </w:p>
        </w:tc>
        <w:tc>
          <w:tcPr>
            <w:tcW w:w="3240" w:type="dxa"/>
            <w:vAlign w:val="bottom"/>
            <w:tcBorders>
              <w:bottom w:val="single" w:sz="8" w:color="181818"/>
              <w:right w:val="single" w:sz="8" w:color="181818"/>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502"/>
        </w:trPr>
        <w:tc>
          <w:tcPr>
            <w:tcW w:w="2020" w:type="dxa"/>
            <w:vAlign w:val="bottom"/>
          </w:tcPr>
          <w:p>
            <w:pPr>
              <w:ind w:left="240"/>
              <w:spacing w:after="0"/>
              <w:rPr>
                <w:sz w:val="20"/>
                <w:szCs w:val="20"/>
                <w:color w:val="auto"/>
              </w:rPr>
            </w:pPr>
            <w:r>
              <w:rPr>
                <w:rFonts w:ascii="Arial" w:cs="Arial" w:eastAsia="Arial" w:hAnsi="Arial"/>
                <w:sz w:val="13"/>
                <w:szCs w:val="13"/>
                <w:color w:val="181818"/>
              </w:rPr>
              <w:t>Lead Independent Director</w:t>
            </w:r>
          </w:p>
        </w:tc>
        <w:tc>
          <w:tcPr>
            <w:tcW w:w="2380" w:type="dxa"/>
            <w:vAlign w:val="bottom"/>
          </w:tcPr>
          <w:p>
            <w:pPr>
              <w:jc w:val="center"/>
              <w:ind w:left="697"/>
              <w:spacing w:after="0"/>
              <w:rPr>
                <w:sz w:val="20"/>
                <w:szCs w:val="20"/>
                <w:color w:val="auto"/>
              </w:rPr>
            </w:pPr>
            <w:r>
              <w:rPr>
                <w:rFonts w:ascii="Arial" w:cs="Arial" w:eastAsia="Arial" w:hAnsi="Arial"/>
                <w:sz w:val="13"/>
                <w:szCs w:val="13"/>
                <w:color w:val="181818"/>
              </w:rPr>
              <w:t>Board Chairperson</w:t>
            </w:r>
          </w:p>
        </w:tc>
        <w:tc>
          <w:tcPr>
            <w:tcW w:w="1540" w:type="dxa"/>
            <w:vAlign w:val="bottom"/>
          </w:tcPr>
          <w:p>
            <w:pPr>
              <w:ind w:left="720"/>
              <w:spacing w:after="0"/>
              <w:rPr>
                <w:sz w:val="20"/>
                <w:szCs w:val="20"/>
                <w:color w:val="auto"/>
              </w:rPr>
            </w:pPr>
            <w:r>
              <w:rPr>
                <w:rFonts w:ascii="Arial" w:cs="Arial" w:eastAsia="Arial" w:hAnsi="Arial"/>
                <w:sz w:val="13"/>
                <w:szCs w:val="13"/>
                <w:color w:val="181818"/>
              </w:rPr>
              <w:t>Chairperson</w:t>
            </w:r>
          </w:p>
        </w:tc>
        <w:tc>
          <w:tcPr>
            <w:tcW w:w="2100" w:type="dxa"/>
            <w:vAlign w:val="bottom"/>
          </w:tcPr>
          <w:p>
            <w:pPr>
              <w:ind w:left="720"/>
              <w:spacing w:after="0"/>
              <w:rPr>
                <w:sz w:val="20"/>
                <w:szCs w:val="20"/>
                <w:color w:val="auto"/>
              </w:rPr>
            </w:pPr>
            <w:r>
              <w:rPr>
                <w:rFonts w:ascii="Arial" w:cs="Arial" w:eastAsia="Arial" w:hAnsi="Arial"/>
                <w:sz w:val="13"/>
                <w:szCs w:val="13"/>
                <w:color w:val="181818"/>
              </w:rPr>
              <w:t>Committee Member</w:t>
            </w:r>
          </w:p>
        </w:tc>
        <w:tc>
          <w:tcPr>
            <w:tcW w:w="3240" w:type="dxa"/>
            <w:vAlign w:val="bottom"/>
            <w:gridSpan w:val="2"/>
          </w:tcPr>
          <w:p>
            <w:pPr>
              <w:ind w:left="620"/>
              <w:spacing w:after="0" w:line="219" w:lineRule="exact"/>
              <w:rPr>
                <w:sz w:val="20"/>
                <w:szCs w:val="20"/>
                <w:color w:val="auto"/>
              </w:rPr>
            </w:pPr>
            <w:r>
              <w:rPr>
                <w:rFonts w:ascii="MS PGothic" w:cs="MS PGothic" w:eastAsia="MS PGothic" w:hAnsi="MS PGothic"/>
                <w:sz w:val="19"/>
                <w:szCs w:val="19"/>
                <w:color w:val="09314A"/>
              </w:rPr>
              <w:t>★</w:t>
            </w:r>
            <w:r>
              <w:rPr>
                <w:rFonts w:ascii="Arial" w:cs="Arial" w:eastAsia="Arial" w:hAnsi="Arial"/>
                <w:sz w:val="13"/>
                <w:szCs w:val="13"/>
                <w:color w:val="181818"/>
              </w:rPr>
              <w:t xml:space="preserve"> Financial Expert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-2619375</wp:posOffset>
            </wp:positionV>
            <wp:extent cx="10287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-2619375</wp:posOffset>
            </wp:positionV>
            <wp:extent cx="10287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-2619375</wp:posOffset>
            </wp:positionV>
            <wp:extent cx="10287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-2293620</wp:posOffset>
            </wp:positionV>
            <wp:extent cx="10287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-2293620</wp:posOffset>
            </wp:positionV>
            <wp:extent cx="10287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-1959610</wp:posOffset>
            </wp:positionV>
            <wp:extent cx="10287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-1959610</wp:posOffset>
            </wp:positionV>
            <wp:extent cx="10287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-1959610</wp:posOffset>
            </wp:positionV>
            <wp:extent cx="10287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-1959610</wp:posOffset>
            </wp:positionV>
            <wp:extent cx="10287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-1959610</wp:posOffset>
            </wp:positionV>
            <wp:extent cx="10287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-1616710</wp:posOffset>
            </wp:positionV>
            <wp:extent cx="10287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-1616710</wp:posOffset>
            </wp:positionV>
            <wp:extent cx="10287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-1273810</wp:posOffset>
            </wp:positionV>
            <wp:extent cx="10287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-1273810</wp:posOffset>
            </wp:positionV>
            <wp:extent cx="10287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-930910</wp:posOffset>
            </wp:positionV>
            <wp:extent cx="10287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-930910</wp:posOffset>
            </wp:positionV>
            <wp:extent cx="102870"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-930910</wp:posOffset>
            </wp:positionV>
            <wp:extent cx="10287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-596265</wp:posOffset>
            </wp:positionV>
            <wp:extent cx="10287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3192780</wp:posOffset>
            </wp:positionH>
            <wp:positionV relativeFrom="paragraph">
              <wp:posOffset>-596265</wp:posOffset>
            </wp:positionV>
            <wp:extent cx="10287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-184785</wp:posOffset>
            </wp:positionV>
            <wp:extent cx="102870" cy="102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1778635</wp:posOffset>
            </wp:positionH>
            <wp:positionV relativeFrom="paragraph">
              <wp:posOffset>-184785</wp:posOffset>
            </wp:positionV>
            <wp:extent cx="102870" cy="1028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-184785</wp:posOffset>
            </wp:positionV>
            <wp:extent cx="102870"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-184785</wp:posOffset>
            </wp:positionV>
            <wp:extent cx="102870" cy="1028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276860</wp:posOffset>
            </wp:positionV>
            <wp:extent cx="1868805" cy="25888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68805" cy="258889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181818"/>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-191770</wp:posOffset>
            </wp:positionV>
            <wp:extent cx="1774190" cy="255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74190" cy="2554605"/>
                    </a:xfrm>
                    <a:prstGeom prst="rect">
                      <a:avLst/>
                    </a:prstGeom>
                    <a:noFill/>
                  </pic:spPr>
                </pic:pic>
              </a:graphicData>
            </a:graphic>
          </wp:anchor>
        </w:drawing>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B6F80"/>
        </w:rPr>
        <w:t>Members: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81818"/>
        </w:rPr>
        <w:t>Mark Fleischhauer (Chair)</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81818"/>
        </w:rPr>
        <w:t>William Heard</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81818"/>
        </w:rPr>
        <w:t>Mahvash Yazdi</w:t>
      </w:r>
    </w:p>
    <w:p>
      <w:pPr>
        <w:spacing w:after="0" w:line="235" w:lineRule="exact"/>
        <w:rPr>
          <w:sz w:val="20"/>
          <w:szCs w:val="20"/>
          <w:color w:val="auto"/>
        </w:rPr>
      </w:pPr>
    </w:p>
    <w:p>
      <w:pPr>
        <w:ind w:left="160"/>
        <w:spacing w:after="0" w:line="304" w:lineRule="auto"/>
        <w:rPr>
          <w:sz w:val="20"/>
          <w:szCs w:val="20"/>
          <w:color w:val="auto"/>
        </w:rPr>
      </w:pPr>
      <w:r>
        <w:rPr>
          <w:rFonts w:ascii="Arial" w:cs="Arial" w:eastAsia="Arial" w:hAnsi="Arial"/>
          <w:sz w:val="16"/>
          <w:szCs w:val="16"/>
          <w:b w:val="1"/>
          <w:bCs w:val="1"/>
          <w:color w:val="1B6F80"/>
        </w:rPr>
        <w:t xml:space="preserve">Number of Meetings Held in Fiscal 2026: </w:t>
      </w:r>
      <w:r>
        <w:rPr>
          <w:rFonts w:ascii="Arial" w:cs="Arial" w:eastAsia="Arial" w:hAnsi="Arial"/>
          <w:sz w:val="16"/>
          <w:szCs w:val="16"/>
          <w:b w:val="1"/>
          <w:bCs w:val="1"/>
          <w:color w:val="000000"/>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both"/>
        <w:ind w:right="20"/>
        <w:spacing w:after="0" w:line="311" w:lineRule="auto"/>
        <w:rPr>
          <w:sz w:val="20"/>
          <w:szCs w:val="20"/>
          <w:color w:val="auto"/>
        </w:rPr>
      </w:pPr>
      <w:r>
        <w:rPr>
          <w:rFonts w:ascii="Arial" w:cs="Arial" w:eastAsia="Arial" w:hAnsi="Arial"/>
          <w:sz w:val="14"/>
          <w:szCs w:val="14"/>
          <w:color w:val="auto"/>
        </w:rPr>
        <w:t>The Audit Committee is comprised of three of our independent directors: Mark Fleischhauer, William Heard, and Mahvash Yazdi, each of whom can read and understand fundamental financial statements, including our balance sheet, statements of operations, stockholders’ equity and cash flows as required by the rules of Nasdaq. The Audit Committee's functions include, among other functions:</w:t>
      </w:r>
    </w:p>
    <w:p>
      <w:pPr>
        <w:spacing w:after="0" w:line="25" w:lineRule="exact"/>
        <w:rPr>
          <w:sz w:val="20"/>
          <w:szCs w:val="20"/>
          <w:color w:val="auto"/>
        </w:rPr>
      </w:pPr>
    </w:p>
    <w:p>
      <w:pPr>
        <w:ind w:left="480" w:hanging="312"/>
        <w:spacing w:after="0"/>
        <w:tabs>
          <w:tab w:leader="none" w:pos="480" w:val="left"/>
        </w:tabs>
        <w:numPr>
          <w:ilvl w:val="0"/>
          <w:numId w:val="19"/>
        </w:numPr>
        <w:rPr>
          <w:rFonts w:ascii="Arial" w:cs="Arial" w:eastAsia="Arial" w:hAnsi="Arial"/>
          <w:sz w:val="22"/>
          <w:szCs w:val="22"/>
          <w:b w:val="1"/>
          <w:bCs w:val="1"/>
          <w:color w:val="1B6F80"/>
        </w:rPr>
      </w:pPr>
      <w:r>
        <w:rPr>
          <w:rFonts w:ascii="Arial" w:cs="Arial" w:eastAsia="Arial" w:hAnsi="Arial"/>
          <w:sz w:val="14"/>
          <w:szCs w:val="14"/>
          <w:color w:val="auto"/>
        </w:rPr>
        <w:t>Retaining of our independent registered public accounting firm;</w:t>
      </w:r>
    </w:p>
    <w:p>
      <w:pPr>
        <w:spacing w:after="0" w:line="57" w:lineRule="exact"/>
        <w:rPr>
          <w:rFonts w:ascii="Arial" w:cs="Arial" w:eastAsia="Arial" w:hAnsi="Arial"/>
          <w:sz w:val="22"/>
          <w:szCs w:val="22"/>
          <w:b w:val="1"/>
          <w:bCs w:val="1"/>
          <w:color w:val="1B6F80"/>
        </w:rPr>
      </w:pPr>
    </w:p>
    <w:p>
      <w:pPr>
        <w:ind w:left="480" w:hanging="312"/>
        <w:spacing w:after="0"/>
        <w:tabs>
          <w:tab w:leader="none" w:pos="480" w:val="left"/>
        </w:tabs>
        <w:numPr>
          <w:ilvl w:val="0"/>
          <w:numId w:val="19"/>
        </w:numPr>
        <w:rPr>
          <w:rFonts w:ascii="Arial" w:cs="Arial" w:eastAsia="Arial" w:hAnsi="Arial"/>
          <w:sz w:val="22"/>
          <w:szCs w:val="22"/>
          <w:b w:val="1"/>
          <w:bCs w:val="1"/>
          <w:color w:val="1B6F80"/>
        </w:rPr>
      </w:pPr>
      <w:r>
        <w:rPr>
          <w:rFonts w:ascii="Arial" w:cs="Arial" w:eastAsia="Arial" w:hAnsi="Arial"/>
          <w:sz w:val="14"/>
          <w:szCs w:val="14"/>
          <w:color w:val="auto"/>
        </w:rPr>
        <w:t>Overseeing our annual audit;</w:t>
      </w:r>
    </w:p>
    <w:p>
      <w:pPr>
        <w:spacing w:after="0" w:line="44" w:lineRule="exact"/>
        <w:rPr>
          <w:rFonts w:ascii="Arial" w:cs="Arial" w:eastAsia="Arial" w:hAnsi="Arial"/>
          <w:sz w:val="22"/>
          <w:szCs w:val="22"/>
          <w:b w:val="1"/>
          <w:bCs w:val="1"/>
          <w:color w:val="1B6F80"/>
        </w:rPr>
      </w:pPr>
    </w:p>
    <w:p>
      <w:pPr>
        <w:ind w:left="480" w:hanging="312"/>
        <w:spacing w:after="0"/>
        <w:tabs>
          <w:tab w:leader="none" w:pos="480" w:val="left"/>
        </w:tabs>
        <w:numPr>
          <w:ilvl w:val="0"/>
          <w:numId w:val="19"/>
        </w:numPr>
        <w:rPr>
          <w:rFonts w:ascii="Arial" w:cs="Arial" w:eastAsia="Arial" w:hAnsi="Arial"/>
          <w:sz w:val="22"/>
          <w:szCs w:val="22"/>
          <w:b w:val="1"/>
          <w:bCs w:val="1"/>
          <w:color w:val="1B6F80"/>
        </w:rPr>
      </w:pPr>
      <w:r>
        <w:rPr>
          <w:rFonts w:ascii="Arial" w:cs="Arial" w:eastAsia="Arial" w:hAnsi="Arial"/>
          <w:sz w:val="14"/>
          <w:szCs w:val="14"/>
          <w:color w:val="auto"/>
        </w:rPr>
        <w:t>Reviewing the adequacy of our accounting and financial controls;</w:t>
      </w:r>
    </w:p>
    <w:p>
      <w:pPr>
        <w:spacing w:after="0" w:line="57" w:lineRule="exact"/>
        <w:rPr>
          <w:rFonts w:ascii="Arial" w:cs="Arial" w:eastAsia="Arial" w:hAnsi="Arial"/>
          <w:sz w:val="22"/>
          <w:szCs w:val="22"/>
          <w:b w:val="1"/>
          <w:bCs w:val="1"/>
          <w:color w:val="1B6F80"/>
        </w:rPr>
      </w:pPr>
    </w:p>
    <w:p>
      <w:pPr>
        <w:ind w:left="480" w:hanging="312"/>
        <w:spacing w:after="0"/>
        <w:tabs>
          <w:tab w:leader="none" w:pos="480" w:val="left"/>
        </w:tabs>
        <w:numPr>
          <w:ilvl w:val="0"/>
          <w:numId w:val="19"/>
        </w:numPr>
        <w:rPr>
          <w:rFonts w:ascii="Arial" w:cs="Arial" w:eastAsia="Arial" w:hAnsi="Arial"/>
          <w:sz w:val="22"/>
          <w:szCs w:val="22"/>
          <w:b w:val="1"/>
          <w:bCs w:val="1"/>
          <w:color w:val="1B6F80"/>
        </w:rPr>
      </w:pPr>
      <w:r>
        <w:rPr>
          <w:rFonts w:ascii="Arial" w:cs="Arial" w:eastAsia="Arial" w:hAnsi="Arial"/>
          <w:sz w:val="14"/>
          <w:szCs w:val="14"/>
          <w:color w:val="auto"/>
        </w:rPr>
        <w:t>Reviewing the independence of our independent registered public accounting firm;</w:t>
      </w:r>
    </w:p>
    <w:p>
      <w:pPr>
        <w:spacing w:after="0" w:line="44" w:lineRule="exact"/>
        <w:rPr>
          <w:rFonts w:ascii="Arial" w:cs="Arial" w:eastAsia="Arial" w:hAnsi="Arial"/>
          <w:sz w:val="22"/>
          <w:szCs w:val="22"/>
          <w:b w:val="1"/>
          <w:bCs w:val="1"/>
          <w:color w:val="1B6F80"/>
        </w:rPr>
      </w:pPr>
    </w:p>
    <w:p>
      <w:pPr>
        <w:ind w:left="480" w:hanging="312"/>
        <w:spacing w:after="0"/>
        <w:tabs>
          <w:tab w:leader="none" w:pos="480" w:val="left"/>
        </w:tabs>
        <w:numPr>
          <w:ilvl w:val="0"/>
          <w:numId w:val="19"/>
        </w:numPr>
        <w:rPr>
          <w:rFonts w:ascii="Arial" w:cs="Arial" w:eastAsia="Arial" w:hAnsi="Arial"/>
          <w:sz w:val="22"/>
          <w:szCs w:val="22"/>
          <w:b w:val="1"/>
          <w:bCs w:val="1"/>
          <w:color w:val="1B6F80"/>
        </w:rPr>
      </w:pPr>
      <w:r>
        <w:rPr>
          <w:rFonts w:ascii="Arial" w:cs="Arial" w:eastAsia="Arial" w:hAnsi="Arial"/>
          <w:sz w:val="14"/>
          <w:szCs w:val="14"/>
          <w:color w:val="auto"/>
        </w:rPr>
        <w:t>Overseeing enterprise risk management ("ERM"), including cybersecurity matters; and</w:t>
      </w:r>
    </w:p>
    <w:p>
      <w:pPr>
        <w:spacing w:after="0" w:line="44" w:lineRule="exact"/>
        <w:rPr>
          <w:rFonts w:ascii="Arial" w:cs="Arial" w:eastAsia="Arial" w:hAnsi="Arial"/>
          <w:sz w:val="22"/>
          <w:szCs w:val="22"/>
          <w:b w:val="1"/>
          <w:bCs w:val="1"/>
          <w:color w:val="1B6F80"/>
        </w:rPr>
      </w:pPr>
    </w:p>
    <w:p>
      <w:pPr>
        <w:ind w:left="480" w:hanging="312"/>
        <w:spacing w:after="0"/>
        <w:tabs>
          <w:tab w:leader="none" w:pos="480" w:val="left"/>
        </w:tabs>
        <w:numPr>
          <w:ilvl w:val="0"/>
          <w:numId w:val="19"/>
        </w:numPr>
        <w:rPr>
          <w:rFonts w:ascii="Arial" w:cs="Arial" w:eastAsia="Arial" w:hAnsi="Arial"/>
          <w:sz w:val="22"/>
          <w:szCs w:val="22"/>
          <w:b w:val="1"/>
          <w:bCs w:val="1"/>
          <w:color w:val="1B6F80"/>
        </w:rPr>
      </w:pPr>
      <w:r>
        <w:rPr>
          <w:rFonts w:ascii="Arial" w:cs="Arial" w:eastAsia="Arial" w:hAnsi="Arial"/>
          <w:sz w:val="14"/>
          <w:szCs w:val="14"/>
          <w:color w:val="auto"/>
        </w:rPr>
        <w:t>Overseeing all company compliance and Code of Business Conduct/Ethics matters.</w:t>
      </w:r>
    </w:p>
    <w:p>
      <w:pPr>
        <w:spacing w:after="0" w:line="211" w:lineRule="exact"/>
        <w:rPr>
          <w:sz w:val="20"/>
          <w:szCs w:val="20"/>
          <w:color w:val="auto"/>
        </w:rPr>
      </w:pPr>
    </w:p>
    <w:p>
      <w:pPr>
        <w:jc w:val="both"/>
        <w:ind w:right="20"/>
        <w:spacing w:after="0" w:line="326" w:lineRule="auto"/>
        <w:rPr>
          <w:sz w:val="20"/>
          <w:szCs w:val="20"/>
          <w:color w:val="auto"/>
        </w:rPr>
      </w:pPr>
      <w:r>
        <w:rPr>
          <w:rFonts w:ascii="Arial" w:cs="Arial" w:eastAsia="Arial" w:hAnsi="Arial"/>
          <w:sz w:val="14"/>
          <w:szCs w:val="14"/>
          <w:color w:val="auto"/>
        </w:rPr>
        <w:t>Our Board has determined that each Audit Committee member is an “independent director” under the Nasdaq listing standards and the applicable rules and regulations of the SEC. Our Board has also determined that both Messrs. Fleischhauer and Heard are “audit committee financial experts” within the applicable requirements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457835</wp:posOffset>
            </wp:positionV>
            <wp:extent cx="71494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825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1254760</wp:posOffset>
            </wp:positionV>
            <wp:extent cx="71577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2800" w:space="400"/>
            <w:col w:w="8060"/>
          </w:cols>
          <w:pgMar w:left="340" w:top="308" w:right="31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18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211455</wp:posOffset>
            </wp:positionH>
            <wp:positionV relativeFrom="page">
              <wp:posOffset>720090</wp:posOffset>
            </wp:positionV>
            <wp:extent cx="1911350" cy="3694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1135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0" w:right="640"/>
        <w:spacing w:after="0" w:line="294" w:lineRule="auto"/>
        <w:rPr>
          <w:sz w:val="20"/>
          <w:szCs w:val="20"/>
          <w:color w:val="auto"/>
        </w:rPr>
      </w:pPr>
      <w:r>
        <w:rPr>
          <w:rFonts w:ascii="Arial" w:cs="Arial" w:eastAsia="Arial" w:hAnsi="Arial"/>
          <w:sz w:val="28"/>
          <w:szCs w:val="28"/>
          <w:b w:val="1"/>
          <w:bCs w:val="1"/>
          <w:color w:val="181818"/>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-480695</wp:posOffset>
            </wp:positionV>
            <wp:extent cx="1817370" cy="36601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17370" cy="3660140"/>
                    </a:xfrm>
                    <a:prstGeom prst="rect">
                      <a:avLst/>
                    </a:prstGeom>
                    <a:noFill/>
                  </pic:spPr>
                </pic:pic>
              </a:graphicData>
            </a:graphic>
          </wp:anchor>
        </w:drawing>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1B6F80"/>
        </w:rPr>
        <w:t>Members: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181818"/>
        </w:rPr>
        <w:t>Mahvash Yazdi (Chair)</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181818"/>
        </w:rPr>
        <w:t>Jeffrey Altman</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181818"/>
        </w:rPr>
        <w:t>Leslie Daniels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181818"/>
        </w:rPr>
        <w:t>William Heard</w:t>
      </w:r>
    </w:p>
    <w:p>
      <w:pPr>
        <w:spacing w:after="0" w:line="221" w:lineRule="exact"/>
        <w:rPr>
          <w:sz w:val="20"/>
          <w:szCs w:val="20"/>
          <w:color w:val="auto"/>
        </w:rPr>
      </w:pPr>
    </w:p>
    <w:p>
      <w:pPr>
        <w:ind w:left="140"/>
        <w:spacing w:after="0" w:line="304" w:lineRule="auto"/>
        <w:rPr>
          <w:sz w:val="20"/>
          <w:szCs w:val="20"/>
          <w:color w:val="auto"/>
        </w:rPr>
      </w:pPr>
      <w:r>
        <w:rPr>
          <w:rFonts w:ascii="Arial" w:cs="Arial" w:eastAsia="Arial" w:hAnsi="Arial"/>
          <w:sz w:val="16"/>
          <w:szCs w:val="16"/>
          <w:b w:val="1"/>
          <w:bCs w:val="1"/>
          <w:color w:val="1B6F80"/>
        </w:rPr>
        <w:t xml:space="preserve">Number of Meetings Held in Fiscal 2026: </w:t>
      </w:r>
      <w:r>
        <w:rPr>
          <w:rFonts w:ascii="Arial" w:cs="Arial" w:eastAsia="Arial" w:hAnsi="Arial"/>
          <w:sz w:val="16"/>
          <w:szCs w:val="16"/>
          <w:b w:val="1"/>
          <w:bCs w:val="1"/>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2520315</wp:posOffset>
            </wp:positionV>
            <wp:extent cx="1911350" cy="25203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11350" cy="2520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09314A"/>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-212090</wp:posOffset>
            </wp:positionV>
            <wp:extent cx="1156970"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569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334" w:lineRule="auto"/>
        <w:rPr>
          <w:sz w:val="20"/>
          <w:szCs w:val="20"/>
          <w:color w:val="auto"/>
        </w:rPr>
      </w:pPr>
      <w:r>
        <w:rPr>
          <w:rFonts w:ascii="Arial" w:cs="Arial" w:eastAsia="Arial" w:hAnsi="Arial"/>
          <w:sz w:val="14"/>
          <w:szCs w:val="14"/>
          <w:color w:val="auto"/>
        </w:rPr>
        <w:t>The Compensation Committee is comprised of four of our independent directors: Mahvash Yazdi (Chair), Jeffrey Altman, Leslie Daniels, and William Heard. The functions of the Compensation Committee include:</w:t>
      </w:r>
    </w:p>
    <w:p>
      <w:pPr>
        <w:spacing w:after="0" w:line="78" w:lineRule="exact"/>
        <w:rPr>
          <w:sz w:val="20"/>
          <w:szCs w:val="20"/>
          <w:color w:val="auto"/>
        </w:rPr>
      </w:pPr>
    </w:p>
    <w:p>
      <w:pPr>
        <w:ind w:left="480" w:right="140" w:hanging="317"/>
        <w:spacing w:after="0" w:line="190" w:lineRule="auto"/>
        <w:tabs>
          <w:tab w:leader="none" w:pos="467" w:val="left"/>
        </w:tabs>
        <w:numPr>
          <w:ilvl w:val="0"/>
          <w:numId w:val="20"/>
        </w:numPr>
        <w:rPr>
          <w:rFonts w:ascii="Arial" w:cs="Arial" w:eastAsia="Arial" w:hAnsi="Arial"/>
          <w:sz w:val="22"/>
          <w:szCs w:val="22"/>
          <w:b w:val="1"/>
          <w:bCs w:val="1"/>
          <w:color w:val="1B6F80"/>
        </w:rPr>
      </w:pPr>
      <w:r>
        <w:rPr>
          <w:rFonts w:ascii="Arial" w:cs="Arial" w:eastAsia="Arial" w:hAnsi="Arial"/>
          <w:sz w:val="14"/>
          <w:szCs w:val="14"/>
          <w:color w:val="auto"/>
        </w:rPr>
        <w:t>Providing Recommendations to the Board regarding CEO and Executive Chair compensation, and approval of other executive officer compensation;</w:t>
      </w:r>
    </w:p>
    <w:p>
      <w:pPr>
        <w:spacing w:after="0" w:line="45" w:lineRule="exact"/>
        <w:rPr>
          <w:rFonts w:ascii="Arial" w:cs="Arial" w:eastAsia="Arial" w:hAnsi="Arial"/>
          <w:sz w:val="22"/>
          <w:szCs w:val="22"/>
          <w:b w:val="1"/>
          <w:bCs w:val="1"/>
          <w:color w:val="1B6F80"/>
        </w:rPr>
      </w:pPr>
    </w:p>
    <w:p>
      <w:pPr>
        <w:ind w:left="480" w:hanging="317"/>
        <w:spacing w:after="0"/>
        <w:tabs>
          <w:tab w:leader="none" w:pos="480" w:val="left"/>
        </w:tabs>
        <w:numPr>
          <w:ilvl w:val="0"/>
          <w:numId w:val="20"/>
        </w:numPr>
        <w:rPr>
          <w:rFonts w:ascii="Arial" w:cs="Arial" w:eastAsia="Arial" w:hAnsi="Arial"/>
          <w:sz w:val="22"/>
          <w:szCs w:val="22"/>
          <w:b w:val="1"/>
          <w:bCs w:val="1"/>
          <w:color w:val="1B6F80"/>
        </w:rPr>
      </w:pPr>
      <w:r>
        <w:rPr>
          <w:rFonts w:ascii="Arial" w:cs="Arial" w:eastAsia="Arial" w:hAnsi="Arial"/>
          <w:sz w:val="14"/>
          <w:szCs w:val="14"/>
          <w:color w:val="auto"/>
        </w:rPr>
        <w:t>Reviewing executive development, performance and succession planning;</w:t>
      </w:r>
    </w:p>
    <w:p>
      <w:pPr>
        <w:spacing w:after="0" w:line="44" w:lineRule="exact"/>
        <w:rPr>
          <w:rFonts w:ascii="Arial" w:cs="Arial" w:eastAsia="Arial" w:hAnsi="Arial"/>
          <w:sz w:val="22"/>
          <w:szCs w:val="22"/>
          <w:b w:val="1"/>
          <w:bCs w:val="1"/>
          <w:color w:val="1B6F80"/>
        </w:rPr>
      </w:pPr>
    </w:p>
    <w:p>
      <w:pPr>
        <w:ind w:left="480" w:hanging="317"/>
        <w:spacing w:after="0"/>
        <w:tabs>
          <w:tab w:leader="none" w:pos="480" w:val="left"/>
        </w:tabs>
        <w:numPr>
          <w:ilvl w:val="0"/>
          <w:numId w:val="20"/>
        </w:numPr>
        <w:rPr>
          <w:rFonts w:ascii="Arial" w:cs="Arial" w:eastAsia="Arial" w:hAnsi="Arial"/>
          <w:sz w:val="22"/>
          <w:szCs w:val="22"/>
          <w:b w:val="1"/>
          <w:bCs w:val="1"/>
          <w:color w:val="1B6F80"/>
        </w:rPr>
      </w:pPr>
      <w:r>
        <w:rPr>
          <w:rFonts w:ascii="Arial" w:cs="Arial" w:eastAsia="Arial" w:hAnsi="Arial"/>
          <w:sz w:val="14"/>
          <w:szCs w:val="14"/>
          <w:color w:val="auto"/>
        </w:rPr>
        <w:t>Administering the Executive Compensation Recoupment Policy;</w:t>
      </w:r>
    </w:p>
    <w:p>
      <w:pPr>
        <w:spacing w:after="0" w:line="57" w:lineRule="exact"/>
        <w:rPr>
          <w:rFonts w:ascii="Arial" w:cs="Arial" w:eastAsia="Arial" w:hAnsi="Arial"/>
          <w:sz w:val="22"/>
          <w:szCs w:val="22"/>
          <w:b w:val="1"/>
          <w:bCs w:val="1"/>
          <w:color w:val="1B6F80"/>
        </w:rPr>
      </w:pPr>
    </w:p>
    <w:p>
      <w:pPr>
        <w:ind w:left="480" w:hanging="317"/>
        <w:spacing w:after="0"/>
        <w:tabs>
          <w:tab w:leader="none" w:pos="480" w:val="left"/>
        </w:tabs>
        <w:numPr>
          <w:ilvl w:val="0"/>
          <w:numId w:val="20"/>
        </w:numPr>
        <w:rPr>
          <w:rFonts w:ascii="Arial" w:cs="Arial" w:eastAsia="Arial" w:hAnsi="Arial"/>
          <w:sz w:val="22"/>
          <w:szCs w:val="22"/>
          <w:b w:val="1"/>
          <w:bCs w:val="1"/>
          <w:color w:val="1B6F80"/>
        </w:rPr>
      </w:pPr>
      <w:r>
        <w:rPr>
          <w:rFonts w:ascii="Arial" w:cs="Arial" w:eastAsia="Arial" w:hAnsi="Arial"/>
          <w:sz w:val="14"/>
          <w:szCs w:val="14"/>
          <w:color w:val="auto"/>
        </w:rPr>
        <w:t>Determining non-employee director compensation;</w:t>
      </w:r>
    </w:p>
    <w:p>
      <w:pPr>
        <w:spacing w:after="0" w:line="44" w:lineRule="exact"/>
        <w:rPr>
          <w:rFonts w:ascii="Arial" w:cs="Arial" w:eastAsia="Arial" w:hAnsi="Arial"/>
          <w:sz w:val="22"/>
          <w:szCs w:val="22"/>
          <w:b w:val="1"/>
          <w:bCs w:val="1"/>
          <w:color w:val="1B6F80"/>
        </w:rPr>
      </w:pPr>
    </w:p>
    <w:p>
      <w:pPr>
        <w:ind w:left="480" w:hanging="317"/>
        <w:spacing w:after="0"/>
        <w:tabs>
          <w:tab w:leader="none" w:pos="480" w:val="left"/>
        </w:tabs>
        <w:numPr>
          <w:ilvl w:val="0"/>
          <w:numId w:val="20"/>
        </w:numPr>
        <w:rPr>
          <w:rFonts w:ascii="Arial" w:cs="Arial" w:eastAsia="Arial" w:hAnsi="Arial"/>
          <w:sz w:val="22"/>
          <w:szCs w:val="22"/>
          <w:b w:val="1"/>
          <w:bCs w:val="1"/>
          <w:color w:val="1B6F80"/>
        </w:rPr>
      </w:pPr>
      <w:r>
        <w:rPr>
          <w:rFonts w:ascii="Arial" w:cs="Arial" w:eastAsia="Arial" w:hAnsi="Arial"/>
          <w:sz w:val="14"/>
          <w:szCs w:val="14"/>
          <w:color w:val="auto"/>
        </w:rPr>
        <w:t>Administering the equity plan; and</w:t>
      </w:r>
    </w:p>
    <w:p>
      <w:pPr>
        <w:spacing w:after="0" w:line="57" w:lineRule="exact"/>
        <w:rPr>
          <w:rFonts w:ascii="Arial" w:cs="Arial" w:eastAsia="Arial" w:hAnsi="Arial"/>
          <w:sz w:val="22"/>
          <w:szCs w:val="22"/>
          <w:b w:val="1"/>
          <w:bCs w:val="1"/>
          <w:color w:val="1B6F80"/>
        </w:rPr>
      </w:pPr>
    </w:p>
    <w:p>
      <w:pPr>
        <w:ind w:left="480" w:hanging="317"/>
        <w:spacing w:after="0"/>
        <w:tabs>
          <w:tab w:leader="none" w:pos="480" w:val="left"/>
        </w:tabs>
        <w:numPr>
          <w:ilvl w:val="0"/>
          <w:numId w:val="20"/>
        </w:numPr>
        <w:rPr>
          <w:rFonts w:ascii="Arial" w:cs="Arial" w:eastAsia="Arial" w:hAnsi="Arial"/>
          <w:sz w:val="22"/>
          <w:szCs w:val="22"/>
          <w:b w:val="1"/>
          <w:bCs w:val="1"/>
          <w:color w:val="1B6F80"/>
        </w:rPr>
      </w:pPr>
      <w:r>
        <w:rPr>
          <w:rFonts w:ascii="Arial" w:cs="Arial" w:eastAsia="Arial" w:hAnsi="Arial"/>
          <w:sz w:val="14"/>
          <w:szCs w:val="14"/>
          <w:color w:val="auto"/>
        </w:rPr>
        <w:t>Overseeing of workplace diversity, equity and inclusion.</w:t>
      </w:r>
    </w:p>
    <w:p>
      <w:pPr>
        <w:spacing w:after="0" w:line="197" w:lineRule="exact"/>
        <w:rPr>
          <w:sz w:val="20"/>
          <w:szCs w:val="20"/>
          <w:color w:val="auto"/>
        </w:rPr>
      </w:pPr>
    </w:p>
    <w:p>
      <w:pPr>
        <w:jc w:val="both"/>
        <w:ind w:right="20"/>
        <w:spacing w:after="0" w:line="311" w:lineRule="auto"/>
        <w:rPr>
          <w:sz w:val="20"/>
          <w:szCs w:val="20"/>
          <w:color w:val="auto"/>
        </w:rPr>
      </w:pPr>
      <w:r>
        <w:rPr>
          <w:rFonts w:ascii="Arial" w:cs="Arial" w:eastAsia="Arial" w:hAnsi="Arial"/>
          <w:sz w:val="14"/>
          <w:szCs w:val="14"/>
          <w:color w:val="auto"/>
        </w:rPr>
        <w:t>Our Board has determined that each Compensation Committee member is an “independent director” under the Nasdaq listing standards and the applicable rules and regulations of the SEC. In addition, each member of the Compensation Committee qualifies as a “non-employee director” for the purposes of Rule 16b-3 under the Exchange Act. The Compensation Committee engaged the services of a national executive compensation consulting firm — Willis Towers Watson — as its independent compensation consultants to assist it in evaluating our overall executive and non-executive director compensation program and practices.</w:t>
      </w:r>
    </w:p>
    <w:p>
      <w:pPr>
        <w:spacing w:after="0" w:line="69" w:lineRule="exact"/>
        <w:rPr>
          <w:sz w:val="20"/>
          <w:szCs w:val="20"/>
          <w:color w:val="auto"/>
        </w:rPr>
      </w:pPr>
    </w:p>
    <w:p>
      <w:pPr>
        <w:jc w:val="both"/>
        <w:ind w:right="20"/>
        <w:spacing w:after="0" w:line="312" w:lineRule="auto"/>
        <w:rPr>
          <w:sz w:val="20"/>
          <w:szCs w:val="20"/>
          <w:color w:val="auto"/>
        </w:rPr>
      </w:pPr>
      <w:r>
        <w:rPr>
          <w:rFonts w:ascii="Arial" w:cs="Arial" w:eastAsia="Arial" w:hAnsi="Arial"/>
          <w:sz w:val="14"/>
          <w:szCs w:val="14"/>
          <w:b w:val="1"/>
          <w:bCs w:val="1"/>
          <w:color w:val="181818"/>
        </w:rPr>
        <w:t xml:space="preserve">Compensation Committee Interlocks and Insider Participation: </w:t>
      </w:r>
      <w:r>
        <w:rPr>
          <w:rFonts w:ascii="Arial" w:cs="Arial" w:eastAsia="Arial" w:hAnsi="Arial"/>
          <w:sz w:val="14"/>
          <w:szCs w:val="14"/>
          <w:color w:val="000000"/>
        </w:rPr>
        <w:t>None of the members of our Compensation Committee</w:t>
      </w:r>
      <w:r>
        <w:rPr>
          <w:rFonts w:ascii="Arial" w:cs="Arial" w:eastAsia="Arial" w:hAnsi="Arial"/>
          <w:sz w:val="14"/>
          <w:szCs w:val="14"/>
          <w:b w:val="1"/>
          <w:bCs w:val="1"/>
          <w:color w:val="181818"/>
        </w:rPr>
        <w:t xml:space="preserve"> </w:t>
      </w:r>
      <w:r>
        <w:rPr>
          <w:rFonts w:ascii="Arial" w:cs="Arial" w:eastAsia="Arial" w:hAnsi="Arial"/>
          <w:sz w:val="14"/>
          <w:szCs w:val="14"/>
          <w:color w:val="000000"/>
        </w:rPr>
        <w:t>were, at any time during Fiscal 2026 (or at any other time), officers or employees of the Company. None of our executive officers serves or has served during Fiscal 2026 as a member of the board of directors or Compensation Committee of any other entity that has one or more executive officers serving as a member of our Board or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772795</wp:posOffset>
            </wp:positionV>
            <wp:extent cx="71494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2780" w:space="480"/>
            <w:col w:w="7980"/>
          </w:cols>
          <w:pgMar w:left="360" w:top="308"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0" w:right="460"/>
        <w:spacing w:after="0" w:line="244" w:lineRule="auto"/>
        <w:rPr>
          <w:sz w:val="20"/>
          <w:szCs w:val="20"/>
          <w:color w:val="auto"/>
        </w:rPr>
      </w:pPr>
      <w:r>
        <w:rPr>
          <w:rFonts w:ascii="Arial" w:cs="Arial" w:eastAsia="Arial" w:hAnsi="Arial"/>
          <w:sz w:val="29"/>
          <w:szCs w:val="29"/>
          <w:b w:val="1"/>
          <w:bCs w:val="1"/>
          <w:color w:val="181818"/>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-841375</wp:posOffset>
            </wp:positionV>
            <wp:extent cx="1817370" cy="24860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17370" cy="2486025"/>
                    </a:xfrm>
                    <a:prstGeom prst="rect">
                      <a:avLst/>
                    </a:prstGeom>
                    <a:noFill/>
                  </pic:spPr>
                </pic:pic>
              </a:graphicData>
            </a:graphic>
          </wp:anchor>
        </w:drawing>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1B6F80"/>
        </w:rPr>
        <w:t>Members: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181818"/>
        </w:rPr>
        <w:t>Leslie Daniels (Chair)</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181818"/>
        </w:rPr>
        <w:t>Mahvash Yazdi</w:t>
      </w:r>
    </w:p>
    <w:p>
      <w:pPr>
        <w:spacing w:after="0" w:line="221" w:lineRule="exact"/>
        <w:rPr>
          <w:sz w:val="20"/>
          <w:szCs w:val="20"/>
          <w:color w:val="auto"/>
        </w:rPr>
      </w:pPr>
    </w:p>
    <w:p>
      <w:pPr>
        <w:ind w:left="140"/>
        <w:spacing w:after="0" w:line="304" w:lineRule="auto"/>
        <w:rPr>
          <w:sz w:val="20"/>
          <w:szCs w:val="20"/>
          <w:color w:val="auto"/>
        </w:rPr>
      </w:pPr>
      <w:r>
        <w:rPr>
          <w:rFonts w:ascii="Arial" w:cs="Arial" w:eastAsia="Arial" w:hAnsi="Arial"/>
          <w:sz w:val="16"/>
          <w:szCs w:val="16"/>
          <w:b w:val="1"/>
          <w:bCs w:val="1"/>
          <w:color w:val="1B6F80"/>
        </w:rPr>
        <w:t xml:space="preserve">Number of Meetings Held in Fiscal 2026: </w:t>
      </w:r>
      <w:r>
        <w:rPr>
          <w:rFonts w:ascii="Arial" w:cs="Arial" w:eastAsia="Arial" w:hAnsi="Arial"/>
          <w:sz w:val="16"/>
          <w:szCs w:val="16"/>
          <w:b w:val="1"/>
          <w:bCs w:val="1"/>
          <w:color w:val="181818"/>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Nominating and Corporate Governance Committee is comprised of two independent directors: Leslie Daniels (Chair)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and Mahvash Yazdi. The functions of the Nominating and Corporate Governance Committee include:</w:t>
      </w:r>
    </w:p>
    <w:p>
      <w:pPr>
        <w:spacing w:after="0" w:line="104" w:lineRule="exact"/>
        <w:rPr>
          <w:sz w:val="20"/>
          <w:szCs w:val="20"/>
          <w:color w:val="auto"/>
        </w:rPr>
      </w:pPr>
    </w:p>
    <w:p>
      <w:pPr>
        <w:ind w:left="460" w:hanging="301"/>
        <w:spacing w:after="0"/>
        <w:tabs>
          <w:tab w:leader="none" w:pos="460" w:val="left"/>
        </w:tabs>
        <w:numPr>
          <w:ilvl w:val="0"/>
          <w:numId w:val="21"/>
        </w:numPr>
        <w:rPr>
          <w:rFonts w:ascii="Arial" w:cs="Arial" w:eastAsia="Arial" w:hAnsi="Arial"/>
          <w:sz w:val="22"/>
          <w:szCs w:val="22"/>
          <w:b w:val="1"/>
          <w:bCs w:val="1"/>
          <w:color w:val="1B6F80"/>
        </w:rPr>
      </w:pPr>
      <w:r>
        <w:rPr>
          <w:rFonts w:ascii="Arial" w:cs="Arial" w:eastAsia="Arial" w:hAnsi="Arial"/>
          <w:sz w:val="14"/>
          <w:szCs w:val="14"/>
          <w:color w:val="auto"/>
        </w:rPr>
        <w:t>Identifying, recruiting, and nominating of Board nominees;</w:t>
      </w:r>
    </w:p>
    <w:p>
      <w:pPr>
        <w:spacing w:after="0" w:line="44" w:lineRule="exact"/>
        <w:rPr>
          <w:rFonts w:ascii="Arial" w:cs="Arial" w:eastAsia="Arial" w:hAnsi="Arial"/>
          <w:sz w:val="22"/>
          <w:szCs w:val="22"/>
          <w:b w:val="1"/>
          <w:bCs w:val="1"/>
          <w:color w:val="1B6F80"/>
        </w:rPr>
      </w:pPr>
    </w:p>
    <w:p>
      <w:pPr>
        <w:ind w:left="460" w:hanging="301"/>
        <w:spacing w:after="0"/>
        <w:tabs>
          <w:tab w:leader="none" w:pos="460" w:val="left"/>
        </w:tabs>
        <w:numPr>
          <w:ilvl w:val="0"/>
          <w:numId w:val="21"/>
        </w:numPr>
        <w:rPr>
          <w:rFonts w:ascii="Arial" w:cs="Arial" w:eastAsia="Arial" w:hAnsi="Arial"/>
          <w:sz w:val="22"/>
          <w:szCs w:val="22"/>
          <w:b w:val="1"/>
          <w:bCs w:val="1"/>
          <w:color w:val="1B6F80"/>
        </w:rPr>
      </w:pPr>
      <w:r>
        <w:rPr>
          <w:rFonts w:ascii="Arial" w:cs="Arial" w:eastAsia="Arial" w:hAnsi="Arial"/>
          <w:sz w:val="14"/>
          <w:szCs w:val="14"/>
          <w:color w:val="auto"/>
        </w:rPr>
        <w:t>Recommending the structure, composition, and functioning of the Board and its committees;</w:t>
      </w:r>
    </w:p>
    <w:p>
      <w:pPr>
        <w:spacing w:after="0" w:line="57" w:lineRule="exact"/>
        <w:rPr>
          <w:rFonts w:ascii="Arial" w:cs="Arial" w:eastAsia="Arial" w:hAnsi="Arial"/>
          <w:sz w:val="22"/>
          <w:szCs w:val="22"/>
          <w:b w:val="1"/>
          <w:bCs w:val="1"/>
          <w:color w:val="1B6F80"/>
        </w:rPr>
      </w:pPr>
    </w:p>
    <w:p>
      <w:pPr>
        <w:ind w:left="460" w:hanging="301"/>
        <w:spacing w:after="0"/>
        <w:tabs>
          <w:tab w:leader="none" w:pos="460" w:val="left"/>
        </w:tabs>
        <w:numPr>
          <w:ilvl w:val="0"/>
          <w:numId w:val="21"/>
        </w:numPr>
        <w:rPr>
          <w:rFonts w:ascii="Arial" w:cs="Arial" w:eastAsia="Arial" w:hAnsi="Arial"/>
          <w:sz w:val="22"/>
          <w:szCs w:val="22"/>
          <w:b w:val="1"/>
          <w:bCs w:val="1"/>
          <w:color w:val="1B6F80"/>
        </w:rPr>
      </w:pPr>
      <w:r>
        <w:rPr>
          <w:rFonts w:ascii="Arial" w:cs="Arial" w:eastAsia="Arial" w:hAnsi="Arial"/>
          <w:sz w:val="14"/>
          <w:szCs w:val="14"/>
          <w:color w:val="auto"/>
        </w:rPr>
        <w:t>Developing and recommending Corporate Governance Guidelines;</w:t>
      </w:r>
    </w:p>
    <w:p>
      <w:pPr>
        <w:spacing w:after="0" w:line="44" w:lineRule="exact"/>
        <w:rPr>
          <w:rFonts w:ascii="Arial" w:cs="Arial" w:eastAsia="Arial" w:hAnsi="Arial"/>
          <w:sz w:val="22"/>
          <w:szCs w:val="22"/>
          <w:b w:val="1"/>
          <w:bCs w:val="1"/>
          <w:color w:val="1B6F80"/>
        </w:rPr>
      </w:pPr>
    </w:p>
    <w:p>
      <w:pPr>
        <w:ind w:left="460" w:hanging="301"/>
        <w:spacing w:after="0"/>
        <w:tabs>
          <w:tab w:leader="none" w:pos="460" w:val="left"/>
        </w:tabs>
        <w:numPr>
          <w:ilvl w:val="0"/>
          <w:numId w:val="21"/>
        </w:numPr>
        <w:rPr>
          <w:rFonts w:ascii="Arial" w:cs="Arial" w:eastAsia="Arial" w:hAnsi="Arial"/>
          <w:sz w:val="22"/>
          <w:szCs w:val="22"/>
          <w:b w:val="1"/>
          <w:bCs w:val="1"/>
          <w:color w:val="1B6F80"/>
        </w:rPr>
      </w:pPr>
      <w:r>
        <w:rPr>
          <w:rFonts w:ascii="Arial" w:cs="Arial" w:eastAsia="Arial" w:hAnsi="Arial"/>
          <w:sz w:val="14"/>
          <w:szCs w:val="14"/>
          <w:color w:val="auto"/>
        </w:rPr>
        <w:t>Reviewing and recommending changes (as necessary or appropriate) to governance documents;</w:t>
      </w:r>
    </w:p>
    <w:p>
      <w:pPr>
        <w:spacing w:after="0" w:line="44" w:lineRule="exact"/>
        <w:rPr>
          <w:rFonts w:ascii="Arial" w:cs="Arial" w:eastAsia="Arial" w:hAnsi="Arial"/>
          <w:sz w:val="22"/>
          <w:szCs w:val="22"/>
          <w:b w:val="1"/>
          <w:bCs w:val="1"/>
          <w:color w:val="1B6F80"/>
        </w:rPr>
      </w:pPr>
    </w:p>
    <w:p>
      <w:pPr>
        <w:ind w:left="460" w:hanging="301"/>
        <w:spacing w:after="0"/>
        <w:tabs>
          <w:tab w:leader="none" w:pos="460" w:val="left"/>
        </w:tabs>
        <w:numPr>
          <w:ilvl w:val="0"/>
          <w:numId w:val="21"/>
        </w:numPr>
        <w:rPr>
          <w:rFonts w:ascii="Arial" w:cs="Arial" w:eastAsia="Arial" w:hAnsi="Arial"/>
          <w:sz w:val="22"/>
          <w:szCs w:val="22"/>
          <w:b w:val="1"/>
          <w:bCs w:val="1"/>
          <w:color w:val="1B6F80"/>
        </w:rPr>
      </w:pPr>
      <w:r>
        <w:rPr>
          <w:rFonts w:ascii="Arial" w:cs="Arial" w:eastAsia="Arial" w:hAnsi="Arial"/>
          <w:sz w:val="14"/>
          <w:szCs w:val="14"/>
          <w:color w:val="auto"/>
        </w:rPr>
        <w:t>Overseeing the annual evaluation of our Board’s effectiveness and performance;</w:t>
      </w:r>
    </w:p>
    <w:p>
      <w:pPr>
        <w:spacing w:after="0" w:line="57" w:lineRule="exact"/>
        <w:rPr>
          <w:rFonts w:ascii="Arial" w:cs="Arial" w:eastAsia="Arial" w:hAnsi="Arial"/>
          <w:sz w:val="22"/>
          <w:szCs w:val="22"/>
          <w:b w:val="1"/>
          <w:bCs w:val="1"/>
          <w:color w:val="1B6F80"/>
        </w:rPr>
      </w:pPr>
    </w:p>
    <w:p>
      <w:pPr>
        <w:ind w:left="460" w:hanging="301"/>
        <w:spacing w:after="0"/>
        <w:tabs>
          <w:tab w:leader="none" w:pos="460" w:val="left"/>
        </w:tabs>
        <w:numPr>
          <w:ilvl w:val="0"/>
          <w:numId w:val="21"/>
        </w:numPr>
        <w:rPr>
          <w:rFonts w:ascii="Arial" w:cs="Arial" w:eastAsia="Arial" w:hAnsi="Arial"/>
          <w:sz w:val="22"/>
          <w:szCs w:val="22"/>
          <w:b w:val="1"/>
          <w:bCs w:val="1"/>
          <w:color w:val="1B6F80"/>
        </w:rPr>
      </w:pPr>
      <w:r>
        <w:rPr>
          <w:rFonts w:ascii="Arial" w:cs="Arial" w:eastAsia="Arial" w:hAnsi="Arial"/>
          <w:sz w:val="14"/>
          <w:szCs w:val="14"/>
          <w:color w:val="auto"/>
        </w:rPr>
        <w:t>Overseeing the development of our ESG (as defined below) strategy; and</w:t>
      </w:r>
    </w:p>
    <w:p>
      <w:pPr>
        <w:spacing w:after="0" w:line="44" w:lineRule="exact"/>
        <w:rPr>
          <w:rFonts w:ascii="Arial" w:cs="Arial" w:eastAsia="Arial" w:hAnsi="Arial"/>
          <w:sz w:val="22"/>
          <w:szCs w:val="22"/>
          <w:b w:val="1"/>
          <w:bCs w:val="1"/>
          <w:color w:val="1B6F80"/>
        </w:rPr>
      </w:pPr>
    </w:p>
    <w:p>
      <w:pPr>
        <w:ind w:left="460" w:hanging="301"/>
        <w:spacing w:after="0"/>
        <w:tabs>
          <w:tab w:leader="none" w:pos="460" w:val="left"/>
        </w:tabs>
        <w:numPr>
          <w:ilvl w:val="0"/>
          <w:numId w:val="21"/>
        </w:numPr>
        <w:rPr>
          <w:rFonts w:ascii="Arial" w:cs="Arial" w:eastAsia="Arial" w:hAnsi="Arial"/>
          <w:sz w:val="22"/>
          <w:szCs w:val="22"/>
          <w:b w:val="1"/>
          <w:bCs w:val="1"/>
          <w:color w:val="1B6F80"/>
        </w:rPr>
      </w:pPr>
      <w:r>
        <w:rPr>
          <w:rFonts w:ascii="Arial" w:cs="Arial" w:eastAsia="Arial" w:hAnsi="Arial"/>
          <w:sz w:val="14"/>
          <w:szCs w:val="14"/>
          <w:color w:val="auto"/>
        </w:rPr>
        <w:t>Conducting director evaluations.</w:t>
      </w:r>
    </w:p>
    <w:p>
      <w:pPr>
        <w:spacing w:after="0" w:line="211" w:lineRule="exact"/>
        <w:rPr>
          <w:sz w:val="20"/>
          <w:szCs w:val="20"/>
          <w:color w:val="auto"/>
        </w:rPr>
      </w:pPr>
    </w:p>
    <w:p>
      <w:pPr>
        <w:ind w:right="20"/>
        <w:spacing w:after="0" w:line="331" w:lineRule="auto"/>
        <w:rPr>
          <w:sz w:val="20"/>
          <w:szCs w:val="20"/>
          <w:color w:val="auto"/>
        </w:rPr>
      </w:pPr>
      <w:r>
        <w:rPr>
          <w:rFonts w:ascii="Arial" w:cs="Arial" w:eastAsia="Arial" w:hAnsi="Arial"/>
          <w:sz w:val="14"/>
          <w:szCs w:val="14"/>
          <w:color w:val="auto"/>
        </w:rPr>
        <w:t>Our Board has determined that each Nominating and Corporate Governance Committee member is an “independent director” under the Nasdaq listing standards and the applicable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583565</wp:posOffset>
            </wp:positionV>
            <wp:extent cx="71494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1038225</wp:posOffset>
            </wp:positionV>
            <wp:extent cx="71577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2780" w:space="480"/>
            <w:col w:w="7980"/>
          </w:cols>
          <w:pgMar w:left="360" w:top="308" w:right="31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24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143510</wp:posOffset>
            </wp:positionV>
            <wp:extent cx="71831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60" w:top="308" w:right="318"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911350" cy="18776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1135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right="20"/>
        <w:spacing w:after="0" w:line="294" w:lineRule="auto"/>
        <w:rPr>
          <w:sz w:val="20"/>
          <w:szCs w:val="20"/>
          <w:color w:val="auto"/>
        </w:rPr>
      </w:pPr>
      <w:r>
        <w:rPr>
          <w:rFonts w:ascii="Arial" w:cs="Arial" w:eastAsia="Arial" w:hAnsi="Arial"/>
          <w:sz w:val="28"/>
          <w:szCs w:val="28"/>
          <w:b w:val="1"/>
          <w:bCs w:val="1"/>
          <w:color w:val="181818"/>
        </w:rPr>
        <w:t>Utility Engagement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-480695</wp:posOffset>
            </wp:positionV>
            <wp:extent cx="1817370" cy="18434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17370" cy="1843405"/>
                    </a:xfrm>
                    <a:prstGeom prst="rect">
                      <a:avLst/>
                    </a:prstGeom>
                    <a:noFill/>
                  </pic:spPr>
                </pic:pic>
              </a:graphicData>
            </a:graphic>
          </wp:anchor>
        </w:drawing>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B6F80"/>
        </w:rPr>
        <w:t>Members: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81818"/>
        </w:rPr>
        <w:t>Thomas Kuhn (Chair)</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81818"/>
        </w:rPr>
        <w:t>Scott Lang</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81818"/>
        </w:rPr>
        <w:t>Mahvash Yazdi</w:t>
      </w:r>
    </w:p>
    <w:p>
      <w:pPr>
        <w:spacing w:after="0" w:line="235" w:lineRule="exact"/>
        <w:rPr>
          <w:sz w:val="20"/>
          <w:szCs w:val="20"/>
          <w:color w:val="auto"/>
        </w:rPr>
      </w:pPr>
    </w:p>
    <w:p>
      <w:pPr>
        <w:ind w:left="160"/>
        <w:spacing w:after="0" w:line="304" w:lineRule="auto"/>
        <w:rPr>
          <w:sz w:val="20"/>
          <w:szCs w:val="20"/>
          <w:color w:val="auto"/>
        </w:rPr>
      </w:pPr>
      <w:r>
        <w:rPr>
          <w:rFonts w:ascii="Arial" w:cs="Arial" w:eastAsia="Arial" w:hAnsi="Arial"/>
          <w:sz w:val="16"/>
          <w:szCs w:val="16"/>
          <w:b w:val="1"/>
          <w:bCs w:val="1"/>
          <w:color w:val="1B6F80"/>
        </w:rPr>
        <w:t xml:space="preserve">Number of Meetings Held in Fiscal 2026: </w:t>
      </w:r>
      <w:r>
        <w:rPr>
          <w:rFonts w:ascii="Arial" w:cs="Arial" w:eastAsia="Arial" w:hAnsi="Arial"/>
          <w:sz w:val="16"/>
          <w:szCs w:val="16"/>
          <w:b w:val="1"/>
          <w:b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857250</wp:posOffset>
            </wp:positionV>
            <wp:extent cx="1911350" cy="2194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11350" cy="2194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334" w:lineRule="auto"/>
        <w:rPr>
          <w:sz w:val="20"/>
          <w:szCs w:val="20"/>
          <w:color w:val="auto"/>
        </w:rPr>
      </w:pPr>
      <w:r>
        <w:rPr>
          <w:rFonts w:ascii="Arial" w:cs="Arial" w:eastAsia="Arial" w:hAnsi="Arial"/>
          <w:sz w:val="14"/>
          <w:szCs w:val="14"/>
          <w:color w:val="auto"/>
        </w:rPr>
        <w:t>The Utility Engagement Committee is comprised of two employee directors: Thomas Kuhn and Scott Lang; and one independent director, Mahvash Yazdi. The functions of the Utility Engagement Committee include:</w:t>
      </w:r>
    </w:p>
    <w:p>
      <w:pPr>
        <w:spacing w:after="0" w:line="20" w:lineRule="exact"/>
        <w:rPr>
          <w:sz w:val="20"/>
          <w:szCs w:val="20"/>
          <w:color w:val="auto"/>
        </w:rPr>
      </w:pPr>
    </w:p>
    <w:p>
      <w:pPr>
        <w:ind w:left="480" w:hanging="321"/>
        <w:spacing w:after="0"/>
        <w:tabs>
          <w:tab w:leader="none" w:pos="480" w:val="left"/>
        </w:tabs>
        <w:numPr>
          <w:ilvl w:val="0"/>
          <w:numId w:val="22"/>
        </w:numPr>
        <w:rPr>
          <w:rFonts w:ascii="Arial" w:cs="Arial" w:eastAsia="Arial" w:hAnsi="Arial"/>
          <w:sz w:val="22"/>
          <w:szCs w:val="22"/>
          <w:b w:val="1"/>
          <w:bCs w:val="1"/>
          <w:color w:val="1B6F80"/>
        </w:rPr>
      </w:pPr>
      <w:r>
        <w:rPr>
          <w:rFonts w:ascii="Arial" w:cs="Arial" w:eastAsia="Arial" w:hAnsi="Arial"/>
          <w:sz w:val="14"/>
          <w:szCs w:val="14"/>
          <w:color w:val="auto"/>
        </w:rPr>
        <w:t>Advising management on strategies to strengthen our relationships and communications to the utility industry;</w:t>
      </w:r>
    </w:p>
    <w:p>
      <w:pPr>
        <w:spacing w:after="0" w:line="44" w:lineRule="exact"/>
        <w:rPr>
          <w:rFonts w:ascii="Arial" w:cs="Arial" w:eastAsia="Arial" w:hAnsi="Arial"/>
          <w:sz w:val="22"/>
          <w:szCs w:val="22"/>
          <w:b w:val="1"/>
          <w:bCs w:val="1"/>
          <w:color w:val="1B6F80"/>
        </w:rPr>
      </w:pPr>
    </w:p>
    <w:p>
      <w:pPr>
        <w:ind w:left="480" w:hanging="321"/>
        <w:spacing w:after="0"/>
        <w:tabs>
          <w:tab w:leader="none" w:pos="480" w:val="left"/>
        </w:tabs>
        <w:numPr>
          <w:ilvl w:val="0"/>
          <w:numId w:val="22"/>
        </w:numPr>
        <w:rPr>
          <w:rFonts w:ascii="Arial" w:cs="Arial" w:eastAsia="Arial" w:hAnsi="Arial"/>
          <w:sz w:val="22"/>
          <w:szCs w:val="22"/>
          <w:b w:val="1"/>
          <w:bCs w:val="1"/>
          <w:color w:val="1B6F80"/>
        </w:rPr>
      </w:pPr>
      <w:r>
        <w:rPr>
          <w:rFonts w:ascii="Arial" w:cs="Arial" w:eastAsia="Arial" w:hAnsi="Arial"/>
          <w:sz w:val="14"/>
          <w:szCs w:val="14"/>
          <w:color w:val="auto"/>
        </w:rPr>
        <w:t>Reviewing and providing input to management on our commercialization plans and strategies; and</w:t>
      </w:r>
    </w:p>
    <w:p>
      <w:pPr>
        <w:spacing w:after="0" w:line="57" w:lineRule="exact"/>
        <w:rPr>
          <w:rFonts w:ascii="Arial" w:cs="Arial" w:eastAsia="Arial" w:hAnsi="Arial"/>
          <w:sz w:val="22"/>
          <w:szCs w:val="22"/>
          <w:b w:val="1"/>
          <w:bCs w:val="1"/>
          <w:color w:val="1B6F80"/>
        </w:rPr>
      </w:pPr>
    </w:p>
    <w:p>
      <w:pPr>
        <w:ind w:left="480" w:hanging="321"/>
        <w:spacing w:after="0"/>
        <w:tabs>
          <w:tab w:leader="none" w:pos="480" w:val="left"/>
        </w:tabs>
        <w:numPr>
          <w:ilvl w:val="0"/>
          <w:numId w:val="22"/>
        </w:numPr>
        <w:rPr>
          <w:rFonts w:ascii="Arial" w:cs="Arial" w:eastAsia="Arial" w:hAnsi="Arial"/>
          <w:sz w:val="22"/>
          <w:szCs w:val="22"/>
          <w:b w:val="1"/>
          <w:bCs w:val="1"/>
          <w:color w:val="1B6F80"/>
        </w:rPr>
      </w:pPr>
      <w:r>
        <w:rPr>
          <w:rFonts w:ascii="Arial" w:cs="Arial" w:eastAsia="Arial" w:hAnsi="Arial"/>
          <w:sz w:val="14"/>
          <w:szCs w:val="14"/>
          <w:color w:val="auto"/>
        </w:rPr>
        <w:t>Evaluating and making recommendations to management about our sales and marketing programs and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1110615</wp:posOffset>
            </wp:positionV>
            <wp:extent cx="71577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1382" w:lineRule="exact"/>
        <w:rPr>
          <w:sz w:val="20"/>
          <w:szCs w:val="20"/>
          <w:color w:val="auto"/>
        </w:rPr>
      </w:pPr>
    </w:p>
    <w:p>
      <w:pPr>
        <w:sectPr>
          <w:pgSz w:w="11920" w:h="16838" w:orient="portrait"/>
          <w:cols w:equalWidth="0" w:num="2">
            <w:col w:w="2800" w:space="480"/>
            <w:col w:w="7960"/>
          </w:cols>
          <w:pgMar w:left="340" w:top="308" w:right="33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60" w:right="820"/>
        <w:spacing w:after="0" w:line="268" w:lineRule="auto"/>
        <w:rPr>
          <w:sz w:val="20"/>
          <w:szCs w:val="20"/>
          <w:color w:val="auto"/>
        </w:rPr>
      </w:pPr>
      <w:r>
        <w:rPr>
          <w:rFonts w:ascii="Arial" w:cs="Arial" w:eastAsia="Arial" w:hAnsi="Arial"/>
          <w:sz w:val="28"/>
          <w:szCs w:val="28"/>
          <w:b w:val="1"/>
          <w:bCs w:val="1"/>
          <w:color w:val="181818"/>
        </w:rPr>
        <w:t>Corporate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-664845</wp:posOffset>
            </wp:positionV>
            <wp:extent cx="1817370" cy="21602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17370" cy="2160270"/>
                    </a:xfrm>
                    <a:prstGeom prst="rect">
                      <a:avLst/>
                    </a:prstGeom>
                    <a:noFill/>
                  </pic:spPr>
                </pic:pic>
              </a:graphicData>
            </a:graphic>
          </wp:anchor>
        </w:drawing>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B6F80"/>
        </w:rPr>
        <w:t>Members:</w:t>
      </w:r>
    </w:p>
    <w:p>
      <w:pPr>
        <w:spacing w:after="0" w:line="73" w:lineRule="exact"/>
        <w:rPr>
          <w:sz w:val="20"/>
          <w:szCs w:val="20"/>
          <w:color w:val="auto"/>
        </w:rPr>
      </w:pPr>
    </w:p>
    <w:p>
      <w:pPr>
        <w:ind w:left="160" w:right="980"/>
        <w:spacing w:after="0" w:line="322" w:lineRule="auto"/>
        <w:rPr>
          <w:sz w:val="20"/>
          <w:szCs w:val="20"/>
          <w:color w:val="auto"/>
        </w:rPr>
      </w:pPr>
      <w:r>
        <w:rPr>
          <w:rFonts w:ascii="Arial" w:cs="Arial" w:eastAsia="Arial" w:hAnsi="Arial"/>
          <w:sz w:val="16"/>
          <w:szCs w:val="16"/>
          <w:b w:val="1"/>
          <w:bCs w:val="1"/>
          <w:color w:val="181818"/>
        </w:rPr>
        <w:t>Leslie Daniels (Chair) Jeffrey Altman Mark Fleischhauer</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81818"/>
        </w:rPr>
        <w:t>Thomas Kuhn</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81818"/>
        </w:rPr>
        <w:t>Scott Lang</w:t>
      </w:r>
    </w:p>
    <w:p>
      <w:pPr>
        <w:spacing w:after="0" w:line="235" w:lineRule="exact"/>
        <w:rPr>
          <w:sz w:val="20"/>
          <w:szCs w:val="20"/>
          <w:color w:val="auto"/>
        </w:rPr>
      </w:pPr>
    </w:p>
    <w:p>
      <w:pPr>
        <w:ind w:left="160"/>
        <w:spacing w:after="0" w:line="304" w:lineRule="auto"/>
        <w:rPr>
          <w:sz w:val="20"/>
          <w:szCs w:val="20"/>
          <w:color w:val="auto"/>
        </w:rPr>
      </w:pPr>
      <w:r>
        <w:rPr>
          <w:rFonts w:ascii="Arial" w:cs="Arial" w:eastAsia="Arial" w:hAnsi="Arial"/>
          <w:sz w:val="16"/>
          <w:szCs w:val="16"/>
          <w:b w:val="1"/>
          <w:bCs w:val="1"/>
          <w:color w:val="1B6F80"/>
        </w:rPr>
        <w:t xml:space="preserve">Number of Meetings Held in Fiscal 2026: </w:t>
      </w:r>
      <w:r>
        <w:rPr>
          <w:rFonts w:ascii="Arial" w:cs="Arial" w:eastAsia="Arial" w:hAnsi="Arial"/>
          <w:sz w:val="16"/>
          <w:szCs w:val="16"/>
          <w:b w:val="1"/>
          <w:bCs w:val="1"/>
          <w:color w:val="181818"/>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323" w:lineRule="auto"/>
        <w:rPr>
          <w:sz w:val="20"/>
          <w:szCs w:val="20"/>
          <w:color w:val="auto"/>
        </w:rPr>
      </w:pPr>
      <w:r>
        <w:rPr>
          <w:rFonts w:ascii="Arial" w:cs="Arial" w:eastAsia="Arial" w:hAnsi="Arial"/>
          <w:sz w:val="14"/>
          <w:szCs w:val="14"/>
          <w:color w:val="auto"/>
        </w:rPr>
        <w:t>The Corporate Development Committee is comprised of three independent directors: Leslie Daniels (Chair), Jeffrey Altman, and Mark Fleischhauer; and two employee directors: Thomas Kuhn and Scott Lang. The functions of the Corporate Development Committee include:</w:t>
      </w:r>
    </w:p>
    <w:p>
      <w:pPr>
        <w:spacing w:after="0" w:line="20" w:lineRule="exact"/>
        <w:rPr>
          <w:sz w:val="20"/>
          <w:szCs w:val="20"/>
          <w:color w:val="auto"/>
        </w:rPr>
      </w:pPr>
    </w:p>
    <w:p>
      <w:pPr>
        <w:ind w:left="480" w:hanging="320"/>
        <w:spacing w:after="0"/>
        <w:tabs>
          <w:tab w:leader="none" w:pos="480" w:val="left"/>
        </w:tabs>
        <w:numPr>
          <w:ilvl w:val="0"/>
          <w:numId w:val="23"/>
        </w:numPr>
        <w:rPr>
          <w:rFonts w:ascii="Arial" w:cs="Arial" w:eastAsia="Arial" w:hAnsi="Arial"/>
          <w:sz w:val="22"/>
          <w:szCs w:val="22"/>
          <w:b w:val="1"/>
          <w:bCs w:val="1"/>
          <w:color w:val="1B6F80"/>
        </w:rPr>
      </w:pPr>
      <w:r>
        <w:rPr>
          <w:rFonts w:ascii="Arial" w:cs="Arial" w:eastAsia="Arial" w:hAnsi="Arial"/>
          <w:sz w:val="14"/>
          <w:szCs w:val="14"/>
          <w:color w:val="auto"/>
        </w:rPr>
        <w:t>Providing input to management and the Board regarding our long-term strategy and M&amp;A agendas;</w:t>
      </w:r>
    </w:p>
    <w:p>
      <w:pPr>
        <w:spacing w:after="0" w:line="102" w:lineRule="exact"/>
        <w:rPr>
          <w:rFonts w:ascii="Arial" w:cs="Arial" w:eastAsia="Arial" w:hAnsi="Arial"/>
          <w:sz w:val="22"/>
          <w:szCs w:val="22"/>
          <w:b w:val="1"/>
          <w:bCs w:val="1"/>
          <w:color w:val="1B6F80"/>
        </w:rPr>
      </w:pPr>
    </w:p>
    <w:p>
      <w:pPr>
        <w:jc w:val="both"/>
        <w:ind w:left="480" w:hanging="320"/>
        <w:spacing w:after="0" w:line="190" w:lineRule="auto"/>
        <w:tabs>
          <w:tab w:leader="none" w:pos="467" w:val="left"/>
        </w:tabs>
        <w:numPr>
          <w:ilvl w:val="0"/>
          <w:numId w:val="23"/>
        </w:numPr>
        <w:rPr>
          <w:rFonts w:ascii="Arial" w:cs="Arial" w:eastAsia="Arial" w:hAnsi="Arial"/>
          <w:sz w:val="22"/>
          <w:szCs w:val="22"/>
          <w:b w:val="1"/>
          <w:bCs w:val="1"/>
          <w:color w:val="1B6F80"/>
        </w:rPr>
      </w:pPr>
      <w:r>
        <w:rPr>
          <w:rFonts w:ascii="Arial" w:cs="Arial" w:eastAsia="Arial" w:hAnsi="Arial"/>
          <w:sz w:val="14"/>
          <w:szCs w:val="14"/>
          <w:color w:val="auto"/>
        </w:rPr>
        <w:t>Evaluating and making recommendations to management and the Board concerning responses to external developments and factors, including changes in our industry, competition, and technology impacting our strategy; and</w:t>
      </w:r>
    </w:p>
    <w:p>
      <w:pPr>
        <w:spacing w:after="0" w:line="104" w:lineRule="exact"/>
        <w:rPr>
          <w:rFonts w:ascii="Arial" w:cs="Arial" w:eastAsia="Arial" w:hAnsi="Arial"/>
          <w:sz w:val="22"/>
          <w:szCs w:val="22"/>
          <w:b w:val="1"/>
          <w:bCs w:val="1"/>
          <w:color w:val="1B6F80"/>
        </w:rPr>
      </w:pPr>
    </w:p>
    <w:p>
      <w:pPr>
        <w:ind w:left="480" w:hanging="320"/>
        <w:spacing w:after="0" w:line="190" w:lineRule="auto"/>
        <w:tabs>
          <w:tab w:leader="none" w:pos="467" w:val="left"/>
        </w:tabs>
        <w:numPr>
          <w:ilvl w:val="0"/>
          <w:numId w:val="23"/>
        </w:numPr>
        <w:rPr>
          <w:rFonts w:ascii="Arial" w:cs="Arial" w:eastAsia="Arial" w:hAnsi="Arial"/>
          <w:sz w:val="22"/>
          <w:szCs w:val="22"/>
          <w:b w:val="1"/>
          <w:bCs w:val="1"/>
          <w:color w:val="1B6F80"/>
        </w:rPr>
      </w:pPr>
      <w:r>
        <w:rPr>
          <w:rFonts w:ascii="Arial" w:cs="Arial" w:eastAsia="Arial" w:hAnsi="Arial"/>
          <w:sz w:val="14"/>
          <w:szCs w:val="14"/>
          <w:color w:val="auto"/>
        </w:rPr>
        <w:t>Reviewing and providing input to management about potential material mergers and acquisitions, combinations, joint ventures, divestitures,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1137920</wp:posOffset>
            </wp:positionV>
            <wp:extent cx="71577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1737995</wp:posOffset>
            </wp:positionV>
            <wp:extent cx="71577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1735" w:lineRule="exact"/>
        <w:rPr>
          <w:sz w:val="20"/>
          <w:szCs w:val="20"/>
          <w:color w:val="auto"/>
        </w:rPr>
      </w:pPr>
    </w:p>
    <w:p>
      <w:pPr>
        <w:sectPr>
          <w:pgSz w:w="11920" w:h="16838" w:orient="portrait"/>
          <w:cols w:equalWidth="0" w:num="2">
            <w:col w:w="2800" w:space="480"/>
            <w:col w:w="7960"/>
          </w:cols>
          <w:pgMar w:left="340" w:top="308" w:right="33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20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308" w:right="338" w:bottom="1440" w:gutter="0" w:footer="0" w:header="0"/>
          <w:type w:val="continuous"/>
        </w:sectPr>
      </w:pPr>
    </w:p>
    <w:bookmarkStart w:id="24" w:name="page25"/>
    <w:bookmarkEnd w:id="24"/>
    <w:p>
      <w:pPr>
        <w:ind w:left="9160"/>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Board Composition and Processes</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546"/>
        </w:trPr>
        <w:tc>
          <w:tcPr>
            <w:tcW w:w="2840" w:type="dxa"/>
            <w:vAlign w:val="bottom"/>
            <w:tcBorders>
              <w:top w:val="single" w:sz="8" w:color="181818"/>
              <w:left w:val="single" w:sz="8" w:color="181818"/>
              <w:right w:val="single" w:sz="8" w:color="181818"/>
            </w:tcBorders>
            <w:shd w:val="clear" w:color="auto" w:fill="E5FF70"/>
          </w:tcPr>
          <w:p>
            <w:pPr>
              <w:jc w:val="center"/>
              <w:spacing w:after="0"/>
              <w:rPr>
                <w:sz w:val="20"/>
                <w:szCs w:val="20"/>
                <w:color w:val="auto"/>
              </w:rPr>
            </w:pPr>
            <w:r>
              <w:rPr>
                <w:rFonts w:ascii="Arial" w:cs="Arial" w:eastAsia="Arial" w:hAnsi="Arial"/>
                <w:sz w:val="31"/>
                <w:szCs w:val="31"/>
                <w:b w:val="1"/>
                <w:bCs w:val="1"/>
                <w:color w:val="181818"/>
                <w:w w:val="96"/>
              </w:rPr>
              <w:t>5 of 7</w:t>
            </w:r>
          </w:p>
        </w:tc>
        <w:tc>
          <w:tcPr>
            <w:tcW w:w="3140" w:type="dxa"/>
            <w:vAlign w:val="bottom"/>
            <w:tcBorders>
              <w:top w:val="single" w:sz="8" w:color="181818"/>
              <w:right w:val="single" w:sz="8" w:color="181818"/>
            </w:tcBorders>
            <w:shd w:val="clear" w:color="auto" w:fill="D9D9D9"/>
          </w:tcPr>
          <w:p>
            <w:pPr>
              <w:spacing w:after="0"/>
              <w:rPr>
                <w:sz w:val="24"/>
                <w:szCs w:val="24"/>
                <w:color w:val="auto"/>
              </w:rPr>
            </w:pPr>
          </w:p>
        </w:tc>
        <w:tc>
          <w:tcPr>
            <w:tcW w:w="5300" w:type="dxa"/>
            <w:vAlign w:val="bottom"/>
            <w:tcBorders>
              <w:top w:val="single" w:sz="8" w:color="181818"/>
              <w:right w:val="single" w:sz="8" w:color="181818"/>
            </w:tcBorders>
            <w:shd w:val="clear" w:color="auto" w:fill="AED0C7"/>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840" w:type="dxa"/>
            <w:vAlign w:val="bottom"/>
            <w:tcBorders>
              <w:left w:val="single" w:sz="8" w:color="181818"/>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Nominees</w:t>
            </w:r>
          </w:p>
        </w:tc>
        <w:tc>
          <w:tcPr>
            <w:tcW w:w="3140" w:type="dxa"/>
            <w:vAlign w:val="bottom"/>
            <w:tcBorders>
              <w:right w:val="single" w:sz="8" w:color="181818"/>
            </w:tcBorders>
            <w:vMerge w:val="restart"/>
            <w:shd w:val="clear" w:color="auto" w:fill="D9D9D9"/>
          </w:tcPr>
          <w:p>
            <w:pPr>
              <w:jc w:val="center"/>
              <w:spacing w:after="0"/>
              <w:rPr>
                <w:sz w:val="20"/>
                <w:szCs w:val="20"/>
                <w:color w:val="auto"/>
              </w:rPr>
            </w:pPr>
            <w:r>
              <w:rPr>
                <w:rFonts w:ascii="Arial" w:cs="Arial" w:eastAsia="Arial" w:hAnsi="Arial"/>
                <w:sz w:val="14"/>
                <w:szCs w:val="14"/>
                <w:b w:val="1"/>
                <w:bCs w:val="1"/>
                <w:color w:val="181818"/>
              </w:rPr>
              <w:t>Separate Chair and CEO and</w:t>
            </w:r>
          </w:p>
        </w:tc>
        <w:tc>
          <w:tcPr>
            <w:tcW w:w="5300" w:type="dxa"/>
            <w:vAlign w:val="bottom"/>
            <w:tcBorders>
              <w:right w:val="single" w:sz="8" w:color="181818"/>
            </w:tcBorders>
            <w:shd w:val="clear" w:color="auto" w:fill="AED0C7"/>
          </w:tcPr>
          <w:p>
            <w:pPr>
              <w:jc w:val="center"/>
              <w:spacing w:after="0"/>
              <w:rPr>
                <w:sz w:val="20"/>
                <w:szCs w:val="20"/>
                <w:color w:val="auto"/>
              </w:rPr>
            </w:pPr>
            <w:r>
              <w:rPr>
                <w:rFonts w:ascii="Arial" w:cs="Arial" w:eastAsia="Arial" w:hAnsi="Arial"/>
                <w:sz w:val="14"/>
                <w:szCs w:val="14"/>
                <w:b w:val="1"/>
                <w:bCs w:val="1"/>
                <w:color w:val="181818"/>
              </w:rPr>
              <w:t>Majority Voting for Director Elections</w:t>
            </w:r>
          </w:p>
        </w:tc>
        <w:tc>
          <w:tcPr>
            <w:tcW w:w="0" w:type="dxa"/>
            <w:vAlign w:val="bottom"/>
          </w:tcPr>
          <w:p>
            <w:pPr>
              <w:spacing w:after="0"/>
              <w:rPr>
                <w:sz w:val="1"/>
                <w:szCs w:val="1"/>
                <w:color w:val="auto"/>
              </w:rPr>
            </w:pPr>
          </w:p>
        </w:tc>
      </w:tr>
      <w:tr>
        <w:trPr>
          <w:trHeight w:val="68"/>
        </w:trPr>
        <w:tc>
          <w:tcPr>
            <w:tcW w:w="2840" w:type="dxa"/>
            <w:vAlign w:val="bottom"/>
            <w:tcBorders>
              <w:left w:val="single" w:sz="8" w:color="181818"/>
              <w:right w:val="single" w:sz="8" w:color="181818"/>
            </w:tcBorders>
            <w:vMerge w:val="restart"/>
            <w:shd w:val="clear" w:color="auto" w:fill="E5FF70"/>
          </w:tcPr>
          <w:p>
            <w:pPr>
              <w:jc w:val="center"/>
              <w:spacing w:after="0"/>
              <w:rPr>
                <w:sz w:val="20"/>
                <w:szCs w:val="20"/>
                <w:color w:val="auto"/>
              </w:rPr>
            </w:pPr>
            <w:r>
              <w:rPr>
                <w:rFonts w:ascii="Arial" w:cs="Arial" w:eastAsia="Arial" w:hAnsi="Arial"/>
                <w:sz w:val="14"/>
                <w:szCs w:val="14"/>
                <w:b w:val="1"/>
                <w:bCs w:val="1"/>
                <w:color w:val="181818"/>
              </w:rPr>
              <w:t>Independent</w:t>
            </w:r>
          </w:p>
        </w:tc>
        <w:tc>
          <w:tcPr>
            <w:tcW w:w="3140" w:type="dxa"/>
            <w:vAlign w:val="bottom"/>
            <w:tcBorders>
              <w:right w:val="single" w:sz="8" w:color="181818"/>
            </w:tcBorders>
            <w:vMerge w:val="continue"/>
            <w:shd w:val="clear" w:color="auto" w:fill="D9D9D9"/>
          </w:tcPr>
          <w:p>
            <w:pPr>
              <w:spacing w:after="0"/>
              <w:rPr>
                <w:sz w:val="5"/>
                <w:szCs w:val="5"/>
                <w:color w:val="auto"/>
              </w:rPr>
            </w:pPr>
          </w:p>
        </w:tc>
        <w:tc>
          <w:tcPr>
            <w:tcW w:w="5300" w:type="dxa"/>
            <w:vAlign w:val="bottom"/>
            <w:tcBorders>
              <w:right w:val="single" w:sz="8" w:color="181818"/>
            </w:tcBorders>
            <w:vMerge w:val="restart"/>
            <w:shd w:val="clear" w:color="auto" w:fill="AED0C7"/>
          </w:tcPr>
          <w:p>
            <w:pPr>
              <w:jc w:val="center"/>
              <w:spacing w:after="0"/>
              <w:rPr>
                <w:sz w:val="20"/>
                <w:szCs w:val="20"/>
                <w:color w:val="auto"/>
              </w:rPr>
            </w:pPr>
            <w:r>
              <w:rPr>
                <w:rFonts w:ascii="Arial" w:cs="Arial" w:eastAsia="Arial" w:hAnsi="Arial"/>
                <w:sz w:val="14"/>
                <w:szCs w:val="14"/>
                <w:b w:val="1"/>
                <w:bCs w:val="1"/>
                <w:color w:val="181818"/>
              </w:rPr>
              <w:t>with Resignation Policy</w:t>
            </w:r>
          </w:p>
        </w:tc>
        <w:tc>
          <w:tcPr>
            <w:tcW w:w="0" w:type="dxa"/>
            <w:vAlign w:val="bottom"/>
          </w:tcPr>
          <w:p>
            <w:pPr>
              <w:spacing w:after="0"/>
              <w:rPr>
                <w:sz w:val="1"/>
                <w:szCs w:val="1"/>
                <w:color w:val="auto"/>
              </w:rPr>
            </w:pPr>
          </w:p>
        </w:tc>
      </w:tr>
      <w:tr>
        <w:trPr>
          <w:trHeight w:val="148"/>
        </w:trPr>
        <w:tc>
          <w:tcPr>
            <w:tcW w:w="2840" w:type="dxa"/>
            <w:vAlign w:val="bottom"/>
            <w:tcBorders>
              <w:left w:val="single" w:sz="8" w:color="181818"/>
              <w:right w:val="single" w:sz="8" w:color="181818"/>
            </w:tcBorders>
            <w:vMerge w:val="continue"/>
            <w:shd w:val="clear" w:color="auto" w:fill="E5FF70"/>
          </w:tcPr>
          <w:p>
            <w:pPr>
              <w:spacing w:after="0"/>
              <w:rPr>
                <w:sz w:val="12"/>
                <w:szCs w:val="12"/>
                <w:color w:val="auto"/>
              </w:rPr>
            </w:pPr>
          </w:p>
        </w:tc>
        <w:tc>
          <w:tcPr>
            <w:tcW w:w="3140" w:type="dxa"/>
            <w:vAlign w:val="bottom"/>
            <w:tcBorders>
              <w:right w:val="single" w:sz="8" w:color="181818"/>
            </w:tcBorders>
            <w:vMerge w:val="restart"/>
            <w:shd w:val="clear" w:color="auto" w:fill="D9D9D9"/>
          </w:tcPr>
          <w:p>
            <w:pPr>
              <w:jc w:val="center"/>
              <w:spacing w:after="0"/>
              <w:rPr>
                <w:sz w:val="20"/>
                <w:szCs w:val="20"/>
                <w:color w:val="auto"/>
              </w:rPr>
            </w:pPr>
            <w:r>
              <w:rPr>
                <w:rFonts w:ascii="Arial" w:cs="Arial" w:eastAsia="Arial" w:hAnsi="Arial"/>
                <w:sz w:val="14"/>
                <w:szCs w:val="14"/>
                <w:b w:val="1"/>
                <w:bCs w:val="1"/>
                <w:color w:val="181818"/>
              </w:rPr>
              <w:t>Lead Independent Director</w:t>
            </w:r>
          </w:p>
        </w:tc>
        <w:tc>
          <w:tcPr>
            <w:tcW w:w="5300" w:type="dxa"/>
            <w:vAlign w:val="bottom"/>
            <w:tcBorders>
              <w:right w:val="single" w:sz="8" w:color="181818"/>
            </w:tcBorders>
            <w:vMerge w:val="continue"/>
            <w:shd w:val="clear" w:color="auto" w:fill="AED0C7"/>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40" w:type="dxa"/>
            <w:vAlign w:val="bottom"/>
            <w:tcBorders>
              <w:left w:val="single" w:sz="8" w:color="181818"/>
              <w:right w:val="single" w:sz="8" w:color="181818"/>
            </w:tcBorders>
            <w:shd w:val="clear" w:color="auto" w:fill="E5FF70"/>
          </w:tcPr>
          <w:p>
            <w:pPr>
              <w:spacing w:after="0"/>
              <w:rPr>
                <w:sz w:val="4"/>
                <w:szCs w:val="4"/>
                <w:color w:val="auto"/>
              </w:rPr>
            </w:pPr>
          </w:p>
        </w:tc>
        <w:tc>
          <w:tcPr>
            <w:tcW w:w="3140" w:type="dxa"/>
            <w:vAlign w:val="bottom"/>
            <w:tcBorders>
              <w:right w:val="single" w:sz="8" w:color="181818"/>
            </w:tcBorders>
            <w:vMerge w:val="continue"/>
            <w:shd w:val="clear" w:color="auto" w:fill="D9D9D9"/>
          </w:tcPr>
          <w:p>
            <w:pPr>
              <w:spacing w:after="0"/>
              <w:rPr>
                <w:sz w:val="4"/>
                <w:szCs w:val="4"/>
                <w:color w:val="auto"/>
              </w:rPr>
            </w:pPr>
          </w:p>
        </w:tc>
        <w:tc>
          <w:tcPr>
            <w:tcW w:w="5300" w:type="dxa"/>
            <w:vAlign w:val="bottom"/>
            <w:tcBorders>
              <w:right w:val="single" w:sz="8" w:color="181818"/>
            </w:tcBorders>
            <w:shd w:val="clear" w:color="auto" w:fill="AED0C7"/>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840" w:type="dxa"/>
            <w:vAlign w:val="bottom"/>
            <w:tcBorders>
              <w:left w:val="single" w:sz="8" w:color="181818"/>
              <w:bottom w:val="single" w:sz="8" w:color="181818"/>
              <w:right w:val="single" w:sz="8" w:color="181818"/>
            </w:tcBorders>
            <w:shd w:val="clear" w:color="auto" w:fill="E5FF70"/>
          </w:tcPr>
          <w:p>
            <w:pPr>
              <w:spacing w:after="0"/>
              <w:rPr>
                <w:sz w:val="6"/>
                <w:szCs w:val="6"/>
                <w:color w:val="auto"/>
              </w:rPr>
            </w:pPr>
          </w:p>
        </w:tc>
        <w:tc>
          <w:tcPr>
            <w:tcW w:w="3140" w:type="dxa"/>
            <w:vAlign w:val="bottom"/>
            <w:tcBorders>
              <w:bottom w:val="single" w:sz="8" w:color="181818"/>
              <w:right w:val="single" w:sz="8" w:color="181818"/>
            </w:tcBorders>
            <w:shd w:val="clear" w:color="auto" w:fill="D9D9D9"/>
          </w:tcPr>
          <w:p>
            <w:pPr>
              <w:spacing w:after="0"/>
              <w:rPr>
                <w:sz w:val="6"/>
                <w:szCs w:val="6"/>
                <w:color w:val="auto"/>
              </w:rPr>
            </w:pPr>
          </w:p>
        </w:tc>
        <w:tc>
          <w:tcPr>
            <w:tcW w:w="5300" w:type="dxa"/>
            <w:vAlign w:val="bottom"/>
            <w:tcBorders>
              <w:bottom w:val="single" w:sz="8" w:color="181818"/>
              <w:right w:val="single" w:sz="8" w:color="181818"/>
            </w:tcBorders>
            <w:shd w:val="clear" w:color="auto" w:fill="AED0C7"/>
          </w:tcPr>
          <w:p>
            <w:pPr>
              <w:spacing w:after="0"/>
              <w:rPr>
                <w:sz w:val="6"/>
                <w:szCs w:val="6"/>
                <w:color w:val="auto"/>
              </w:rPr>
            </w:pPr>
          </w:p>
        </w:tc>
        <w:tc>
          <w:tcPr>
            <w:tcW w:w="0" w:type="dxa"/>
            <w:vAlign w:val="bottom"/>
          </w:tcPr>
          <w:p>
            <w:pPr>
              <w:spacing w:after="0"/>
              <w:rPr>
                <w:sz w:val="1"/>
                <w:szCs w:val="1"/>
                <w:color w:val="auto"/>
              </w:rPr>
            </w:pPr>
          </w:p>
        </w:tc>
      </w:tr>
      <w:tr>
        <w:trPr>
          <w:trHeight w:val="937"/>
        </w:trPr>
        <w:tc>
          <w:tcPr>
            <w:tcW w:w="2840" w:type="dxa"/>
            <w:vAlign w:val="bottom"/>
            <w:tcBorders>
              <w:left w:val="single" w:sz="8" w:color="181818"/>
              <w:right w:val="single" w:sz="8" w:color="181818"/>
            </w:tcBorders>
            <w:shd w:val="clear" w:color="auto" w:fill="1B6F80"/>
          </w:tcPr>
          <w:p>
            <w:pPr>
              <w:spacing w:after="0"/>
              <w:rPr>
                <w:sz w:val="24"/>
                <w:szCs w:val="24"/>
                <w:color w:val="auto"/>
              </w:rPr>
            </w:pPr>
          </w:p>
        </w:tc>
        <w:tc>
          <w:tcPr>
            <w:tcW w:w="3140" w:type="dxa"/>
            <w:vAlign w:val="bottom"/>
            <w:tcBorders>
              <w:right w:val="single" w:sz="8" w:color="181818"/>
            </w:tcBorders>
            <w:shd w:val="clear" w:color="auto" w:fill="AED0C7"/>
          </w:tcPr>
          <w:p>
            <w:pPr>
              <w:jc w:val="center"/>
              <w:spacing w:after="0"/>
              <w:rPr>
                <w:sz w:val="20"/>
                <w:szCs w:val="20"/>
                <w:color w:val="auto"/>
              </w:rPr>
            </w:pPr>
            <w:r>
              <w:rPr>
                <w:rFonts w:ascii="Arial" w:cs="Arial" w:eastAsia="Arial" w:hAnsi="Arial"/>
                <w:sz w:val="14"/>
                <w:szCs w:val="14"/>
                <w:b w:val="1"/>
                <w:bCs w:val="1"/>
                <w:color w:val="181818"/>
              </w:rPr>
              <w:t>Regular Independent</w:t>
            </w:r>
          </w:p>
        </w:tc>
        <w:tc>
          <w:tcPr>
            <w:tcW w:w="5300" w:type="dxa"/>
            <w:vAlign w:val="bottom"/>
            <w:tcBorders>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Director Orientation and</w:t>
            </w:r>
          </w:p>
        </w:tc>
        <w:tc>
          <w:tcPr>
            <w:tcW w:w="0" w:type="dxa"/>
            <w:vAlign w:val="bottom"/>
          </w:tcPr>
          <w:p>
            <w:pPr>
              <w:spacing w:after="0"/>
              <w:rPr>
                <w:sz w:val="1"/>
                <w:szCs w:val="1"/>
                <w:color w:val="auto"/>
              </w:rPr>
            </w:pPr>
          </w:p>
        </w:tc>
      </w:tr>
      <w:tr>
        <w:trPr>
          <w:trHeight w:val="202"/>
        </w:trPr>
        <w:tc>
          <w:tcPr>
            <w:tcW w:w="2840" w:type="dxa"/>
            <w:vAlign w:val="bottom"/>
            <w:tcBorders>
              <w:left w:val="single" w:sz="8" w:color="181818"/>
              <w:right w:val="single" w:sz="8" w:color="181818"/>
            </w:tcBorders>
            <w:shd w:val="clear" w:color="auto" w:fill="1B6F80"/>
          </w:tcPr>
          <w:p>
            <w:pPr>
              <w:spacing w:after="0"/>
              <w:rPr>
                <w:sz w:val="17"/>
                <w:szCs w:val="17"/>
                <w:color w:val="auto"/>
              </w:rPr>
            </w:pPr>
          </w:p>
        </w:tc>
        <w:tc>
          <w:tcPr>
            <w:tcW w:w="3140" w:type="dxa"/>
            <w:vAlign w:val="bottom"/>
            <w:tcBorders>
              <w:right w:val="single" w:sz="8" w:color="181818"/>
            </w:tcBorders>
            <w:shd w:val="clear" w:color="auto" w:fill="AED0C7"/>
          </w:tcPr>
          <w:p>
            <w:pPr>
              <w:jc w:val="center"/>
              <w:spacing w:after="0"/>
              <w:rPr>
                <w:sz w:val="20"/>
                <w:szCs w:val="20"/>
                <w:color w:val="auto"/>
              </w:rPr>
            </w:pPr>
            <w:r>
              <w:rPr>
                <w:rFonts w:ascii="Arial" w:cs="Arial" w:eastAsia="Arial" w:hAnsi="Arial"/>
                <w:sz w:val="14"/>
                <w:szCs w:val="14"/>
                <w:b w:val="1"/>
                <w:bCs w:val="1"/>
                <w:color w:val="181818"/>
              </w:rPr>
              <w:t>Director Executive Sessions</w:t>
            </w:r>
          </w:p>
        </w:tc>
        <w:tc>
          <w:tcPr>
            <w:tcW w:w="5300" w:type="dxa"/>
            <w:vAlign w:val="bottom"/>
            <w:tcBorders>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Continuing Education</w:t>
            </w:r>
          </w:p>
        </w:tc>
        <w:tc>
          <w:tcPr>
            <w:tcW w:w="0" w:type="dxa"/>
            <w:vAlign w:val="bottom"/>
          </w:tcPr>
          <w:p>
            <w:pPr>
              <w:spacing w:after="0"/>
              <w:rPr>
                <w:sz w:val="1"/>
                <w:szCs w:val="1"/>
                <w:color w:val="auto"/>
              </w:rPr>
            </w:pPr>
          </w:p>
        </w:tc>
      </w:tr>
      <w:tr>
        <w:trPr>
          <w:trHeight w:val="137"/>
        </w:trPr>
        <w:tc>
          <w:tcPr>
            <w:tcW w:w="2840" w:type="dxa"/>
            <w:vAlign w:val="bottom"/>
            <w:tcBorders>
              <w:left w:val="single" w:sz="8" w:color="181818"/>
              <w:bottom w:val="single" w:sz="8" w:color="1B6F80"/>
              <w:right w:val="single" w:sz="8" w:color="181818"/>
            </w:tcBorders>
            <w:vMerge w:val="restart"/>
            <w:shd w:val="clear" w:color="auto" w:fill="1B6F80"/>
          </w:tcPr>
          <w:p>
            <w:pPr>
              <w:jc w:val="center"/>
              <w:spacing w:after="0"/>
              <w:rPr>
                <w:sz w:val="20"/>
                <w:szCs w:val="20"/>
                <w:color w:val="auto"/>
              </w:rPr>
            </w:pPr>
            <w:r>
              <w:rPr>
                <w:rFonts w:ascii="Arial" w:cs="Arial" w:eastAsia="Arial" w:hAnsi="Arial"/>
                <w:sz w:val="14"/>
                <w:szCs w:val="14"/>
                <w:b w:val="1"/>
                <w:bCs w:val="1"/>
                <w:color w:val="FFFFFF"/>
              </w:rPr>
              <w:t>Protections Against</w:t>
            </w:r>
          </w:p>
        </w:tc>
        <w:tc>
          <w:tcPr>
            <w:tcW w:w="3140" w:type="dxa"/>
            <w:vAlign w:val="bottom"/>
            <w:tcBorders>
              <w:bottom w:val="single" w:sz="8" w:color="181818"/>
              <w:right w:val="single" w:sz="8" w:color="181818"/>
            </w:tcBorders>
            <w:shd w:val="clear" w:color="auto" w:fill="AED0C7"/>
          </w:tcPr>
          <w:p>
            <w:pPr>
              <w:spacing w:after="0"/>
              <w:rPr>
                <w:sz w:val="11"/>
                <w:szCs w:val="11"/>
                <w:color w:val="auto"/>
              </w:rPr>
            </w:pPr>
          </w:p>
        </w:tc>
        <w:tc>
          <w:tcPr>
            <w:tcW w:w="5300" w:type="dxa"/>
            <w:vAlign w:val="bottom"/>
            <w:tcBorders>
              <w:bottom w:val="single" w:sz="8" w:color="181818"/>
              <w:right w:val="single" w:sz="8" w:color="181818"/>
            </w:tcBorders>
            <w:shd w:val="clear" w:color="auto" w:fill="1B6F80"/>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2840" w:type="dxa"/>
            <w:vAlign w:val="bottom"/>
            <w:tcBorders>
              <w:left w:val="single" w:sz="8" w:color="181818"/>
              <w:right w:val="single" w:sz="8" w:color="181818"/>
            </w:tcBorders>
            <w:vMerge w:val="continue"/>
            <w:shd w:val="clear" w:color="auto" w:fill="1B6F80"/>
          </w:tcPr>
          <w:p>
            <w:pPr>
              <w:spacing w:after="0"/>
              <w:rPr>
                <w:sz w:val="24"/>
                <w:szCs w:val="24"/>
                <w:color w:val="auto"/>
              </w:rPr>
            </w:pPr>
          </w:p>
        </w:tc>
        <w:tc>
          <w:tcPr>
            <w:tcW w:w="3140" w:type="dxa"/>
            <w:vAlign w:val="bottom"/>
            <w:tcBorders>
              <w:right w:val="single" w:sz="8" w:color="181818"/>
            </w:tcBorders>
            <w:shd w:val="clear" w:color="auto" w:fill="E5FF70"/>
          </w:tcPr>
          <w:p>
            <w:pPr>
              <w:spacing w:after="0"/>
              <w:rPr>
                <w:sz w:val="24"/>
                <w:szCs w:val="24"/>
                <w:color w:val="auto"/>
              </w:rPr>
            </w:pPr>
          </w:p>
        </w:tc>
        <w:tc>
          <w:tcPr>
            <w:tcW w:w="5300" w:type="dxa"/>
            <w:vAlign w:val="bottom"/>
            <w:tcBorders>
              <w:right w:val="single" w:sz="8" w:color="181818"/>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40" w:type="dxa"/>
            <w:vAlign w:val="bottom"/>
            <w:tcBorders>
              <w:left w:val="single" w:sz="8" w:color="181818"/>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Overboarding</w:t>
            </w:r>
          </w:p>
        </w:tc>
        <w:tc>
          <w:tcPr>
            <w:tcW w:w="3140" w:type="dxa"/>
            <w:vAlign w:val="bottom"/>
            <w:tcBorders>
              <w:right w:val="single" w:sz="8" w:color="181818"/>
            </w:tcBorders>
            <w:shd w:val="clear" w:color="auto" w:fill="E5FF70"/>
          </w:tcPr>
          <w:p>
            <w:pPr>
              <w:spacing w:after="0"/>
              <w:rPr>
                <w:sz w:val="17"/>
                <w:szCs w:val="17"/>
                <w:color w:val="auto"/>
              </w:rPr>
            </w:pPr>
          </w:p>
        </w:tc>
        <w:tc>
          <w:tcPr>
            <w:tcW w:w="5300" w:type="dxa"/>
            <w:vAlign w:val="bottom"/>
            <w:tcBorders>
              <w:right w:val="single" w:sz="8" w:color="181818"/>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2840" w:type="dxa"/>
            <w:vAlign w:val="bottom"/>
            <w:tcBorders>
              <w:left w:val="single" w:sz="8" w:color="181818"/>
              <w:right w:val="single" w:sz="8" w:color="181818"/>
            </w:tcBorders>
            <w:shd w:val="clear" w:color="auto" w:fill="1B6F80"/>
          </w:tcPr>
          <w:p>
            <w:pPr>
              <w:spacing w:after="0"/>
              <w:rPr>
                <w:sz w:val="24"/>
                <w:szCs w:val="24"/>
                <w:color w:val="auto"/>
              </w:rPr>
            </w:pPr>
          </w:p>
        </w:tc>
        <w:tc>
          <w:tcPr>
            <w:tcW w:w="3140" w:type="dxa"/>
            <w:vAlign w:val="bottom"/>
            <w:tcBorders>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Annual Review of Director</w:t>
            </w:r>
          </w:p>
        </w:tc>
        <w:tc>
          <w:tcPr>
            <w:tcW w:w="5300" w:type="dxa"/>
            <w:vAlign w:val="bottom"/>
            <w:tcBorders>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Annual Board</w:t>
            </w:r>
          </w:p>
        </w:tc>
        <w:tc>
          <w:tcPr>
            <w:tcW w:w="0" w:type="dxa"/>
            <w:vAlign w:val="bottom"/>
          </w:tcPr>
          <w:p>
            <w:pPr>
              <w:spacing w:after="0"/>
              <w:rPr>
                <w:sz w:val="1"/>
                <w:szCs w:val="1"/>
                <w:color w:val="auto"/>
              </w:rPr>
            </w:pPr>
          </w:p>
        </w:tc>
      </w:tr>
      <w:tr>
        <w:trPr>
          <w:trHeight w:val="202"/>
        </w:trPr>
        <w:tc>
          <w:tcPr>
            <w:tcW w:w="2840" w:type="dxa"/>
            <w:vAlign w:val="bottom"/>
            <w:tcBorders>
              <w:left w:val="single" w:sz="8" w:color="181818"/>
              <w:right w:val="single" w:sz="8" w:color="181818"/>
            </w:tcBorders>
            <w:shd w:val="clear" w:color="auto" w:fill="1B6F80"/>
          </w:tcPr>
          <w:p>
            <w:pPr>
              <w:spacing w:after="0"/>
              <w:rPr>
                <w:sz w:val="17"/>
                <w:szCs w:val="17"/>
                <w:color w:val="auto"/>
              </w:rPr>
            </w:pPr>
          </w:p>
        </w:tc>
        <w:tc>
          <w:tcPr>
            <w:tcW w:w="3140" w:type="dxa"/>
            <w:vAlign w:val="bottom"/>
            <w:tcBorders>
              <w:right w:val="single" w:sz="8" w:color="181818"/>
            </w:tcBorders>
            <w:shd w:val="clear" w:color="auto" w:fill="E5FF70"/>
          </w:tcPr>
          <w:p>
            <w:pPr>
              <w:jc w:val="center"/>
              <w:spacing w:after="0"/>
              <w:rPr>
                <w:sz w:val="20"/>
                <w:szCs w:val="20"/>
                <w:color w:val="auto"/>
              </w:rPr>
            </w:pPr>
            <w:r>
              <w:rPr>
                <w:rFonts w:ascii="Arial" w:cs="Arial" w:eastAsia="Arial" w:hAnsi="Arial"/>
                <w:sz w:val="14"/>
                <w:szCs w:val="14"/>
                <w:b w:val="1"/>
                <w:bCs w:val="1"/>
                <w:color w:val="181818"/>
              </w:rPr>
              <w:t>and Committee Qualifications</w:t>
            </w:r>
          </w:p>
        </w:tc>
        <w:tc>
          <w:tcPr>
            <w:tcW w:w="5300" w:type="dxa"/>
            <w:vAlign w:val="bottom"/>
            <w:tcBorders>
              <w:right w:val="single" w:sz="8" w:color="181818"/>
            </w:tcBorders>
            <w:shd w:val="clear" w:color="auto" w:fill="D9D9D9"/>
          </w:tcPr>
          <w:p>
            <w:pPr>
              <w:jc w:val="center"/>
              <w:spacing w:after="0"/>
              <w:rPr>
                <w:sz w:val="20"/>
                <w:szCs w:val="20"/>
                <w:color w:val="auto"/>
              </w:rPr>
            </w:pPr>
            <w:r>
              <w:rPr>
                <w:rFonts w:ascii="Arial" w:cs="Arial" w:eastAsia="Arial" w:hAnsi="Arial"/>
                <w:sz w:val="14"/>
                <w:szCs w:val="14"/>
                <w:b w:val="1"/>
                <w:bCs w:val="1"/>
                <w:color w:val="181818"/>
              </w:rPr>
              <w:t>Self-Evaluation</w:t>
            </w:r>
          </w:p>
        </w:tc>
        <w:tc>
          <w:tcPr>
            <w:tcW w:w="0" w:type="dxa"/>
            <w:vAlign w:val="bottom"/>
          </w:tcPr>
          <w:p>
            <w:pPr>
              <w:spacing w:after="0"/>
              <w:rPr>
                <w:sz w:val="1"/>
                <w:szCs w:val="1"/>
                <w:color w:val="auto"/>
              </w:rPr>
            </w:pPr>
          </w:p>
        </w:tc>
      </w:tr>
      <w:tr>
        <w:trPr>
          <w:trHeight w:val="137"/>
        </w:trPr>
        <w:tc>
          <w:tcPr>
            <w:tcW w:w="2840" w:type="dxa"/>
            <w:vAlign w:val="bottom"/>
            <w:tcBorders>
              <w:left w:val="single" w:sz="8" w:color="181818"/>
              <w:bottom w:val="single" w:sz="8" w:color="181818"/>
              <w:right w:val="single" w:sz="8" w:color="181818"/>
            </w:tcBorders>
            <w:shd w:val="clear" w:color="auto" w:fill="1B6F80"/>
          </w:tcPr>
          <w:p>
            <w:pPr>
              <w:spacing w:after="0"/>
              <w:rPr>
                <w:sz w:val="11"/>
                <w:szCs w:val="11"/>
                <w:color w:val="auto"/>
              </w:rPr>
            </w:pPr>
          </w:p>
        </w:tc>
        <w:tc>
          <w:tcPr>
            <w:tcW w:w="3140" w:type="dxa"/>
            <w:vAlign w:val="bottom"/>
            <w:tcBorders>
              <w:bottom w:val="single" w:sz="8" w:color="181818"/>
              <w:right w:val="single" w:sz="8" w:color="181818"/>
            </w:tcBorders>
            <w:shd w:val="clear" w:color="auto" w:fill="E5FF70"/>
          </w:tcPr>
          <w:p>
            <w:pPr>
              <w:spacing w:after="0"/>
              <w:rPr>
                <w:sz w:val="11"/>
                <w:szCs w:val="11"/>
                <w:color w:val="auto"/>
              </w:rPr>
            </w:pPr>
          </w:p>
        </w:tc>
        <w:tc>
          <w:tcPr>
            <w:tcW w:w="5300" w:type="dxa"/>
            <w:vAlign w:val="bottom"/>
            <w:tcBorders>
              <w:bottom w:val="single" w:sz="8" w:color="181818"/>
              <w:right w:val="single" w:sz="8" w:color="181818"/>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-2322195</wp:posOffset>
            </wp:positionV>
            <wp:extent cx="462915" cy="2832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62915" cy="28321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-2348230</wp:posOffset>
            </wp:positionV>
            <wp:extent cx="265430" cy="2660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5430" cy="26606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-1139190</wp:posOffset>
            </wp:positionV>
            <wp:extent cx="282575" cy="2825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-1550670</wp:posOffset>
            </wp:positionV>
            <wp:extent cx="308610" cy="3086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-1550670</wp:posOffset>
            </wp:positionV>
            <wp:extent cx="283210" cy="2832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-728345</wp:posOffset>
            </wp:positionV>
            <wp:extent cx="282575" cy="2832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-728345</wp:posOffset>
            </wp:positionV>
            <wp:extent cx="283210" cy="2832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3210" cy="28321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Board Meetings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 xml:space="preserve">Board and Annual Meetings: </w:t>
      </w:r>
      <w:r>
        <w:rPr>
          <w:rFonts w:ascii="Arial" w:cs="Arial" w:eastAsia="Arial" w:hAnsi="Arial"/>
          <w:sz w:val="16"/>
          <w:szCs w:val="16"/>
          <w:color w:val="000000"/>
        </w:rPr>
        <w:t>Our Board met 10 times during Fiscal 2026, and all incumbent directors attended all of the aggregate meetings of our Board.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We encourage our directors to attend our Annual Meetings absent extraordinary circumstances. All directors attended the 2025 Annual Meeting.</w:t>
      </w:r>
    </w:p>
    <w:p>
      <w:pPr>
        <w:spacing w:after="0" w:line="15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181818"/>
        </w:rPr>
        <w:t xml:space="preserve">Board and Committee Meetings: </w:t>
      </w:r>
      <w:r>
        <w:rPr>
          <w:rFonts w:ascii="Arial" w:cs="Arial" w:eastAsia="Arial" w:hAnsi="Arial"/>
          <w:sz w:val="16"/>
          <w:szCs w:val="16"/>
          <w:color w:val="000000"/>
        </w:rPr>
        <w:t>During Fiscal 2026, the Audit Committee met nine times, the Compensation Committee met six times, the Nominating and</w:t>
      </w:r>
      <w:r>
        <w:rPr>
          <w:rFonts w:ascii="Arial" w:cs="Arial" w:eastAsia="Arial" w:hAnsi="Arial"/>
          <w:sz w:val="16"/>
          <w:szCs w:val="16"/>
          <w:b w:val="1"/>
          <w:bCs w:val="1"/>
          <w:color w:val="181818"/>
        </w:rPr>
        <w:t xml:space="preserve"> </w:t>
      </w:r>
      <w:r>
        <w:rPr>
          <w:rFonts w:ascii="Arial" w:cs="Arial" w:eastAsia="Arial" w:hAnsi="Arial"/>
          <w:sz w:val="16"/>
          <w:szCs w:val="16"/>
          <w:color w:val="000000"/>
        </w:rPr>
        <w:t>Corporate Governance Committee met five times, the Corporate Development Committee did not meet, and the Utility Engagement Committee met twice.</w:t>
      </w:r>
    </w:p>
    <w:p>
      <w:pPr>
        <w:spacing w:after="0" w:line="2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color w:val="181818"/>
        </w:rPr>
        <w:t xml:space="preserve">Executive Sessions: </w:t>
      </w:r>
      <w:r>
        <w:rPr>
          <w:rFonts w:ascii="Arial" w:cs="Arial" w:eastAsia="Arial" w:hAnsi="Arial"/>
          <w:sz w:val="16"/>
          <w:szCs w:val="16"/>
          <w:color w:val="000000"/>
        </w:rPr>
        <w:t>Executive sessions of our independent directors are held regularly for scheduled meetings of our Board and at other times that our</w:t>
      </w:r>
      <w:r>
        <w:rPr>
          <w:rFonts w:ascii="Arial" w:cs="Arial" w:eastAsia="Arial" w:hAnsi="Arial"/>
          <w:sz w:val="16"/>
          <w:szCs w:val="16"/>
          <w:b w:val="1"/>
          <w:bCs w:val="1"/>
          <w:color w:val="181818"/>
        </w:rPr>
        <w:t xml:space="preserve"> </w:t>
      </w:r>
      <w:r>
        <w:rPr>
          <w:rFonts w:ascii="Arial" w:cs="Arial" w:eastAsia="Arial" w:hAnsi="Arial"/>
          <w:sz w:val="16"/>
          <w:szCs w:val="16"/>
          <w:color w:val="000000"/>
        </w:rPr>
        <w:t>Board deems necessary. Our Board’s policy is to hold executive sessions with and without management's presence. Our Board committees also generally meet in executive session at the end of each committee meeting.</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Board Structure</w:t>
      </w:r>
    </w:p>
    <w:p>
      <w:pPr>
        <w:spacing w:after="0" w:line="13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181818"/>
        </w:rPr>
        <w:t xml:space="preserve">Size and Composition: </w:t>
      </w:r>
      <w:r>
        <w:rPr>
          <w:rFonts w:ascii="Arial" w:cs="Arial" w:eastAsia="Arial" w:hAnsi="Arial"/>
          <w:sz w:val="16"/>
          <w:szCs w:val="16"/>
          <w:color w:val="000000"/>
        </w:rPr>
        <w:t>Our Board currently consists of seven directors. The number of directors on our Board is determined from time to time by action of</w:t>
      </w:r>
      <w:r>
        <w:rPr>
          <w:rFonts w:ascii="Arial" w:cs="Arial" w:eastAsia="Arial" w:hAnsi="Arial"/>
          <w:sz w:val="16"/>
          <w:szCs w:val="16"/>
          <w:b w:val="1"/>
          <w:bCs w:val="1"/>
          <w:color w:val="181818"/>
        </w:rPr>
        <w:t xml:space="preserve"> </w:t>
      </w:r>
      <w:r>
        <w:rPr>
          <w:rFonts w:ascii="Arial" w:cs="Arial" w:eastAsia="Arial" w:hAnsi="Arial"/>
          <w:sz w:val="16"/>
          <w:szCs w:val="16"/>
          <w:color w:val="000000"/>
        </w:rPr>
        <w:t>our Board. The Board has set the current number of directors at seven.</w:t>
      </w:r>
    </w:p>
    <w:p>
      <w:pPr>
        <w:spacing w:after="0" w:line="35" w:lineRule="exact"/>
        <w:rPr>
          <w:sz w:val="20"/>
          <w:szCs w:val="20"/>
          <w:color w:val="auto"/>
        </w:rPr>
      </w:pPr>
    </w:p>
    <w:p>
      <w:pPr>
        <w:jc w:val="both"/>
        <w:spacing w:after="0" w:line="309" w:lineRule="auto"/>
        <w:rPr>
          <w:sz w:val="20"/>
          <w:szCs w:val="20"/>
          <w:color w:val="auto"/>
        </w:rPr>
      </w:pPr>
      <w:r>
        <w:rPr>
          <w:rFonts w:ascii="Arial" w:cs="Arial" w:eastAsia="Arial" w:hAnsi="Arial"/>
          <w:sz w:val="16"/>
          <w:szCs w:val="16"/>
          <w:b w:val="1"/>
          <w:bCs w:val="1"/>
          <w:color w:val="181818"/>
        </w:rPr>
        <w:t xml:space="preserve">Board Refreshment: </w:t>
      </w:r>
      <w:r>
        <w:rPr>
          <w:rFonts w:ascii="Arial" w:cs="Arial" w:eastAsia="Arial" w:hAnsi="Arial"/>
          <w:sz w:val="16"/>
          <w:szCs w:val="16"/>
          <w:color w:val="000000"/>
        </w:rPr>
        <w:t>Consistent with its charter and annual practice, the Nominating and Corporate Governance Committee reviews the Board’s size and</w:t>
      </w:r>
      <w:r>
        <w:rPr>
          <w:rFonts w:ascii="Arial" w:cs="Arial" w:eastAsia="Arial" w:hAnsi="Arial"/>
          <w:sz w:val="16"/>
          <w:szCs w:val="16"/>
          <w:b w:val="1"/>
          <w:bCs w:val="1"/>
          <w:color w:val="181818"/>
        </w:rPr>
        <w:t xml:space="preserve"> </w:t>
      </w:r>
      <w:r>
        <w:rPr>
          <w:rFonts w:ascii="Arial" w:cs="Arial" w:eastAsia="Arial" w:hAnsi="Arial"/>
          <w:sz w:val="16"/>
          <w:szCs w:val="16"/>
          <w:color w:val="000000"/>
        </w:rPr>
        <w:t>structure and considers it relative to our ongoing needs. This periodic assessment enables the Board to update the skills and experience it seeks in the Board, as a whole and in individual directors, as our needs evolve. The Board has added six new independent directors since 2021 and believes that the refreshment process should proceed in a manner that gives new directors the benefit of interacting with those with longer tenure.</w:t>
      </w:r>
    </w:p>
    <w:p>
      <w:pPr>
        <w:spacing w:after="0" w:line="67"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The Board approved the Nominating and Corporate Governance Committee’s recommended slate of director nominees to stand for 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345440</wp:posOffset>
            </wp:positionV>
            <wp:extent cx="71577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181818"/>
        </w:rPr>
        <w:t xml:space="preserve">Board Membership Criteria: </w:t>
      </w:r>
      <w:r>
        <w:rPr>
          <w:rFonts w:ascii="Arial" w:cs="Arial" w:eastAsia="Arial" w:hAnsi="Arial"/>
          <w:sz w:val="16"/>
          <w:szCs w:val="16"/>
          <w:color w:val="000000"/>
        </w:rPr>
        <w:t>When evaluating nominees for the Board, our Nominating and Corporate Governance Committee considers various factors</w:t>
      </w:r>
      <w:r>
        <w:rPr>
          <w:rFonts w:ascii="Arial" w:cs="Arial" w:eastAsia="Arial" w:hAnsi="Arial"/>
          <w:sz w:val="16"/>
          <w:szCs w:val="16"/>
          <w:b w:val="1"/>
          <w:bCs w:val="1"/>
          <w:color w:val="181818"/>
        </w:rPr>
        <w:t xml:space="preserve"> </w:t>
      </w:r>
      <w:r>
        <w:rPr>
          <w:rFonts w:ascii="Arial" w:cs="Arial" w:eastAsia="Arial" w:hAnsi="Arial"/>
          <w:sz w:val="16"/>
          <w:szCs w:val="16"/>
          <w:color w:val="000000"/>
        </w:rPr>
        <w:t>outlined in our Corporate Governance Guidelines. These factors include an individual’s business experience, independence, judgment, industry knowledge, professional reputation, leadership, integrity, and ability to represent our stockholders' best interests. The Committee believes the Board should seek experienced public company directors with core skills in early-stage/hyper-growth companies, mergers and acquisitions, technology, regulatory matters, utilities, financial acumen, risk management, and telecommunications. The Nominating and Corporate Governance Committee does not assign specific weights to these criteria but considers them as a whole in an effort to achieve diversity on our Board. For purposes of Board membership, diversity is broadly interpreted to include a variety of opinions, perspectives, personal and professional experiences, as well as characteristics such as gender, race, ethnicity, and other differentiating factors.</w:t>
      </w:r>
    </w:p>
    <w:p>
      <w:pPr>
        <w:spacing w:after="0" w:line="6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It is critical that we recruit and nominate independent directors who help achieve the goal of a well-rounded, diverse Board that functions respectfully as a unit. Our Board includes directors with historical institutional knowledge and knowledge of the markets we serve, complemented by newer directors who bring diverse experience, perspectives, qualifications, and leadership to address the issues we face. Over the past few years, our Board has made a concerted effort to recruit new directors to achieve the right blend between experience, continuity, and new perspectives.</w:t>
      </w:r>
    </w:p>
    <w:p>
      <w:pPr>
        <w:spacing w:after="0" w:line="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color w:val="181818"/>
        </w:rPr>
        <w:t xml:space="preserve">Leadership: </w:t>
      </w:r>
      <w:r>
        <w:rPr>
          <w:rFonts w:ascii="Arial" w:cs="Arial" w:eastAsia="Arial" w:hAnsi="Arial"/>
          <w:sz w:val="16"/>
          <w:szCs w:val="16"/>
          <w:color w:val="000000"/>
        </w:rPr>
        <w:t>Our Board evaluates from time to time whether our President and CEO and Executive Chair positions should remain separate based on what</w:t>
      </w:r>
      <w:r>
        <w:rPr>
          <w:rFonts w:ascii="Arial" w:cs="Arial" w:eastAsia="Arial" w:hAnsi="Arial"/>
          <w:sz w:val="16"/>
          <w:szCs w:val="16"/>
          <w:b w:val="1"/>
          <w:bCs w:val="1"/>
          <w:color w:val="181818"/>
        </w:rPr>
        <w:t xml:space="preserve"> </w:t>
      </w:r>
      <w:r>
        <w:rPr>
          <w:rFonts w:ascii="Arial" w:cs="Arial" w:eastAsia="Arial" w:hAnsi="Arial"/>
          <w:sz w:val="16"/>
          <w:szCs w:val="16"/>
          <w:color w:val="000000"/>
        </w:rPr>
        <w:t>our Board determines is best for the Company and its stockholders. Our Board believes our leadership structure—with the roles of Executive Chair and CEO separated—enhances the accountability of our CEO to our Board and encourages balanced decision-making. In addition, our Board believes that this structure provides an environment in which the independent directors are fully informed, have significant input into the content of Board meetings, and can provide objective and thoughtful oversight of management. Our Board also separated the roles in recognition of the differences in responsibilities.</w:t>
      </w:r>
    </w:p>
    <w:p>
      <w:pPr>
        <w:spacing w:after="0" w:line="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our President and CEO is responsible for the day-to-day leadership and operations of the Company, the Executive Chair guides our Board and sets the agenda for Board meetings. Our Board has also confirmed that our Audit, Compensation, and Nominating and Corporate Governance Committees, which oversee critical matters such as the integrity of our financial statements, the compensation of executive officers, the selection and evaluation of directors, the development and implementation of corporate governance policies, and the oversight of our compliance with laws and regulations, each consists entirely of independent directors, as required by the Nasdaq listing standards. In addition, our Board has appointed Mahvash Yazdi to serve as Lead Independent Director. In such position, Ms. Yazdi facilitates communication between management, the independent directors and the Executive Chair. She also participates in setting agendas for meetings and presiding at executive sessions of our independent directors.</w:t>
      </w:r>
    </w:p>
    <w:p>
      <w:pPr>
        <w:spacing w:after="0" w:line="70"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b w:val="1"/>
          <w:bCs w:val="1"/>
          <w:color w:val="181818"/>
        </w:rPr>
        <w:t xml:space="preserve">Role in Risk Oversight: </w:t>
      </w:r>
      <w:r>
        <w:rPr>
          <w:rFonts w:ascii="Arial" w:cs="Arial" w:eastAsia="Arial" w:hAnsi="Arial"/>
          <w:sz w:val="16"/>
          <w:szCs w:val="16"/>
          <w:color w:val="000000"/>
        </w:rPr>
        <w:t>Our Board is responsible for evaluating and overseeing our risk management policies and procedures, with responsibility for certain</w:t>
      </w:r>
      <w:r>
        <w:rPr>
          <w:rFonts w:ascii="Arial" w:cs="Arial" w:eastAsia="Arial" w:hAnsi="Arial"/>
          <w:sz w:val="16"/>
          <w:szCs w:val="16"/>
          <w:b w:val="1"/>
          <w:bCs w:val="1"/>
          <w:color w:val="181818"/>
        </w:rPr>
        <w:t xml:space="preserve"> </w:t>
      </w:r>
      <w:r>
        <w:rPr>
          <w:rFonts w:ascii="Arial" w:cs="Arial" w:eastAsia="Arial" w:hAnsi="Arial"/>
          <w:sz w:val="16"/>
          <w:szCs w:val="16"/>
          <w:color w:val="000000"/>
        </w:rPr>
        <w:t>areas being assigned to the relevant Board committee. Our Board satisfies this responsibility through reports by each committee chair regarding the committee’s evaluations and recommendations, as well as through regular reports directly from management responsible for oversight of particular risks within the Company. Our Board committees address the following risk areas:</w:t>
      </w:r>
    </w:p>
    <w:p>
      <w:pPr>
        <w:spacing w:after="0" w:line="49" w:lineRule="exact"/>
        <w:rPr>
          <w:sz w:val="20"/>
          <w:szCs w:val="20"/>
          <w:color w:val="auto"/>
        </w:rPr>
      </w:pPr>
    </w:p>
    <w:p>
      <w:pPr>
        <w:ind w:left="480" w:hanging="366"/>
        <w:spacing w:after="0" w:line="344" w:lineRule="auto"/>
        <w:tabs>
          <w:tab w:leader="none" w:pos="466" w:val="left"/>
        </w:tabs>
        <w:numPr>
          <w:ilvl w:val="0"/>
          <w:numId w:val="24"/>
        </w:numPr>
        <w:rPr>
          <w:rFonts w:ascii="Arial" w:cs="Arial" w:eastAsia="Arial" w:hAnsi="Arial"/>
          <w:sz w:val="16"/>
          <w:szCs w:val="16"/>
          <w:b w:val="1"/>
          <w:bCs w:val="1"/>
          <w:color w:val="1B6F80"/>
        </w:rPr>
      </w:pPr>
      <w:r>
        <w:rPr>
          <w:rFonts w:ascii="Arial" w:cs="Arial" w:eastAsia="Arial" w:hAnsi="Arial"/>
          <w:sz w:val="16"/>
          <w:szCs w:val="16"/>
          <w:color w:val="auto"/>
        </w:rPr>
        <w:t>Our Audit Committee discusses our major financial risk exposures, and the steps management has taken to monitor and control such exposures, with management. In addition, the Audit Committee oversees our Enterprise Risk Management Program, including cybersecurity risk.</w:t>
      </w:r>
    </w:p>
    <w:p>
      <w:pPr>
        <w:spacing w:after="0" w:line="39" w:lineRule="exact"/>
        <w:rPr>
          <w:rFonts w:ascii="Arial" w:cs="Arial" w:eastAsia="Arial" w:hAnsi="Arial"/>
          <w:sz w:val="16"/>
          <w:szCs w:val="16"/>
          <w:b w:val="1"/>
          <w:bCs w:val="1"/>
          <w:color w:val="1B6F80"/>
        </w:rPr>
      </w:pPr>
    </w:p>
    <w:p>
      <w:pPr>
        <w:ind w:left="480" w:hanging="366"/>
        <w:spacing w:after="0" w:line="344" w:lineRule="auto"/>
        <w:tabs>
          <w:tab w:leader="none" w:pos="444" w:val="left"/>
        </w:tabs>
        <w:numPr>
          <w:ilvl w:val="0"/>
          <w:numId w:val="24"/>
        </w:numPr>
        <w:rPr>
          <w:rFonts w:ascii="Arial" w:cs="Arial" w:eastAsia="Arial" w:hAnsi="Arial"/>
          <w:sz w:val="16"/>
          <w:szCs w:val="16"/>
          <w:b w:val="1"/>
          <w:bCs w:val="1"/>
          <w:color w:val="1B6F80"/>
        </w:rPr>
      </w:pPr>
      <w:r>
        <w:rPr>
          <w:rFonts w:ascii="Arial" w:cs="Arial" w:eastAsia="Arial" w:hAnsi="Arial"/>
          <w:sz w:val="16"/>
          <w:szCs w:val="16"/>
          <w:color w:val="auto"/>
        </w:rPr>
        <w:t>Our Compensation Committee is responsible for overseeing the management of risks related to the retention and motivation of our executives and their compensation plans and arrangements.</w:t>
      </w:r>
    </w:p>
    <w:p>
      <w:pPr>
        <w:spacing w:after="0" w:line="39" w:lineRule="exact"/>
        <w:rPr>
          <w:rFonts w:ascii="Arial" w:cs="Arial" w:eastAsia="Arial" w:hAnsi="Arial"/>
          <w:sz w:val="16"/>
          <w:szCs w:val="16"/>
          <w:b w:val="1"/>
          <w:bCs w:val="1"/>
          <w:color w:val="1B6F80"/>
        </w:rPr>
      </w:pPr>
    </w:p>
    <w:p>
      <w:pPr>
        <w:jc w:val="both"/>
        <w:ind w:left="480" w:hanging="366"/>
        <w:spacing w:after="0" w:line="313" w:lineRule="auto"/>
        <w:tabs>
          <w:tab w:leader="none" w:pos="439" w:val="left"/>
        </w:tabs>
        <w:numPr>
          <w:ilvl w:val="0"/>
          <w:numId w:val="24"/>
        </w:numPr>
        <w:rPr>
          <w:rFonts w:ascii="Arial" w:cs="Arial" w:eastAsia="Arial" w:hAnsi="Arial"/>
          <w:sz w:val="16"/>
          <w:szCs w:val="16"/>
          <w:b w:val="1"/>
          <w:bCs w:val="1"/>
          <w:color w:val="1B6F80"/>
        </w:rPr>
      </w:pPr>
      <w:r>
        <w:rPr>
          <w:rFonts w:ascii="Arial" w:cs="Arial" w:eastAsia="Arial" w:hAnsi="Arial"/>
          <w:sz w:val="16"/>
          <w:szCs w:val="16"/>
          <w:color w:val="auto"/>
        </w:rPr>
        <w:t>Our Nominating and Corporate Governance Committee considers risks related to insider trading, disclosure requirements, and other governance matters relevant to the Company and its operations, including our compliance with the requirements established by the SEC and the Nasdaq Stock Market. In addition, the Nominating and Corporate Governance Committee oversees Environmental, Social, and Governance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71577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22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 w:hanging="326"/>
        <w:spacing w:after="0"/>
        <w:tabs>
          <w:tab w:leader="none" w:pos="440" w:val="left"/>
        </w:tabs>
        <w:numPr>
          <w:ilvl w:val="0"/>
          <w:numId w:val="25"/>
        </w:numPr>
        <w:rPr>
          <w:rFonts w:ascii="Arial" w:cs="Arial" w:eastAsia="Arial" w:hAnsi="Arial"/>
          <w:sz w:val="16"/>
          <w:szCs w:val="16"/>
          <w:b w:val="1"/>
          <w:bCs w:val="1"/>
          <w:color w:val="1B6F80"/>
        </w:rPr>
      </w:pPr>
      <w:r>
        <w:rPr>
          <w:rFonts w:ascii="Arial" w:cs="Arial" w:eastAsia="Arial" w:hAnsi="Arial"/>
          <w:sz w:val="16"/>
          <w:szCs w:val="16"/>
          <w:color w:val="auto"/>
        </w:rPr>
        <w:t>Our Corporate Development Committee is responsible for considering and assessing risks associated with our long-term strategy.</w:t>
      </w:r>
    </w:p>
    <w:p>
      <w:pPr>
        <w:spacing w:after="0" w:line="153" w:lineRule="exact"/>
        <w:rPr>
          <w:rFonts w:ascii="Arial" w:cs="Arial" w:eastAsia="Arial" w:hAnsi="Arial"/>
          <w:sz w:val="16"/>
          <w:szCs w:val="16"/>
          <w:b w:val="1"/>
          <w:bCs w:val="1"/>
          <w:color w:val="1B6F80"/>
        </w:rPr>
      </w:pPr>
    </w:p>
    <w:p>
      <w:pPr>
        <w:ind w:left="480" w:hanging="366"/>
        <w:spacing w:after="0" w:line="344" w:lineRule="auto"/>
        <w:tabs>
          <w:tab w:leader="none" w:pos="441" w:val="left"/>
        </w:tabs>
        <w:numPr>
          <w:ilvl w:val="0"/>
          <w:numId w:val="25"/>
        </w:numPr>
        <w:rPr>
          <w:rFonts w:ascii="Arial" w:cs="Arial" w:eastAsia="Arial" w:hAnsi="Arial"/>
          <w:sz w:val="16"/>
          <w:szCs w:val="16"/>
          <w:b w:val="1"/>
          <w:bCs w:val="1"/>
          <w:color w:val="1B6F80"/>
        </w:rPr>
      </w:pPr>
      <w:r>
        <w:rPr>
          <w:rFonts w:ascii="Arial" w:cs="Arial" w:eastAsia="Arial" w:hAnsi="Arial"/>
          <w:sz w:val="16"/>
          <w:szCs w:val="16"/>
          <w:color w:val="auto"/>
        </w:rPr>
        <w:t>Our Utility Engagement Committee is responsible for considering risks related to our focus on the utility industry and our related sales and marketing programs and strategies.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Our Board encourages management to promote a corporate culture that incorporates risk management into our day-to-day business operations.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Board Independence</w:t>
      </w:r>
    </w:p>
    <w:p>
      <w:pPr>
        <w:spacing w:after="0" w:line="1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has determined that each of our non-employee director nominees is independent under the independence standards established by Nasdaq and the applicable independence rules and regulations of the SEC, including the rules relating to the independence of the members of our Audit Committee, Compensation Committee, and Nominating and Corporate Governance Committee, as applicable. In addition to meeting the Nasdaq standards and the rules and regulations of the SEC, our Board requires that non-employee directors not have any relationship that would, or could reasonably appear to, materially interfere with their independent judgment.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between any of our officers and directors.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Director Orientation and Board Development</w:t>
      </w:r>
    </w:p>
    <w:p>
      <w:pPr>
        <w:spacing w:after="0" w:line="13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recognize the importance of having directors with the knowledge necessary to be collaborative and trusted resources to management. To that end, we have an extensive and well-defined board orientation for all new directors that includes a review of relevant governance matters as well as an immersion into our business practices. Additionally, we have established many opportunities for our directors to develop and improve their technical knowledge and corporate governance skill set throughout the year.</w:t>
      </w:r>
    </w:p>
    <w:p>
      <w:pPr>
        <w:spacing w:after="0" w:line="61" w:lineRule="exact"/>
        <w:rPr>
          <w:sz w:val="20"/>
          <w:szCs w:val="20"/>
          <w:color w:val="auto"/>
        </w:rPr>
      </w:pPr>
    </w:p>
    <w:p>
      <w:pPr>
        <w:ind w:left="480" w:hanging="325"/>
        <w:spacing w:after="0" w:line="217" w:lineRule="auto"/>
        <w:tabs>
          <w:tab w:leader="none" w:pos="467" w:val="left"/>
        </w:tabs>
        <w:numPr>
          <w:ilvl w:val="0"/>
          <w:numId w:val="26"/>
        </w:numPr>
        <w:rPr>
          <w:rFonts w:ascii="Arial" w:cs="Arial" w:eastAsia="Arial" w:hAnsi="Arial"/>
          <w:sz w:val="22"/>
          <w:szCs w:val="22"/>
          <w:b w:val="1"/>
          <w:bCs w:val="1"/>
          <w:color w:val="1B6F80"/>
        </w:rPr>
      </w:pPr>
      <w:r>
        <w:rPr>
          <w:rFonts w:ascii="Arial" w:cs="Arial" w:eastAsia="Arial" w:hAnsi="Arial"/>
          <w:sz w:val="16"/>
          <w:szCs w:val="16"/>
          <w:b w:val="1"/>
          <w:bCs w:val="1"/>
          <w:color w:val="auto"/>
        </w:rPr>
        <w:t xml:space="preserve">Board Immersion Series: </w:t>
      </w:r>
      <w:r>
        <w:rPr>
          <w:rFonts w:ascii="Arial" w:cs="Arial" w:eastAsia="Arial" w:hAnsi="Arial"/>
          <w:sz w:val="16"/>
          <w:szCs w:val="16"/>
          <w:color w:val="auto"/>
        </w:rPr>
        <w:t>We provide a multi-day Board Immersion Series for all directors to attend within their first six months on the Board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that directors are sufficiently informed about our business operations, strategy, and risks.</w:t>
      </w:r>
    </w:p>
    <w:p>
      <w:pPr>
        <w:spacing w:after="0" w:line="90" w:lineRule="exact"/>
        <w:rPr>
          <w:rFonts w:ascii="Arial" w:cs="Arial" w:eastAsia="Arial" w:hAnsi="Arial"/>
          <w:sz w:val="22"/>
          <w:szCs w:val="22"/>
          <w:b w:val="1"/>
          <w:bCs w:val="1"/>
          <w:color w:val="1B6F80"/>
        </w:rPr>
      </w:pPr>
    </w:p>
    <w:p>
      <w:pPr>
        <w:ind w:left="480" w:hanging="325"/>
        <w:spacing w:after="0" w:line="217" w:lineRule="auto"/>
        <w:tabs>
          <w:tab w:leader="none" w:pos="467" w:val="left"/>
        </w:tabs>
        <w:numPr>
          <w:ilvl w:val="0"/>
          <w:numId w:val="26"/>
        </w:numPr>
        <w:rPr>
          <w:rFonts w:ascii="Arial" w:cs="Arial" w:eastAsia="Arial" w:hAnsi="Arial"/>
          <w:sz w:val="22"/>
          <w:szCs w:val="22"/>
          <w:b w:val="1"/>
          <w:bCs w:val="1"/>
          <w:color w:val="1B6F80"/>
        </w:rPr>
      </w:pPr>
      <w:r>
        <w:rPr>
          <w:rFonts w:ascii="Arial" w:cs="Arial" w:eastAsia="Arial" w:hAnsi="Arial"/>
          <w:sz w:val="16"/>
          <w:szCs w:val="16"/>
          <w:b w:val="1"/>
          <w:bCs w:val="1"/>
          <w:color w:val="auto"/>
        </w:rPr>
        <w:t xml:space="preserve">Educational Series: </w:t>
      </w:r>
      <w:r>
        <w:rPr>
          <w:rFonts w:ascii="Arial" w:cs="Arial" w:eastAsia="Arial" w:hAnsi="Arial"/>
          <w:sz w:val="16"/>
          <w:szCs w:val="16"/>
          <w:color w:val="auto"/>
        </w:rPr>
        <w:t>We continue to conduct regular educational programs to provide our Board with in-depth knowledge of our technical and</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environment.</w:t>
      </w:r>
    </w:p>
    <w:p>
      <w:pPr>
        <w:spacing w:after="0" w:line="90" w:lineRule="exact"/>
        <w:rPr>
          <w:rFonts w:ascii="Arial" w:cs="Arial" w:eastAsia="Arial" w:hAnsi="Arial"/>
          <w:sz w:val="22"/>
          <w:szCs w:val="22"/>
          <w:b w:val="1"/>
          <w:bCs w:val="1"/>
          <w:color w:val="1B6F80"/>
        </w:rPr>
      </w:pPr>
    </w:p>
    <w:p>
      <w:pPr>
        <w:ind w:left="480" w:hanging="325"/>
        <w:spacing w:after="0" w:line="217" w:lineRule="auto"/>
        <w:tabs>
          <w:tab w:leader="none" w:pos="467" w:val="left"/>
        </w:tabs>
        <w:numPr>
          <w:ilvl w:val="0"/>
          <w:numId w:val="26"/>
        </w:numPr>
        <w:rPr>
          <w:rFonts w:ascii="Arial" w:cs="Arial" w:eastAsia="Arial" w:hAnsi="Arial"/>
          <w:sz w:val="22"/>
          <w:szCs w:val="22"/>
          <w:b w:val="1"/>
          <w:bCs w:val="1"/>
          <w:color w:val="1B6F80"/>
        </w:rPr>
      </w:pPr>
      <w:r>
        <w:rPr>
          <w:rFonts w:ascii="Arial" w:cs="Arial" w:eastAsia="Arial" w:hAnsi="Arial"/>
          <w:sz w:val="16"/>
          <w:szCs w:val="16"/>
          <w:b w:val="1"/>
          <w:bCs w:val="1"/>
          <w:color w:val="auto"/>
        </w:rPr>
        <w:t xml:space="preserve">Board Education Stipend: </w:t>
      </w:r>
      <w:r>
        <w:rPr>
          <w:rFonts w:ascii="Arial" w:cs="Arial" w:eastAsia="Arial" w:hAnsi="Arial"/>
          <w:sz w:val="16"/>
          <w:szCs w:val="16"/>
          <w:color w:val="auto"/>
        </w:rPr>
        <w:t>We provide each director with an annual allowance of up to $5,000 for board/governance training related to their roles on</w:t>
      </w:r>
      <w:r>
        <w:rPr>
          <w:rFonts w:ascii="Arial" w:cs="Arial" w:eastAsia="Arial" w:hAnsi="Arial"/>
          <w:sz w:val="16"/>
          <w:szCs w:val="16"/>
          <w:b w:val="1"/>
          <w:bCs w:val="1"/>
          <w:color w:val="auto"/>
        </w:rPr>
        <w:t xml:space="preserve"> </w:t>
      </w:r>
      <w:r>
        <w:rPr>
          <w:rFonts w:ascii="Arial" w:cs="Arial" w:eastAsia="Arial" w:hAnsi="Arial"/>
          <w:sz w:val="16"/>
          <w:szCs w:val="16"/>
          <w:color w:val="auto"/>
        </w:rPr>
        <w:t>our Board.</w:t>
      </w: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Stockholder Communications</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Stockholder engagement and feedback are key factors in, and a significant part of, our ongoing review of a range of issues, including company performance and strategy, corporate governance, and executive compensation. Through these interactions, we are able to better understand stockholder priorities and perspectives, as well as constructive feedback. During Fiscal 2026, our Investor Relations department and members of our management team conducted outreach and participated in investor conferences and roadshows to deepen our understanding of stockholder perspectives.</w:t>
      </w:r>
    </w:p>
    <w:p>
      <w:pPr>
        <w:spacing w:after="0" w:line="6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Stockholders may contact the Board, its committees, or individual directors, as applicable, and will receive an appropriate response on a timely basis. Stockholders wishing to formally communicate with our Board, any Board committee, the independent directors as a group or any individual director may send communications directly to us at Anterix Inc., 3 Garret Mountain Plaza, Suite 401, Woodland Park, New Jersey 07424, Attention: Chief Legal Officer and Corporate Secretary. Other than unsolicited advertising or promotional materials, all clearly marked written communications are logged, copied, and forwarded to the director(s) to whom the communication was addressed. Please note that the foregoing communication procedure does not apply to (i) stockholder proposals pursuant to Exchange Act Rule 14a-8 and communications made in connection with such proposals or (ii) service of process or any other notice in a legal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71577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Environmental, Social, and Governance Oversight</w:t>
      </w:r>
    </w:p>
    <w:p>
      <w:pPr>
        <w:spacing w:after="0" w:line="1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are guided by our core values – Integrity, Courage, Camaraderie, Transformation, and Excellence – that express how we aspire to be when we are at our best. With these values as the backbone of our corporate culture, we work tirelessly to act as responsible stewards of the environment and good corporate citizens. In addition, we are committed to governing and operating our business with the highest levels of integrity and ethics.</w:t>
      </w:r>
    </w:p>
    <w:p>
      <w:pPr>
        <w:spacing w:after="0" w:line="58"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The Board delegated primary responsibility for oversight of our Environmental, Social and Governance ("ESG") strategy and integration of ESG into our core business to the Nominating and Corporate Governance Committee. The Board has historically received regular reports from management on our ESG efforts and related topics.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driving environmental sustainability, building an inclusive organization, and maintaining high standards of 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Human Capital Management</w:t>
      </w:r>
    </w:p>
    <w:p>
      <w:pPr>
        <w:spacing w:after="0" w:line="1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success of our business depends on our ability to attract, grow, and retain talented individuals who reflect and understand the perspectives of our customers and stakeholders. We combine our deep industry expertise and operational know-how to deliver solutions that redefine what is possible for the utility industry and the communities that it serves.</w:t>
      </w:r>
    </w:p>
    <w:p>
      <w:pPr>
        <w:spacing w:after="0" w:line="58"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We are guided by our core values – Integrity, Courage, Camaraderie, Transformation, and Excellence. These values are the backbone of our corporate culture for which we work tirelessly to act as responsible stewards – to our employees, communities and other stakeholders who rely on us.</w:t>
      </w:r>
    </w:p>
    <w:p>
      <w:pPr>
        <w:spacing w:after="0" w:line="26"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We use semi-annual engagement surveys to assess organizational health, to understand how employees feel about the organization and guide our improvements for greater engagement and success. Participation is voluntary and all responses are strictly confidential.</w:t>
      </w:r>
    </w:p>
    <w:p>
      <w:pPr>
        <w:spacing w:after="0" w:line="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launched Anterix GROW ("Anterix GROW") in 2023. The focus of Anterix GROW is to instill continuous learning into everyday life, personally and professionally. Anterix GROW fosters a culture of inclusion and collaboration by providing actionable opportunities and resources. We realize that preparing for the future requires a workforce with a depth and breadth of skills. Anterix provides LinkedIn Learning subscriptions to all of our employees. Our approach to managing performance includes frequent check-ins between managers and employees on goals, career development, feedback and wellbeing. Performance and feedback discussions are initiated via the Lattice platform.</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3740" w:type="dxa"/>
            <w:vAlign w:val="bottom"/>
            <w:vMerge w:val="restart"/>
            <w:shd w:val="clear" w:color="auto" w:fill="F4F3F3"/>
          </w:tcPr>
          <w:p>
            <w:pPr>
              <w:jc w:val="center"/>
              <w:spacing w:after="0"/>
              <w:rPr>
                <w:sz w:val="20"/>
                <w:szCs w:val="20"/>
                <w:color w:val="auto"/>
              </w:rPr>
            </w:pPr>
            <w:r>
              <w:rPr>
                <w:rFonts w:ascii="Arial" w:cs="Arial" w:eastAsia="Arial" w:hAnsi="Arial"/>
                <w:sz w:val="16"/>
                <w:szCs w:val="16"/>
                <w:b w:val="1"/>
                <w:bCs w:val="1"/>
                <w:color w:val="181818"/>
              </w:rPr>
              <w:t>Attracting Top Talent</w:t>
            </w:r>
          </w:p>
        </w:tc>
        <w:tc>
          <w:tcPr>
            <w:tcW w:w="20" w:type="dxa"/>
            <w:vAlign w:val="bottom"/>
            <w:shd w:val="clear" w:color="auto" w:fill="F4F3F3"/>
          </w:tcPr>
          <w:p>
            <w:pPr>
              <w:spacing w:after="0"/>
              <w:rPr>
                <w:sz w:val="9"/>
                <w:szCs w:val="9"/>
                <w:color w:val="auto"/>
              </w:rPr>
            </w:pPr>
          </w:p>
        </w:tc>
        <w:tc>
          <w:tcPr>
            <w:tcW w:w="3740" w:type="dxa"/>
            <w:vAlign w:val="bottom"/>
            <w:vMerge w:val="restart"/>
            <w:shd w:val="clear" w:color="auto" w:fill="F4F3F3"/>
          </w:tcPr>
          <w:p>
            <w:pPr>
              <w:jc w:val="center"/>
              <w:spacing w:after="0"/>
              <w:rPr>
                <w:sz w:val="20"/>
                <w:szCs w:val="20"/>
                <w:color w:val="auto"/>
              </w:rPr>
            </w:pPr>
            <w:r>
              <w:rPr>
                <w:rFonts w:ascii="Arial" w:cs="Arial" w:eastAsia="Arial" w:hAnsi="Arial"/>
                <w:sz w:val="16"/>
                <w:szCs w:val="16"/>
                <w:b w:val="1"/>
                <w:bCs w:val="1"/>
                <w:color w:val="181818"/>
              </w:rPr>
              <w:t>Compensation &amp; Benefits</w:t>
            </w:r>
          </w:p>
        </w:tc>
        <w:tc>
          <w:tcPr>
            <w:tcW w:w="20" w:type="dxa"/>
            <w:vAlign w:val="bottom"/>
            <w:shd w:val="clear" w:color="auto" w:fill="F4F3F3"/>
          </w:tcPr>
          <w:p>
            <w:pPr>
              <w:spacing w:after="0"/>
              <w:rPr>
                <w:sz w:val="9"/>
                <w:szCs w:val="9"/>
                <w:color w:val="auto"/>
              </w:rPr>
            </w:pPr>
          </w:p>
        </w:tc>
        <w:tc>
          <w:tcPr>
            <w:tcW w:w="3740" w:type="dxa"/>
            <w:vAlign w:val="bottom"/>
            <w:vMerge w:val="restart"/>
            <w:shd w:val="clear" w:color="auto" w:fill="F4F3F3"/>
          </w:tcPr>
          <w:p>
            <w:pPr>
              <w:jc w:val="center"/>
              <w:spacing w:after="0"/>
              <w:rPr>
                <w:sz w:val="20"/>
                <w:szCs w:val="20"/>
                <w:color w:val="auto"/>
              </w:rPr>
            </w:pPr>
            <w:r>
              <w:rPr>
                <w:rFonts w:ascii="Arial" w:cs="Arial" w:eastAsia="Arial" w:hAnsi="Arial"/>
                <w:sz w:val="16"/>
                <w:szCs w:val="16"/>
                <w:b w:val="1"/>
                <w:bCs w:val="1"/>
                <w:color w:val="181818"/>
              </w:rPr>
              <w:t>Succession Planning</w:t>
            </w:r>
          </w:p>
        </w:tc>
        <w:tc>
          <w:tcPr>
            <w:tcW w:w="0" w:type="dxa"/>
            <w:vAlign w:val="bottom"/>
          </w:tcPr>
          <w:p>
            <w:pPr>
              <w:spacing w:after="0"/>
              <w:rPr>
                <w:sz w:val="1"/>
                <w:szCs w:val="1"/>
                <w:color w:val="auto"/>
              </w:rPr>
            </w:pPr>
          </w:p>
        </w:tc>
      </w:tr>
      <w:tr>
        <w:trPr>
          <w:trHeight w:val="810"/>
        </w:trPr>
        <w:tc>
          <w:tcPr>
            <w:tcW w:w="3740" w:type="dxa"/>
            <w:vAlign w:val="bottom"/>
            <w:vMerge w:val="continue"/>
            <w:shd w:val="clear" w:color="auto" w:fill="F4F3F3"/>
          </w:tcPr>
          <w:p>
            <w:pPr>
              <w:spacing w:after="0"/>
              <w:rPr>
                <w:sz w:val="24"/>
                <w:szCs w:val="24"/>
                <w:color w:val="auto"/>
              </w:rPr>
            </w:pPr>
          </w:p>
        </w:tc>
        <w:tc>
          <w:tcPr>
            <w:tcW w:w="20" w:type="dxa"/>
            <w:vAlign w:val="bottom"/>
            <w:shd w:val="clear" w:color="auto" w:fill="181818"/>
          </w:tcPr>
          <w:p>
            <w:pPr>
              <w:spacing w:after="0"/>
              <w:rPr>
                <w:sz w:val="24"/>
                <w:szCs w:val="24"/>
                <w:color w:val="auto"/>
              </w:rPr>
            </w:pPr>
          </w:p>
        </w:tc>
        <w:tc>
          <w:tcPr>
            <w:tcW w:w="3740" w:type="dxa"/>
            <w:vAlign w:val="bottom"/>
            <w:vMerge w:val="continue"/>
            <w:shd w:val="clear" w:color="auto" w:fill="F4F3F3"/>
          </w:tcPr>
          <w:p>
            <w:pPr>
              <w:spacing w:after="0"/>
              <w:rPr>
                <w:sz w:val="24"/>
                <w:szCs w:val="24"/>
                <w:color w:val="auto"/>
              </w:rPr>
            </w:pPr>
          </w:p>
        </w:tc>
        <w:tc>
          <w:tcPr>
            <w:tcW w:w="20" w:type="dxa"/>
            <w:vAlign w:val="bottom"/>
            <w:shd w:val="clear" w:color="auto" w:fill="F4F3F3"/>
          </w:tcPr>
          <w:p>
            <w:pPr>
              <w:spacing w:after="0"/>
              <w:rPr>
                <w:sz w:val="24"/>
                <w:szCs w:val="24"/>
                <w:color w:val="auto"/>
              </w:rPr>
            </w:pPr>
          </w:p>
        </w:tc>
        <w:tc>
          <w:tcPr>
            <w:tcW w:w="3740" w:type="dxa"/>
            <w:vAlign w:val="bottom"/>
            <w:vMerge w:val="continue"/>
            <w:shd w:val="clear" w:color="auto" w:fill="F4F3F3"/>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740" w:type="dxa"/>
            <w:vAlign w:val="bottom"/>
            <w:vMerge w:val="continue"/>
            <w:shd w:val="clear" w:color="auto" w:fill="F4F3F3"/>
          </w:tcPr>
          <w:p>
            <w:pPr>
              <w:spacing w:after="0"/>
              <w:rPr>
                <w:sz w:val="21"/>
                <w:szCs w:val="21"/>
                <w:color w:val="auto"/>
              </w:rPr>
            </w:pPr>
          </w:p>
        </w:tc>
        <w:tc>
          <w:tcPr>
            <w:tcW w:w="20" w:type="dxa"/>
            <w:vAlign w:val="bottom"/>
            <w:shd w:val="clear" w:color="auto" w:fill="181818"/>
          </w:tcPr>
          <w:p>
            <w:pPr>
              <w:spacing w:after="0"/>
              <w:rPr>
                <w:sz w:val="21"/>
                <w:szCs w:val="21"/>
                <w:color w:val="auto"/>
              </w:rPr>
            </w:pPr>
          </w:p>
        </w:tc>
        <w:tc>
          <w:tcPr>
            <w:tcW w:w="3740" w:type="dxa"/>
            <w:vAlign w:val="bottom"/>
            <w:vMerge w:val="continue"/>
            <w:shd w:val="clear" w:color="auto" w:fill="F4F3F3"/>
          </w:tcPr>
          <w:p>
            <w:pPr>
              <w:spacing w:after="0"/>
              <w:rPr>
                <w:sz w:val="21"/>
                <w:szCs w:val="21"/>
                <w:color w:val="auto"/>
              </w:rPr>
            </w:pPr>
          </w:p>
        </w:tc>
        <w:tc>
          <w:tcPr>
            <w:tcW w:w="20" w:type="dxa"/>
            <w:vAlign w:val="bottom"/>
            <w:shd w:val="clear" w:color="auto" w:fill="181818"/>
          </w:tcPr>
          <w:p>
            <w:pPr>
              <w:spacing w:after="0"/>
              <w:rPr>
                <w:sz w:val="21"/>
                <w:szCs w:val="21"/>
                <w:color w:val="auto"/>
              </w:rPr>
            </w:pPr>
          </w:p>
        </w:tc>
        <w:tc>
          <w:tcPr>
            <w:tcW w:w="3740" w:type="dxa"/>
            <w:vAlign w:val="bottom"/>
            <w:vMerge w:val="continue"/>
            <w:shd w:val="clear" w:color="auto" w:fill="F4F3F3"/>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7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Positions us for long-term</w:t>
            </w:r>
          </w:p>
        </w:tc>
        <w:tc>
          <w:tcPr>
            <w:tcW w:w="20" w:type="dxa"/>
            <w:vAlign w:val="bottom"/>
            <w:shd w:val="clear" w:color="auto" w:fill="181818"/>
          </w:tcPr>
          <w:p>
            <w:pPr>
              <w:spacing w:after="0"/>
              <w:rPr>
                <w:sz w:val="24"/>
                <w:szCs w:val="24"/>
                <w:color w:val="auto"/>
              </w:rPr>
            </w:pPr>
          </w:p>
        </w:tc>
        <w:tc>
          <w:tcPr>
            <w:tcW w:w="37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Provides merit-based, equitable compensation to</w:t>
            </w:r>
          </w:p>
        </w:tc>
        <w:tc>
          <w:tcPr>
            <w:tcW w:w="20" w:type="dxa"/>
            <w:vAlign w:val="bottom"/>
            <w:shd w:val="clear" w:color="auto" w:fill="181818"/>
          </w:tcPr>
          <w:p>
            <w:pPr>
              <w:spacing w:after="0"/>
              <w:rPr>
                <w:sz w:val="24"/>
                <w:szCs w:val="24"/>
                <w:color w:val="auto"/>
              </w:rPr>
            </w:pPr>
          </w:p>
        </w:tc>
        <w:tc>
          <w:tcPr>
            <w:tcW w:w="37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Ensures that top management positions can be</w:t>
            </w:r>
          </w:p>
        </w:tc>
        <w:tc>
          <w:tcPr>
            <w:tcW w:w="0" w:type="dxa"/>
            <w:vAlign w:val="bottom"/>
          </w:tcPr>
          <w:p>
            <w:pPr>
              <w:spacing w:after="0"/>
              <w:rPr>
                <w:sz w:val="1"/>
                <w:szCs w:val="1"/>
                <w:color w:val="auto"/>
              </w:rPr>
            </w:pPr>
          </w:p>
        </w:tc>
      </w:tr>
      <w:tr>
        <w:trPr>
          <w:trHeight w:val="194"/>
        </w:trPr>
        <w:tc>
          <w:tcPr>
            <w:tcW w:w="37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success</w:t>
            </w:r>
          </w:p>
        </w:tc>
        <w:tc>
          <w:tcPr>
            <w:tcW w:w="20" w:type="dxa"/>
            <w:vAlign w:val="bottom"/>
            <w:shd w:val="clear" w:color="auto" w:fill="181818"/>
          </w:tcPr>
          <w:p>
            <w:pPr>
              <w:spacing w:after="0"/>
              <w:rPr>
                <w:sz w:val="16"/>
                <w:szCs w:val="16"/>
                <w:color w:val="auto"/>
              </w:rPr>
            </w:pPr>
          </w:p>
        </w:tc>
        <w:tc>
          <w:tcPr>
            <w:tcW w:w="37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attract, retain, and recognize top talent</w:t>
            </w:r>
          </w:p>
        </w:tc>
        <w:tc>
          <w:tcPr>
            <w:tcW w:w="20" w:type="dxa"/>
            <w:vAlign w:val="bottom"/>
            <w:shd w:val="clear" w:color="auto" w:fill="181818"/>
          </w:tcPr>
          <w:p>
            <w:pPr>
              <w:spacing w:after="0"/>
              <w:rPr>
                <w:sz w:val="16"/>
                <w:szCs w:val="16"/>
                <w:color w:val="auto"/>
              </w:rPr>
            </w:pPr>
          </w:p>
        </w:tc>
        <w:tc>
          <w:tcPr>
            <w:tcW w:w="374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filled without undue interruption</w:t>
            </w:r>
          </w:p>
        </w:tc>
        <w:tc>
          <w:tcPr>
            <w:tcW w:w="0" w:type="dxa"/>
            <w:vAlign w:val="bottom"/>
          </w:tcPr>
          <w:p>
            <w:pPr>
              <w:spacing w:after="0"/>
              <w:rPr>
                <w:sz w:val="1"/>
                <w:szCs w:val="1"/>
                <w:color w:val="auto"/>
              </w:rPr>
            </w:pPr>
          </w:p>
        </w:tc>
      </w:tr>
      <w:tr>
        <w:trPr>
          <w:trHeight w:val="170"/>
        </w:trPr>
        <w:tc>
          <w:tcPr>
            <w:tcW w:w="3740" w:type="dxa"/>
            <w:vAlign w:val="bottom"/>
            <w:shd w:val="clear" w:color="auto" w:fill="F4F3F3"/>
          </w:tcPr>
          <w:p>
            <w:pPr>
              <w:spacing w:after="0"/>
              <w:rPr>
                <w:sz w:val="14"/>
                <w:szCs w:val="14"/>
                <w:color w:val="auto"/>
              </w:rPr>
            </w:pPr>
          </w:p>
        </w:tc>
        <w:tc>
          <w:tcPr>
            <w:tcW w:w="20" w:type="dxa"/>
            <w:vAlign w:val="bottom"/>
            <w:shd w:val="clear" w:color="auto" w:fill="181818"/>
          </w:tcPr>
          <w:p>
            <w:pPr>
              <w:spacing w:after="0"/>
              <w:rPr>
                <w:sz w:val="14"/>
                <w:szCs w:val="14"/>
                <w:color w:val="auto"/>
              </w:rPr>
            </w:pPr>
          </w:p>
        </w:tc>
        <w:tc>
          <w:tcPr>
            <w:tcW w:w="3740" w:type="dxa"/>
            <w:vAlign w:val="bottom"/>
            <w:shd w:val="clear" w:color="auto" w:fill="F4F3F3"/>
          </w:tcPr>
          <w:p>
            <w:pPr>
              <w:spacing w:after="0"/>
              <w:rPr>
                <w:sz w:val="14"/>
                <w:szCs w:val="14"/>
                <w:color w:val="auto"/>
              </w:rPr>
            </w:pPr>
          </w:p>
        </w:tc>
        <w:tc>
          <w:tcPr>
            <w:tcW w:w="20" w:type="dxa"/>
            <w:vAlign w:val="bottom"/>
            <w:shd w:val="clear" w:color="auto" w:fill="181818"/>
          </w:tcPr>
          <w:p>
            <w:pPr>
              <w:spacing w:after="0"/>
              <w:rPr>
                <w:sz w:val="14"/>
                <w:szCs w:val="14"/>
                <w:color w:val="auto"/>
              </w:rPr>
            </w:pPr>
          </w:p>
        </w:tc>
        <w:tc>
          <w:tcPr>
            <w:tcW w:w="3740" w:type="dxa"/>
            <w:vAlign w:val="bottom"/>
            <w:shd w:val="clear" w:color="auto" w:fill="F4F3F3"/>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-1036320</wp:posOffset>
            </wp:positionV>
            <wp:extent cx="368935" cy="3683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8935" cy="36830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-1036320</wp:posOffset>
            </wp:positionV>
            <wp:extent cx="368300" cy="3683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5781675</wp:posOffset>
            </wp:positionH>
            <wp:positionV relativeFrom="paragraph">
              <wp:posOffset>-1036320</wp:posOffset>
            </wp:positionV>
            <wp:extent cx="368300" cy="3683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8300" cy="368300"/>
                    </a:xfrm>
                    <a:prstGeom prst="rect">
                      <a:avLst/>
                    </a:prstGeom>
                    <a:noFill/>
                  </pic:spPr>
                </pic:pic>
              </a:graphicData>
            </a:graphic>
          </wp:anchor>
        </w:drawing>
      </w:r>
    </w:p>
    <w:p>
      <w:pPr>
        <w:spacing w:after="0" w:line="286"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As of March 31, 2026, we had 64 employees, 63 of which were full-time employees, including 32% female employees and 23% racially and ethnically diverse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7720" cy="5911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591185"/>
                    </a:xfrm>
                    <a:prstGeom prst="rect">
                      <a:avLst/>
                    </a:prstGeom>
                    <a:noFill/>
                  </pic:spPr>
                </pic:pic>
              </a:graphicData>
            </a:graphic>
          </wp:anchor>
        </w:drawing>
      </w:r>
    </w:p>
    <w:p>
      <w:pPr>
        <w:spacing w:after="0" w:line="266" w:lineRule="exact"/>
        <w:rPr>
          <w:sz w:val="20"/>
          <w:szCs w:val="20"/>
          <w:color w:val="auto"/>
        </w:rPr>
      </w:pPr>
    </w:p>
    <w:p>
      <w:pPr>
        <w:ind w:left="260" w:right="340"/>
        <w:spacing w:after="0" w:line="304" w:lineRule="auto"/>
        <w:rPr>
          <w:sz w:val="20"/>
          <w:szCs w:val="20"/>
          <w:color w:val="auto"/>
        </w:rPr>
      </w:pPr>
      <w:r>
        <w:rPr>
          <w:rFonts w:ascii="Arial" w:cs="Arial" w:eastAsia="Arial" w:hAnsi="Arial"/>
          <w:sz w:val="23"/>
          <w:szCs w:val="23"/>
          <w:b w:val="1"/>
          <w:bCs w:val="1"/>
          <w:color w:val="FFFFFF"/>
        </w:rPr>
        <w:t>Diversity and inclusion make our organization stronger through a variety of skills, perspectives, and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586740</wp:posOffset>
            </wp:positionV>
            <wp:extent cx="71577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24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620" w:type="dxa"/>
            <w:vAlign w:val="bottom"/>
            <w:vMerge w:val="restart"/>
            <w:shd w:val="clear" w:color="auto" w:fill="F4F3F3"/>
          </w:tcPr>
          <w:p>
            <w:pPr>
              <w:jc w:val="center"/>
              <w:spacing w:after="0"/>
              <w:rPr>
                <w:sz w:val="20"/>
                <w:szCs w:val="20"/>
                <w:color w:val="auto"/>
              </w:rPr>
            </w:pPr>
            <w:r>
              <w:rPr>
                <w:rFonts w:ascii="Arial" w:cs="Arial" w:eastAsia="Arial" w:hAnsi="Arial"/>
                <w:sz w:val="16"/>
                <w:szCs w:val="16"/>
                <w:b w:val="1"/>
                <w:bCs w:val="1"/>
                <w:color w:val="181818"/>
              </w:rPr>
              <w:t>Employee Satisfaction &amp; Engagement</w:t>
            </w:r>
          </w:p>
        </w:tc>
        <w:tc>
          <w:tcPr>
            <w:tcW w:w="20" w:type="dxa"/>
            <w:vAlign w:val="bottom"/>
            <w:shd w:val="clear" w:color="auto" w:fill="F4F3F3"/>
          </w:tcPr>
          <w:p>
            <w:pPr>
              <w:spacing w:after="0"/>
              <w:rPr>
                <w:sz w:val="9"/>
                <w:szCs w:val="9"/>
                <w:color w:val="auto"/>
              </w:rPr>
            </w:pPr>
          </w:p>
        </w:tc>
        <w:tc>
          <w:tcPr>
            <w:tcW w:w="5620" w:type="dxa"/>
            <w:vAlign w:val="bottom"/>
            <w:vMerge w:val="restart"/>
            <w:shd w:val="clear" w:color="auto" w:fill="F4F3F3"/>
          </w:tcPr>
          <w:p>
            <w:pPr>
              <w:jc w:val="center"/>
              <w:spacing w:after="0"/>
              <w:rPr>
                <w:sz w:val="20"/>
                <w:szCs w:val="20"/>
                <w:color w:val="auto"/>
              </w:rPr>
            </w:pPr>
            <w:r>
              <w:rPr>
                <w:rFonts w:ascii="Arial" w:cs="Arial" w:eastAsia="Arial" w:hAnsi="Arial"/>
                <w:sz w:val="16"/>
                <w:szCs w:val="16"/>
                <w:b w:val="1"/>
                <w:bCs w:val="1"/>
                <w:color w:val="181818"/>
              </w:rPr>
              <w:t>Training &amp; Development</w:t>
            </w:r>
          </w:p>
        </w:tc>
        <w:tc>
          <w:tcPr>
            <w:tcW w:w="0" w:type="dxa"/>
            <w:vAlign w:val="bottom"/>
          </w:tcPr>
          <w:p>
            <w:pPr>
              <w:spacing w:after="0"/>
              <w:rPr>
                <w:sz w:val="1"/>
                <w:szCs w:val="1"/>
                <w:color w:val="auto"/>
              </w:rPr>
            </w:pPr>
          </w:p>
        </w:tc>
      </w:tr>
      <w:tr>
        <w:trPr>
          <w:trHeight w:val="1059"/>
        </w:trPr>
        <w:tc>
          <w:tcPr>
            <w:tcW w:w="5620" w:type="dxa"/>
            <w:vAlign w:val="bottom"/>
            <w:vMerge w:val="continue"/>
            <w:shd w:val="clear" w:color="auto" w:fill="F4F3F3"/>
          </w:tcPr>
          <w:p>
            <w:pPr>
              <w:spacing w:after="0"/>
              <w:rPr>
                <w:sz w:val="24"/>
                <w:szCs w:val="24"/>
                <w:color w:val="auto"/>
              </w:rPr>
            </w:pPr>
          </w:p>
        </w:tc>
        <w:tc>
          <w:tcPr>
            <w:tcW w:w="20" w:type="dxa"/>
            <w:vAlign w:val="bottom"/>
            <w:shd w:val="clear" w:color="auto" w:fill="181818"/>
          </w:tcPr>
          <w:p>
            <w:pPr>
              <w:spacing w:after="0"/>
              <w:rPr>
                <w:sz w:val="24"/>
                <w:szCs w:val="24"/>
                <w:color w:val="auto"/>
              </w:rPr>
            </w:pPr>
          </w:p>
        </w:tc>
        <w:tc>
          <w:tcPr>
            <w:tcW w:w="5620" w:type="dxa"/>
            <w:vAlign w:val="bottom"/>
            <w:vMerge w:val="continue"/>
            <w:shd w:val="clear" w:color="auto" w:fill="F4F3F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Helps retain top talent and continuously enhance our performance</w:t>
            </w:r>
          </w:p>
        </w:tc>
        <w:tc>
          <w:tcPr>
            <w:tcW w:w="20" w:type="dxa"/>
            <w:vAlign w:val="bottom"/>
            <w:shd w:val="clear" w:color="auto" w:fill="181818"/>
          </w:tcPr>
          <w:p>
            <w:pPr>
              <w:spacing w:after="0"/>
              <w:rPr>
                <w:sz w:val="24"/>
                <w:szCs w:val="24"/>
                <w:color w:val="auto"/>
              </w:rPr>
            </w:pPr>
          </w:p>
        </w:tc>
        <w:tc>
          <w:tcPr>
            <w:tcW w:w="56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Helps enhance career and professional development and identify emerging</w:t>
            </w:r>
          </w:p>
        </w:tc>
        <w:tc>
          <w:tcPr>
            <w:tcW w:w="0" w:type="dxa"/>
            <w:vAlign w:val="bottom"/>
          </w:tcPr>
          <w:p>
            <w:pPr>
              <w:spacing w:after="0"/>
              <w:rPr>
                <w:sz w:val="1"/>
                <w:szCs w:val="1"/>
                <w:color w:val="auto"/>
              </w:rPr>
            </w:pPr>
          </w:p>
        </w:tc>
      </w:tr>
      <w:tr>
        <w:trPr>
          <w:trHeight w:val="194"/>
        </w:trPr>
        <w:tc>
          <w:tcPr>
            <w:tcW w:w="5620" w:type="dxa"/>
            <w:vAlign w:val="bottom"/>
            <w:shd w:val="clear" w:color="auto" w:fill="F4F3F3"/>
          </w:tcPr>
          <w:p>
            <w:pPr>
              <w:spacing w:after="0"/>
              <w:rPr>
                <w:sz w:val="16"/>
                <w:szCs w:val="16"/>
                <w:color w:val="auto"/>
              </w:rPr>
            </w:pPr>
          </w:p>
        </w:tc>
        <w:tc>
          <w:tcPr>
            <w:tcW w:w="20" w:type="dxa"/>
            <w:vAlign w:val="bottom"/>
            <w:shd w:val="clear" w:color="auto" w:fill="181818"/>
          </w:tcPr>
          <w:p>
            <w:pPr>
              <w:spacing w:after="0"/>
              <w:rPr>
                <w:sz w:val="16"/>
                <w:szCs w:val="16"/>
                <w:color w:val="auto"/>
              </w:rPr>
            </w:pPr>
          </w:p>
        </w:tc>
        <w:tc>
          <w:tcPr>
            <w:tcW w:w="562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leaders</w:t>
            </w:r>
          </w:p>
        </w:tc>
        <w:tc>
          <w:tcPr>
            <w:tcW w:w="0" w:type="dxa"/>
            <w:vAlign w:val="bottom"/>
          </w:tcPr>
          <w:p>
            <w:pPr>
              <w:spacing w:after="0"/>
              <w:rPr>
                <w:sz w:val="1"/>
                <w:szCs w:val="1"/>
                <w:color w:val="auto"/>
              </w:rPr>
            </w:pPr>
          </w:p>
        </w:tc>
      </w:tr>
      <w:tr>
        <w:trPr>
          <w:trHeight w:val="170"/>
        </w:trPr>
        <w:tc>
          <w:tcPr>
            <w:tcW w:w="5620" w:type="dxa"/>
            <w:vAlign w:val="bottom"/>
            <w:shd w:val="clear" w:color="auto" w:fill="F4F3F3"/>
          </w:tcPr>
          <w:p>
            <w:pPr>
              <w:spacing w:after="0"/>
              <w:rPr>
                <w:sz w:val="14"/>
                <w:szCs w:val="14"/>
                <w:color w:val="auto"/>
              </w:rPr>
            </w:pPr>
          </w:p>
        </w:tc>
        <w:tc>
          <w:tcPr>
            <w:tcW w:w="20" w:type="dxa"/>
            <w:vAlign w:val="bottom"/>
            <w:shd w:val="clear" w:color="auto" w:fill="181818"/>
          </w:tcPr>
          <w:p>
            <w:pPr>
              <w:spacing w:after="0"/>
              <w:rPr>
                <w:sz w:val="14"/>
                <w:szCs w:val="14"/>
                <w:color w:val="auto"/>
              </w:rPr>
            </w:pPr>
          </w:p>
        </w:tc>
        <w:tc>
          <w:tcPr>
            <w:tcW w:w="5620" w:type="dxa"/>
            <w:vAlign w:val="bottom"/>
            <w:shd w:val="clear" w:color="auto" w:fill="F4F3F3"/>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-1036320</wp:posOffset>
            </wp:positionV>
            <wp:extent cx="368300" cy="3683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-1036320</wp:posOffset>
            </wp:positionV>
            <wp:extent cx="368300" cy="3683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68300" cy="3683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Benefits and Perquisites</w:t>
      </w:r>
    </w:p>
    <w:p>
      <w:pPr>
        <w:spacing w:after="0" w:line="148"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To hire and retain the best talent, we prioritize connection. We take care of our employees by providing health benefits and services and sponsoring other initiatives designed to promote mental and physical well-being, including:</w:t>
      </w:r>
    </w:p>
    <w:p>
      <w:pPr>
        <w:spacing w:after="0" w:line="41" w:lineRule="exact"/>
        <w:rPr>
          <w:sz w:val="20"/>
          <w:szCs w:val="20"/>
          <w:color w:val="auto"/>
        </w:rPr>
      </w:pPr>
    </w:p>
    <w:p>
      <w:pPr>
        <w:ind w:left="460" w:hanging="305"/>
        <w:spacing w:after="0"/>
        <w:tabs>
          <w:tab w:leader="none" w:pos="460" w:val="left"/>
        </w:tabs>
        <w:numPr>
          <w:ilvl w:val="0"/>
          <w:numId w:val="27"/>
        </w:numPr>
        <w:rPr>
          <w:rFonts w:ascii="Arial" w:cs="Arial" w:eastAsia="Arial" w:hAnsi="Arial"/>
          <w:sz w:val="22"/>
          <w:szCs w:val="22"/>
          <w:b w:val="1"/>
          <w:bCs w:val="1"/>
          <w:color w:val="1B6F80"/>
        </w:rPr>
      </w:pPr>
      <w:r>
        <w:rPr>
          <w:rFonts w:ascii="Arial" w:cs="Arial" w:eastAsia="Arial" w:hAnsi="Arial"/>
          <w:sz w:val="16"/>
          <w:szCs w:val="16"/>
          <w:b w:val="1"/>
          <w:bCs w:val="1"/>
          <w:color w:val="auto"/>
        </w:rPr>
        <w:t>Health Insurance</w:t>
      </w:r>
    </w:p>
    <w:p>
      <w:pPr>
        <w:spacing w:after="0" w:line="83" w:lineRule="exact"/>
        <w:rPr>
          <w:rFonts w:ascii="Arial" w:cs="Arial" w:eastAsia="Arial" w:hAnsi="Arial"/>
          <w:sz w:val="22"/>
          <w:szCs w:val="22"/>
          <w:b w:val="1"/>
          <w:bCs w:val="1"/>
          <w:color w:val="1B6F80"/>
        </w:rPr>
      </w:pPr>
    </w:p>
    <w:p>
      <w:pPr>
        <w:jc w:val="both"/>
        <w:ind w:left="480"/>
        <w:spacing w:after="0" w:line="314" w:lineRule="auto"/>
        <w:rPr>
          <w:rFonts w:ascii="Arial" w:cs="Arial" w:eastAsia="Arial" w:hAnsi="Arial"/>
          <w:sz w:val="22"/>
          <w:szCs w:val="22"/>
          <w:b w:val="1"/>
          <w:bCs w:val="1"/>
          <w:color w:val="1B6F80"/>
        </w:rPr>
      </w:pPr>
      <w:r>
        <w:rPr>
          <w:rFonts w:ascii="Arial" w:cs="Arial" w:eastAsia="Arial" w:hAnsi="Arial"/>
          <w:sz w:val="16"/>
          <w:szCs w:val="16"/>
          <w:color w:val="auto"/>
        </w:rPr>
        <w:t>Our competitive benefits provide choices to meet the diverse needs of our employees. We offer a choice of medical coverage plans for prescription drug, dental, vision, life and disability coverage, and various other optional benefits. We also cover most of the cost of medical coverage, including 100% of the cost of in-network preventive care, annual physicals, and wellness exams. We also provide easy access to telehealth to ensure employees have safe and convenient access to healthcare.</w:t>
      </w:r>
    </w:p>
    <w:p>
      <w:pPr>
        <w:spacing w:after="0" w:line="36" w:lineRule="exact"/>
        <w:rPr>
          <w:rFonts w:ascii="Arial" w:cs="Arial" w:eastAsia="Arial" w:hAnsi="Arial"/>
          <w:sz w:val="22"/>
          <w:szCs w:val="22"/>
          <w:b w:val="1"/>
          <w:bCs w:val="1"/>
          <w:color w:val="1B6F80"/>
        </w:rPr>
      </w:pPr>
    </w:p>
    <w:p>
      <w:pPr>
        <w:ind w:left="460" w:hanging="305"/>
        <w:spacing w:after="0"/>
        <w:tabs>
          <w:tab w:leader="none" w:pos="460" w:val="left"/>
        </w:tabs>
        <w:numPr>
          <w:ilvl w:val="0"/>
          <w:numId w:val="27"/>
        </w:numPr>
        <w:rPr>
          <w:rFonts w:ascii="Arial" w:cs="Arial" w:eastAsia="Arial" w:hAnsi="Arial"/>
          <w:sz w:val="22"/>
          <w:szCs w:val="22"/>
          <w:b w:val="1"/>
          <w:bCs w:val="1"/>
          <w:color w:val="1B6F80"/>
        </w:rPr>
      </w:pPr>
      <w:r>
        <w:rPr>
          <w:rFonts w:ascii="Arial" w:cs="Arial" w:eastAsia="Arial" w:hAnsi="Arial"/>
          <w:sz w:val="16"/>
          <w:szCs w:val="16"/>
          <w:b w:val="1"/>
          <w:bCs w:val="1"/>
          <w:color w:val="auto"/>
        </w:rPr>
        <w:t>Parental Leave</w:t>
      </w:r>
    </w:p>
    <w:p>
      <w:pPr>
        <w:spacing w:after="0" w:line="83" w:lineRule="exact"/>
        <w:rPr>
          <w:rFonts w:ascii="Arial" w:cs="Arial" w:eastAsia="Arial" w:hAnsi="Arial"/>
          <w:sz w:val="22"/>
          <w:szCs w:val="22"/>
          <w:b w:val="1"/>
          <w:bCs w:val="1"/>
          <w:color w:val="1B6F80"/>
        </w:rPr>
      </w:pPr>
    </w:p>
    <w:p>
      <w:pPr>
        <w:ind w:left="480"/>
        <w:spacing w:after="0" w:line="340" w:lineRule="auto"/>
        <w:rPr>
          <w:rFonts w:ascii="Arial" w:cs="Arial" w:eastAsia="Arial" w:hAnsi="Arial"/>
          <w:sz w:val="22"/>
          <w:szCs w:val="22"/>
          <w:b w:val="1"/>
          <w:bCs w:val="1"/>
          <w:color w:val="1B6F80"/>
        </w:rPr>
      </w:pPr>
      <w:r>
        <w:rPr>
          <w:rFonts w:ascii="Arial" w:cs="Arial" w:eastAsia="Arial" w:hAnsi="Arial"/>
          <w:sz w:val="16"/>
          <w:szCs w:val="16"/>
          <w:color w:val="auto"/>
        </w:rPr>
        <w:t>We provide generous paid parental leave to all parents welcoming new children, including adoptive parents and gestational and surrogate carriers. We also offer a competitive adoption assistance program to reimburse employees for costs related to adopting a child.</w:t>
      </w:r>
    </w:p>
    <w:p>
      <w:pPr>
        <w:spacing w:after="0" w:line="32" w:lineRule="exact"/>
        <w:rPr>
          <w:rFonts w:ascii="Arial" w:cs="Arial" w:eastAsia="Arial" w:hAnsi="Arial"/>
          <w:sz w:val="22"/>
          <w:szCs w:val="22"/>
          <w:b w:val="1"/>
          <w:bCs w:val="1"/>
          <w:color w:val="1B6F80"/>
        </w:rPr>
      </w:pPr>
    </w:p>
    <w:p>
      <w:pPr>
        <w:ind w:left="460" w:hanging="305"/>
        <w:spacing w:after="0"/>
        <w:tabs>
          <w:tab w:leader="none" w:pos="460" w:val="left"/>
        </w:tabs>
        <w:numPr>
          <w:ilvl w:val="0"/>
          <w:numId w:val="27"/>
        </w:numPr>
        <w:rPr>
          <w:rFonts w:ascii="Arial" w:cs="Arial" w:eastAsia="Arial" w:hAnsi="Arial"/>
          <w:sz w:val="22"/>
          <w:szCs w:val="22"/>
          <w:b w:val="1"/>
          <w:bCs w:val="1"/>
          <w:color w:val="1B6F80"/>
        </w:rPr>
      </w:pPr>
      <w:r>
        <w:rPr>
          <w:rFonts w:ascii="Arial" w:cs="Arial" w:eastAsia="Arial" w:hAnsi="Arial"/>
          <w:sz w:val="16"/>
          <w:szCs w:val="16"/>
          <w:b w:val="1"/>
          <w:bCs w:val="1"/>
          <w:color w:val="auto"/>
        </w:rPr>
        <w:t>Mental Health</w:t>
      </w:r>
    </w:p>
    <w:p>
      <w:pPr>
        <w:spacing w:after="0" w:line="83" w:lineRule="exact"/>
        <w:rPr>
          <w:rFonts w:ascii="Arial" w:cs="Arial" w:eastAsia="Arial" w:hAnsi="Arial"/>
          <w:sz w:val="22"/>
          <w:szCs w:val="22"/>
          <w:b w:val="1"/>
          <w:bCs w:val="1"/>
          <w:color w:val="1B6F80"/>
        </w:rPr>
      </w:pPr>
    </w:p>
    <w:p>
      <w:pPr>
        <w:jc w:val="both"/>
        <w:ind w:left="480"/>
        <w:spacing w:after="0" w:line="308" w:lineRule="auto"/>
        <w:rPr>
          <w:rFonts w:ascii="Arial" w:cs="Arial" w:eastAsia="Arial" w:hAnsi="Arial"/>
          <w:sz w:val="22"/>
          <w:szCs w:val="22"/>
          <w:b w:val="1"/>
          <w:bCs w:val="1"/>
          <w:color w:val="1B6F80"/>
        </w:rPr>
      </w:pPr>
      <w:r>
        <w:rPr>
          <w:rFonts w:ascii="Arial" w:cs="Arial" w:eastAsia="Arial" w:hAnsi="Arial"/>
          <w:sz w:val="16"/>
          <w:szCs w:val="16"/>
          <w:color w:val="auto"/>
        </w:rPr>
        <w:t>The mental health of our employees is of the utmost importance. In addition to being transparent about the importance of mental health and sharing personal stories when possible to help destigmatize mental health issues, we provide our employees with support to address mental health issues. We provide an employee assistance program, available 24 hours a day, 365 days a year for free, professional mental health resources, substance abuse support, and assistance for financial challenges and stress management.</w:t>
      </w:r>
    </w:p>
    <w:p>
      <w:pPr>
        <w:spacing w:after="0" w:line="55" w:lineRule="exact"/>
        <w:rPr>
          <w:rFonts w:ascii="Arial" w:cs="Arial" w:eastAsia="Arial" w:hAnsi="Arial"/>
          <w:sz w:val="22"/>
          <w:szCs w:val="22"/>
          <w:b w:val="1"/>
          <w:bCs w:val="1"/>
          <w:color w:val="1B6F80"/>
        </w:rPr>
      </w:pPr>
    </w:p>
    <w:p>
      <w:pPr>
        <w:ind w:left="460" w:hanging="305"/>
        <w:spacing w:after="0"/>
        <w:tabs>
          <w:tab w:leader="none" w:pos="460" w:val="left"/>
        </w:tabs>
        <w:numPr>
          <w:ilvl w:val="0"/>
          <w:numId w:val="27"/>
        </w:numPr>
        <w:rPr>
          <w:rFonts w:ascii="Arial" w:cs="Arial" w:eastAsia="Arial" w:hAnsi="Arial"/>
          <w:sz w:val="22"/>
          <w:szCs w:val="22"/>
          <w:b w:val="1"/>
          <w:bCs w:val="1"/>
          <w:color w:val="1B6F80"/>
        </w:rPr>
      </w:pPr>
      <w:r>
        <w:rPr>
          <w:rFonts w:ascii="Arial" w:cs="Arial" w:eastAsia="Arial" w:hAnsi="Arial"/>
          <w:sz w:val="16"/>
          <w:szCs w:val="16"/>
          <w:b w:val="1"/>
          <w:bCs w:val="1"/>
          <w:color w:val="auto"/>
        </w:rPr>
        <w:t>Financial Literacy</w:t>
      </w:r>
    </w:p>
    <w:p>
      <w:pPr>
        <w:spacing w:after="0" w:line="83" w:lineRule="exact"/>
        <w:rPr>
          <w:rFonts w:ascii="Arial" w:cs="Arial" w:eastAsia="Arial" w:hAnsi="Arial"/>
          <w:sz w:val="22"/>
          <w:szCs w:val="22"/>
          <w:b w:val="1"/>
          <w:bCs w:val="1"/>
          <w:color w:val="1B6F80"/>
        </w:rPr>
      </w:pPr>
    </w:p>
    <w:p>
      <w:pPr>
        <w:ind w:left="480"/>
        <w:spacing w:after="0" w:line="340" w:lineRule="auto"/>
        <w:rPr>
          <w:rFonts w:ascii="Arial" w:cs="Arial" w:eastAsia="Arial" w:hAnsi="Arial"/>
          <w:sz w:val="22"/>
          <w:szCs w:val="22"/>
          <w:b w:val="1"/>
          <w:bCs w:val="1"/>
          <w:color w:val="1B6F80"/>
        </w:rPr>
      </w:pPr>
      <w:r>
        <w:rPr>
          <w:rFonts w:ascii="Arial" w:cs="Arial" w:eastAsia="Arial" w:hAnsi="Arial"/>
          <w:sz w:val="16"/>
          <w:szCs w:val="16"/>
          <w:color w:val="auto"/>
        </w:rPr>
        <w:t>The financial literacy of our employees is also a priority for us. We offer training and frequent communications that provide access to various resources, from basic to advanced financial concepts and topics, to meet the wide range of our employees' financial needs.</w:t>
      </w:r>
    </w:p>
    <w:p>
      <w:pPr>
        <w:spacing w:after="0" w:line="32" w:lineRule="exact"/>
        <w:rPr>
          <w:rFonts w:ascii="Arial" w:cs="Arial" w:eastAsia="Arial" w:hAnsi="Arial"/>
          <w:sz w:val="22"/>
          <w:szCs w:val="22"/>
          <w:b w:val="1"/>
          <w:bCs w:val="1"/>
          <w:color w:val="1B6F80"/>
        </w:rPr>
      </w:pPr>
    </w:p>
    <w:p>
      <w:pPr>
        <w:ind w:left="460" w:hanging="305"/>
        <w:spacing w:after="0"/>
        <w:tabs>
          <w:tab w:leader="none" w:pos="460" w:val="left"/>
        </w:tabs>
        <w:numPr>
          <w:ilvl w:val="0"/>
          <w:numId w:val="27"/>
        </w:numPr>
        <w:rPr>
          <w:rFonts w:ascii="Arial" w:cs="Arial" w:eastAsia="Arial" w:hAnsi="Arial"/>
          <w:sz w:val="22"/>
          <w:szCs w:val="22"/>
          <w:b w:val="1"/>
          <w:bCs w:val="1"/>
          <w:color w:val="1B6F80"/>
        </w:rPr>
      </w:pPr>
      <w:r>
        <w:rPr>
          <w:rFonts w:ascii="Arial" w:cs="Arial" w:eastAsia="Arial" w:hAnsi="Arial"/>
          <w:sz w:val="16"/>
          <w:szCs w:val="16"/>
          <w:b w:val="1"/>
          <w:bCs w:val="1"/>
          <w:color w:val="auto"/>
        </w:rPr>
        <w:t>Health, Safety and Wellness</w:t>
      </w:r>
    </w:p>
    <w:p>
      <w:pPr>
        <w:spacing w:after="0" w:line="83" w:lineRule="exact"/>
        <w:rPr>
          <w:rFonts w:ascii="Arial" w:cs="Arial" w:eastAsia="Arial" w:hAnsi="Arial"/>
          <w:sz w:val="22"/>
          <w:szCs w:val="22"/>
          <w:b w:val="1"/>
          <w:bCs w:val="1"/>
          <w:color w:val="1B6F80"/>
        </w:rPr>
      </w:pPr>
    </w:p>
    <w:p>
      <w:pPr>
        <w:ind w:left="480"/>
        <w:spacing w:after="0" w:line="344" w:lineRule="auto"/>
        <w:rPr>
          <w:rFonts w:ascii="Arial" w:cs="Arial" w:eastAsia="Arial" w:hAnsi="Arial"/>
          <w:sz w:val="22"/>
          <w:szCs w:val="22"/>
          <w:b w:val="1"/>
          <w:bCs w:val="1"/>
          <w:color w:val="1B6F80"/>
        </w:rPr>
      </w:pPr>
      <w:r>
        <w:rPr>
          <w:rFonts w:ascii="Arial" w:cs="Arial" w:eastAsia="Arial" w:hAnsi="Arial"/>
          <w:sz w:val="16"/>
          <w:szCs w:val="16"/>
          <w:color w:val="auto"/>
        </w:rPr>
        <w:t>We are always mindful of the safety of our employees. We have continued offering additional benefits, first introduced during the COVID-19 pandemic, to support our employees, including remote work allowance, “unplugged days” (extra time off in addition to vacation), and hybrid work schedules.</w:t>
      </w:r>
    </w:p>
    <w:p>
      <w:pPr>
        <w:spacing w:after="0" w:line="26" w:lineRule="exact"/>
        <w:rPr>
          <w:rFonts w:ascii="Arial" w:cs="Arial" w:eastAsia="Arial" w:hAnsi="Arial"/>
          <w:sz w:val="22"/>
          <w:szCs w:val="22"/>
          <w:b w:val="1"/>
          <w:bCs w:val="1"/>
          <w:color w:val="1B6F80"/>
        </w:rPr>
      </w:pPr>
    </w:p>
    <w:p>
      <w:pPr>
        <w:jc w:val="both"/>
        <w:ind w:left="480"/>
        <w:spacing w:after="0" w:line="321" w:lineRule="auto"/>
        <w:rPr>
          <w:rFonts w:ascii="Arial" w:cs="Arial" w:eastAsia="Arial" w:hAnsi="Arial"/>
          <w:sz w:val="22"/>
          <w:szCs w:val="22"/>
          <w:b w:val="1"/>
          <w:bCs w:val="1"/>
          <w:color w:val="1B6F80"/>
        </w:rPr>
      </w:pPr>
      <w:r>
        <w:rPr>
          <w:rFonts w:ascii="Arial" w:cs="Arial" w:eastAsia="Arial" w:hAnsi="Arial"/>
          <w:sz w:val="16"/>
          <w:szCs w:val="16"/>
          <w:color w:val="auto"/>
        </w:rPr>
        <w:t>We believe in openness and transparency about the importance of wellness and are constantly evaluating how best to support employees. In Fiscal 2023, our Human Resources team took part in a Mental Health Certification, which led to our annual Mental Health Awareness Week with personal/professional education, well-being exercises, and team-building events.</w:t>
      </w:r>
    </w:p>
    <w:p>
      <w:pPr>
        <w:spacing w:after="0" w:line="45" w:lineRule="exact"/>
        <w:rPr>
          <w:rFonts w:ascii="Arial" w:cs="Arial" w:eastAsia="Arial" w:hAnsi="Arial"/>
          <w:sz w:val="22"/>
          <w:szCs w:val="22"/>
          <w:b w:val="1"/>
          <w:bCs w:val="1"/>
          <w:color w:val="1B6F80"/>
        </w:rPr>
      </w:pPr>
    </w:p>
    <w:p>
      <w:pPr>
        <w:ind w:left="460" w:hanging="305"/>
        <w:spacing w:after="0"/>
        <w:tabs>
          <w:tab w:leader="none" w:pos="460" w:val="left"/>
        </w:tabs>
        <w:numPr>
          <w:ilvl w:val="0"/>
          <w:numId w:val="27"/>
        </w:numPr>
        <w:rPr>
          <w:rFonts w:ascii="Arial" w:cs="Arial" w:eastAsia="Arial" w:hAnsi="Arial"/>
          <w:sz w:val="22"/>
          <w:szCs w:val="22"/>
          <w:b w:val="1"/>
          <w:bCs w:val="1"/>
          <w:color w:val="1B6F80"/>
        </w:rPr>
      </w:pPr>
      <w:r>
        <w:rPr>
          <w:rFonts w:ascii="Arial" w:cs="Arial" w:eastAsia="Arial" w:hAnsi="Arial"/>
          <w:sz w:val="16"/>
          <w:szCs w:val="16"/>
          <w:b w:val="1"/>
          <w:bCs w:val="1"/>
          <w:color w:val="auto"/>
        </w:rPr>
        <w:t>Retirement Match</w:t>
      </w:r>
    </w:p>
    <w:p>
      <w:pPr>
        <w:spacing w:after="0" w:line="83" w:lineRule="exact"/>
        <w:rPr>
          <w:rFonts w:ascii="Arial" w:cs="Arial" w:eastAsia="Arial" w:hAnsi="Arial"/>
          <w:sz w:val="22"/>
          <w:szCs w:val="22"/>
          <w:b w:val="1"/>
          <w:bCs w:val="1"/>
          <w:color w:val="1B6F80"/>
        </w:rPr>
      </w:pPr>
    </w:p>
    <w:p>
      <w:pPr>
        <w:ind w:left="480"/>
        <w:spacing w:after="0" w:line="344" w:lineRule="auto"/>
        <w:rPr>
          <w:rFonts w:ascii="Arial" w:cs="Arial" w:eastAsia="Arial" w:hAnsi="Arial"/>
          <w:sz w:val="22"/>
          <w:szCs w:val="22"/>
          <w:b w:val="1"/>
          <w:bCs w:val="1"/>
          <w:color w:val="1B6F80"/>
        </w:rPr>
      </w:pPr>
      <w:r>
        <w:rPr>
          <w:rFonts w:ascii="Arial" w:cs="Arial" w:eastAsia="Arial" w:hAnsi="Arial"/>
          <w:sz w:val="16"/>
          <w:szCs w:val="16"/>
          <w:color w:val="auto"/>
        </w:rPr>
        <w:t>To assist with relieving additional pressure that may be associated with financial planning for the future, we match for all employees participating in the 401(k) Plan up to 3% of annual cash compensation, subject to certain limitations set forth under our 401(k) Plan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414020</wp:posOffset>
            </wp:positionV>
            <wp:extent cx="71577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Cybersecurity</w:t>
      </w:r>
    </w:p>
    <w:p>
      <w:pPr>
        <w:spacing w:after="0" w:line="1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Management regularly assesses the potential impact of cybersecurity threats and evaluates how such risks could materially affect our business strategy, operational results, and financial condition. In Fiscal 2026, we engaged an external third-party cybersecurity assessor to perform a cybersecurity assessment of the maturity and effectiveness of our information technology. Management reviews the results of such assessments and incorporates relevant observations and recommendations, as appropriate, into its ongoing cybersecurity governance, risk management, and information security efforts. The next third-party cybersecurity assessment is scheduled for Fiscal Year 2028.</w:t>
      </w:r>
    </w:p>
    <w:p>
      <w:pPr>
        <w:spacing w:after="0" w:line="54"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Each year, we purchase a cybersecurity risk insurance policy to help defray the costs associated with any covered cybersecurity incident. Although we did not experience a material cybersecurity incident during Fiscal 2026, the scope and impact of any future incident cannot be predicted.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71577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26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30" w:name="page31"/>
    <w:bookmarkEnd w:id="30"/>
    <w:p>
      <w:pPr>
        <w:ind w:left="7"/>
        <w:spacing w:after="0"/>
        <w:rPr>
          <w:sz w:val="20"/>
          <w:szCs w:val="20"/>
          <w:color w:val="auto"/>
        </w:rPr>
      </w:pPr>
      <w:r>
        <w:rPr>
          <w:rFonts w:ascii="Arial" w:cs="Arial" w:eastAsia="Arial" w:hAnsi="Arial"/>
          <w:sz w:val="41"/>
          <w:szCs w:val="41"/>
          <w:b w:val="1"/>
          <w:bCs w:val="1"/>
          <w:color w:val="181818"/>
        </w:rPr>
        <w:t>Executive Officers</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The following persons are our executive officers as of June 11, 2026.</w:t>
      </w:r>
    </w:p>
    <w:p>
      <w:pPr>
        <w:spacing w:after="0" w:line="163" w:lineRule="exact"/>
        <w:rPr>
          <w:sz w:val="20"/>
          <w:szCs w:val="20"/>
          <w:color w:val="auto"/>
        </w:rPr>
      </w:pPr>
    </w:p>
    <w:tbl>
      <w:tblPr>
        <w:tblLayout w:type="fixed"/>
        <w:tblInd w:w="17" w:type="dxa"/>
        <w:tblCellMar>
          <w:top w:w="0" w:type="dxa"/>
          <w:left w:w="0" w:type="dxa"/>
          <w:bottom w:w="0" w:type="dxa"/>
          <w:right w:w="0" w:type="dxa"/>
        </w:tblCellMar>
      </w:tblPr>
      <w:tr>
        <w:trPr>
          <w:trHeight w:val="228"/>
        </w:trPr>
        <w:tc>
          <w:tcPr>
            <w:tcW w:w="3180" w:type="dxa"/>
            <w:vAlign w:val="bottom"/>
            <w:tcBorders>
              <w:top w:val="single" w:sz="8" w:color="181818"/>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Name</w:t>
            </w:r>
          </w:p>
        </w:tc>
        <w:tc>
          <w:tcPr>
            <w:tcW w:w="1620" w:type="dxa"/>
            <w:vAlign w:val="bottom"/>
            <w:tcBorders>
              <w:top w:val="single" w:sz="8" w:color="181818"/>
            </w:tcBorders>
            <w:shd w:val="clear" w:color="auto" w:fill="1B6F80"/>
          </w:tcPr>
          <w:p>
            <w:pPr>
              <w:jc w:val="center"/>
              <w:ind w:left="348"/>
              <w:spacing w:after="0"/>
              <w:rPr>
                <w:sz w:val="20"/>
                <w:szCs w:val="20"/>
                <w:color w:val="auto"/>
              </w:rPr>
            </w:pPr>
            <w:r>
              <w:rPr>
                <w:rFonts w:ascii="Arial" w:cs="Arial" w:eastAsia="Arial" w:hAnsi="Arial"/>
                <w:sz w:val="14"/>
                <w:szCs w:val="14"/>
                <w:b w:val="1"/>
                <w:bCs w:val="1"/>
                <w:color w:val="FFFFFF"/>
              </w:rPr>
              <w:t>Age</w:t>
            </w:r>
          </w:p>
        </w:tc>
        <w:tc>
          <w:tcPr>
            <w:tcW w:w="6480" w:type="dxa"/>
            <w:vAlign w:val="bottom"/>
            <w:tcBorders>
              <w:top w:val="single" w:sz="8" w:color="181818"/>
              <w:right w:val="single" w:sz="8" w:color="181818"/>
            </w:tcBorders>
            <w:shd w:val="clear" w:color="auto" w:fill="1B6F80"/>
          </w:tcPr>
          <w:p>
            <w:pPr>
              <w:ind w:left="440"/>
              <w:spacing w:after="0"/>
              <w:rPr>
                <w:sz w:val="20"/>
                <w:szCs w:val="20"/>
                <w:color w:val="auto"/>
              </w:rPr>
            </w:pPr>
            <w:r>
              <w:rPr>
                <w:rFonts w:ascii="Arial" w:cs="Arial" w:eastAsia="Arial" w:hAnsi="Arial"/>
                <w:sz w:val="14"/>
                <w:szCs w:val="14"/>
                <w:b w:val="1"/>
                <w:bCs w:val="1"/>
                <w:color w:val="FFFFFF"/>
              </w:rPr>
              <w:t>Position with Anterix</w:t>
            </w:r>
          </w:p>
        </w:tc>
      </w:tr>
      <w:tr>
        <w:trPr>
          <w:trHeight w:val="69"/>
        </w:trPr>
        <w:tc>
          <w:tcPr>
            <w:tcW w:w="3180" w:type="dxa"/>
            <w:vAlign w:val="bottom"/>
            <w:tcBorders>
              <w:left w:val="single" w:sz="8" w:color="181818"/>
            </w:tcBorders>
            <w:shd w:val="clear" w:color="auto" w:fill="1B6F80"/>
          </w:tcPr>
          <w:p>
            <w:pPr>
              <w:spacing w:after="0"/>
              <w:rPr>
                <w:sz w:val="6"/>
                <w:szCs w:val="6"/>
                <w:color w:val="auto"/>
              </w:rPr>
            </w:pPr>
          </w:p>
        </w:tc>
        <w:tc>
          <w:tcPr>
            <w:tcW w:w="1620" w:type="dxa"/>
            <w:vAlign w:val="bottom"/>
            <w:shd w:val="clear" w:color="auto" w:fill="1B6F80"/>
          </w:tcPr>
          <w:p>
            <w:pPr>
              <w:spacing w:after="0"/>
              <w:rPr>
                <w:sz w:val="6"/>
                <w:szCs w:val="6"/>
                <w:color w:val="auto"/>
              </w:rPr>
            </w:pPr>
          </w:p>
        </w:tc>
        <w:tc>
          <w:tcPr>
            <w:tcW w:w="6480" w:type="dxa"/>
            <w:vAlign w:val="bottom"/>
            <w:tcBorders>
              <w:right w:val="single" w:sz="8" w:color="181818"/>
            </w:tcBorders>
            <w:shd w:val="clear" w:color="auto" w:fill="1B6F80"/>
          </w:tcPr>
          <w:p>
            <w:pPr>
              <w:spacing w:after="0"/>
              <w:rPr>
                <w:sz w:val="6"/>
                <w:szCs w:val="6"/>
                <w:color w:val="auto"/>
              </w:rPr>
            </w:pPr>
          </w:p>
        </w:tc>
      </w:tr>
      <w:tr>
        <w:trPr>
          <w:trHeight w:val="268"/>
        </w:trPr>
        <w:tc>
          <w:tcPr>
            <w:tcW w:w="31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Thomas R. Kuhn*</w:t>
            </w:r>
          </w:p>
        </w:tc>
        <w:tc>
          <w:tcPr>
            <w:tcW w:w="1620" w:type="dxa"/>
            <w:vAlign w:val="bottom"/>
          </w:tcPr>
          <w:p>
            <w:pPr>
              <w:jc w:val="center"/>
              <w:ind w:left="348"/>
              <w:spacing w:after="0"/>
              <w:rPr>
                <w:sz w:val="20"/>
                <w:szCs w:val="20"/>
                <w:color w:val="auto"/>
              </w:rPr>
            </w:pPr>
            <w:r>
              <w:rPr>
                <w:rFonts w:ascii="Arial" w:cs="Arial" w:eastAsia="Arial" w:hAnsi="Arial"/>
                <w:sz w:val="14"/>
                <w:szCs w:val="14"/>
                <w:color w:val="auto"/>
              </w:rPr>
              <w:t>80</w:t>
            </w:r>
          </w:p>
        </w:tc>
        <w:tc>
          <w:tcPr>
            <w:tcW w:w="6480" w:type="dxa"/>
            <w:vAlign w:val="bottom"/>
            <w:tcBorders>
              <w:right w:val="single" w:sz="8" w:color="181818"/>
            </w:tcBorders>
          </w:tcPr>
          <w:p>
            <w:pPr>
              <w:ind w:left="440"/>
              <w:spacing w:after="0"/>
              <w:rPr>
                <w:sz w:val="20"/>
                <w:szCs w:val="20"/>
                <w:color w:val="auto"/>
              </w:rPr>
            </w:pPr>
            <w:r>
              <w:rPr>
                <w:rFonts w:ascii="Arial" w:cs="Arial" w:eastAsia="Arial" w:hAnsi="Arial"/>
                <w:sz w:val="14"/>
                <w:szCs w:val="14"/>
                <w:color w:val="auto"/>
              </w:rPr>
              <w:t>Executive Chair</w:t>
            </w:r>
          </w:p>
        </w:tc>
      </w:tr>
      <w:tr>
        <w:trPr>
          <w:trHeight w:val="69"/>
        </w:trPr>
        <w:tc>
          <w:tcPr>
            <w:tcW w:w="3180" w:type="dxa"/>
            <w:vAlign w:val="bottom"/>
            <w:tcBorders>
              <w:left w:val="single" w:sz="8" w:color="181818"/>
              <w:bottom w:val="single" w:sz="8" w:color="181818"/>
            </w:tcBorders>
          </w:tcPr>
          <w:p>
            <w:pPr>
              <w:spacing w:after="0"/>
              <w:rPr>
                <w:sz w:val="6"/>
                <w:szCs w:val="6"/>
                <w:color w:val="auto"/>
              </w:rPr>
            </w:pPr>
          </w:p>
        </w:tc>
        <w:tc>
          <w:tcPr>
            <w:tcW w:w="1620" w:type="dxa"/>
            <w:vAlign w:val="bottom"/>
            <w:tcBorders>
              <w:bottom w:val="single" w:sz="8" w:color="181818"/>
            </w:tcBorders>
          </w:tcPr>
          <w:p>
            <w:pPr>
              <w:spacing w:after="0"/>
              <w:rPr>
                <w:sz w:val="6"/>
                <w:szCs w:val="6"/>
                <w:color w:val="auto"/>
              </w:rPr>
            </w:pPr>
          </w:p>
        </w:tc>
        <w:tc>
          <w:tcPr>
            <w:tcW w:w="6480" w:type="dxa"/>
            <w:vAlign w:val="bottom"/>
            <w:tcBorders>
              <w:bottom w:val="single" w:sz="8" w:color="181818"/>
              <w:right w:val="single" w:sz="8" w:color="181818"/>
            </w:tcBorders>
          </w:tcPr>
          <w:p>
            <w:pPr>
              <w:spacing w:after="0"/>
              <w:rPr>
                <w:sz w:val="6"/>
                <w:szCs w:val="6"/>
                <w:color w:val="auto"/>
              </w:rPr>
            </w:pPr>
          </w:p>
        </w:tc>
      </w:tr>
      <w:tr>
        <w:trPr>
          <w:trHeight w:val="262"/>
        </w:trPr>
        <w:tc>
          <w:tcPr>
            <w:tcW w:w="31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Scott A. Lang*</w:t>
            </w:r>
          </w:p>
        </w:tc>
        <w:tc>
          <w:tcPr>
            <w:tcW w:w="1620" w:type="dxa"/>
            <w:vAlign w:val="bottom"/>
          </w:tcPr>
          <w:p>
            <w:pPr>
              <w:jc w:val="center"/>
              <w:ind w:left="348"/>
              <w:spacing w:after="0"/>
              <w:rPr>
                <w:sz w:val="20"/>
                <w:szCs w:val="20"/>
                <w:color w:val="auto"/>
              </w:rPr>
            </w:pPr>
            <w:r>
              <w:rPr>
                <w:rFonts w:ascii="Arial" w:cs="Arial" w:eastAsia="Arial" w:hAnsi="Arial"/>
                <w:sz w:val="14"/>
                <w:szCs w:val="14"/>
                <w:color w:val="auto"/>
              </w:rPr>
              <w:t>63</w:t>
            </w:r>
          </w:p>
        </w:tc>
        <w:tc>
          <w:tcPr>
            <w:tcW w:w="6480" w:type="dxa"/>
            <w:vAlign w:val="bottom"/>
            <w:tcBorders>
              <w:right w:val="single" w:sz="8" w:color="181818"/>
            </w:tcBorders>
          </w:tcPr>
          <w:p>
            <w:pPr>
              <w:ind w:left="440"/>
              <w:spacing w:after="0"/>
              <w:rPr>
                <w:sz w:val="20"/>
                <w:szCs w:val="20"/>
                <w:color w:val="auto"/>
              </w:rPr>
            </w:pPr>
            <w:r>
              <w:rPr>
                <w:rFonts w:ascii="Arial" w:cs="Arial" w:eastAsia="Arial" w:hAnsi="Arial"/>
                <w:sz w:val="14"/>
                <w:szCs w:val="14"/>
                <w:color w:val="auto"/>
              </w:rPr>
              <w:t>President and CEO</w:t>
            </w:r>
          </w:p>
        </w:tc>
      </w:tr>
      <w:tr>
        <w:trPr>
          <w:trHeight w:val="70"/>
        </w:trPr>
        <w:tc>
          <w:tcPr>
            <w:tcW w:w="3180" w:type="dxa"/>
            <w:vAlign w:val="bottom"/>
            <w:tcBorders>
              <w:left w:val="single" w:sz="8" w:color="181818"/>
              <w:bottom w:val="single" w:sz="8" w:color="181818"/>
            </w:tcBorders>
          </w:tcPr>
          <w:p>
            <w:pPr>
              <w:spacing w:after="0"/>
              <w:rPr>
                <w:sz w:val="6"/>
                <w:szCs w:val="6"/>
                <w:color w:val="auto"/>
              </w:rPr>
            </w:pPr>
          </w:p>
        </w:tc>
        <w:tc>
          <w:tcPr>
            <w:tcW w:w="1620" w:type="dxa"/>
            <w:vAlign w:val="bottom"/>
            <w:tcBorders>
              <w:bottom w:val="single" w:sz="8" w:color="181818"/>
            </w:tcBorders>
          </w:tcPr>
          <w:p>
            <w:pPr>
              <w:spacing w:after="0"/>
              <w:rPr>
                <w:sz w:val="6"/>
                <w:szCs w:val="6"/>
                <w:color w:val="auto"/>
              </w:rPr>
            </w:pPr>
          </w:p>
        </w:tc>
        <w:tc>
          <w:tcPr>
            <w:tcW w:w="6480" w:type="dxa"/>
            <w:vAlign w:val="bottom"/>
            <w:tcBorders>
              <w:bottom w:val="single" w:sz="8" w:color="181818"/>
              <w:right w:val="single" w:sz="8" w:color="181818"/>
            </w:tcBorders>
          </w:tcPr>
          <w:p>
            <w:pPr>
              <w:spacing w:after="0"/>
              <w:rPr>
                <w:sz w:val="6"/>
                <w:szCs w:val="6"/>
                <w:color w:val="auto"/>
              </w:rPr>
            </w:pPr>
          </w:p>
        </w:tc>
      </w:tr>
      <w:tr>
        <w:trPr>
          <w:trHeight w:val="261"/>
        </w:trPr>
        <w:tc>
          <w:tcPr>
            <w:tcW w:w="31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Gena L. Ashe</w:t>
            </w:r>
          </w:p>
        </w:tc>
        <w:tc>
          <w:tcPr>
            <w:tcW w:w="1620" w:type="dxa"/>
            <w:vAlign w:val="bottom"/>
          </w:tcPr>
          <w:p>
            <w:pPr>
              <w:jc w:val="center"/>
              <w:ind w:left="348"/>
              <w:spacing w:after="0"/>
              <w:rPr>
                <w:sz w:val="20"/>
                <w:szCs w:val="20"/>
                <w:color w:val="auto"/>
              </w:rPr>
            </w:pPr>
            <w:r>
              <w:rPr>
                <w:rFonts w:ascii="Arial" w:cs="Arial" w:eastAsia="Arial" w:hAnsi="Arial"/>
                <w:sz w:val="14"/>
                <w:szCs w:val="14"/>
                <w:color w:val="auto"/>
              </w:rPr>
              <w:t>64</w:t>
            </w:r>
          </w:p>
        </w:tc>
        <w:tc>
          <w:tcPr>
            <w:tcW w:w="6480" w:type="dxa"/>
            <w:vAlign w:val="bottom"/>
            <w:tcBorders>
              <w:right w:val="single" w:sz="8" w:color="181818"/>
            </w:tcBorders>
          </w:tcPr>
          <w:p>
            <w:pPr>
              <w:ind w:left="440"/>
              <w:spacing w:after="0"/>
              <w:rPr>
                <w:sz w:val="20"/>
                <w:szCs w:val="20"/>
                <w:color w:val="auto"/>
              </w:rPr>
            </w:pPr>
            <w:r>
              <w:rPr>
                <w:rFonts w:ascii="Arial" w:cs="Arial" w:eastAsia="Arial" w:hAnsi="Arial"/>
                <w:sz w:val="14"/>
                <w:szCs w:val="14"/>
                <w:color w:val="auto"/>
              </w:rPr>
              <w:t>Chief Legal Officer and Corporate Secretary</w:t>
            </w:r>
          </w:p>
        </w:tc>
      </w:tr>
      <w:tr>
        <w:trPr>
          <w:trHeight w:val="56"/>
        </w:trPr>
        <w:tc>
          <w:tcPr>
            <w:tcW w:w="3180" w:type="dxa"/>
            <w:vAlign w:val="bottom"/>
            <w:tcBorders>
              <w:left w:val="single" w:sz="8" w:color="181818"/>
              <w:bottom w:val="single" w:sz="8" w:color="181818"/>
            </w:tcBorders>
          </w:tcPr>
          <w:p>
            <w:pPr>
              <w:spacing w:after="0"/>
              <w:rPr>
                <w:sz w:val="4"/>
                <w:szCs w:val="4"/>
                <w:color w:val="auto"/>
              </w:rPr>
            </w:pPr>
          </w:p>
        </w:tc>
        <w:tc>
          <w:tcPr>
            <w:tcW w:w="1620" w:type="dxa"/>
            <w:vAlign w:val="bottom"/>
            <w:tcBorders>
              <w:bottom w:val="single" w:sz="8" w:color="181818"/>
            </w:tcBorders>
          </w:tcPr>
          <w:p>
            <w:pPr>
              <w:spacing w:after="0"/>
              <w:rPr>
                <w:sz w:val="4"/>
                <w:szCs w:val="4"/>
                <w:color w:val="auto"/>
              </w:rPr>
            </w:pPr>
          </w:p>
        </w:tc>
        <w:tc>
          <w:tcPr>
            <w:tcW w:w="6480" w:type="dxa"/>
            <w:vAlign w:val="bottom"/>
            <w:tcBorders>
              <w:bottom w:val="single" w:sz="8" w:color="181818"/>
              <w:right w:val="single" w:sz="8" w:color="181818"/>
            </w:tcBorders>
          </w:tcPr>
          <w:p>
            <w:pPr>
              <w:spacing w:after="0"/>
              <w:rPr>
                <w:sz w:val="4"/>
                <w:szCs w:val="4"/>
                <w:color w:val="auto"/>
              </w:rPr>
            </w:pPr>
          </w:p>
        </w:tc>
      </w:tr>
      <w:tr>
        <w:trPr>
          <w:trHeight w:val="261"/>
        </w:trPr>
        <w:tc>
          <w:tcPr>
            <w:tcW w:w="31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Christopher Guttman-McCabe</w:t>
            </w:r>
          </w:p>
        </w:tc>
        <w:tc>
          <w:tcPr>
            <w:tcW w:w="1620" w:type="dxa"/>
            <w:vAlign w:val="bottom"/>
          </w:tcPr>
          <w:p>
            <w:pPr>
              <w:jc w:val="center"/>
              <w:ind w:left="348"/>
              <w:spacing w:after="0"/>
              <w:rPr>
                <w:sz w:val="20"/>
                <w:szCs w:val="20"/>
                <w:color w:val="auto"/>
              </w:rPr>
            </w:pPr>
            <w:r>
              <w:rPr>
                <w:rFonts w:ascii="Arial" w:cs="Arial" w:eastAsia="Arial" w:hAnsi="Arial"/>
                <w:sz w:val="14"/>
                <w:szCs w:val="14"/>
                <w:color w:val="auto"/>
              </w:rPr>
              <w:t>58</w:t>
            </w:r>
          </w:p>
        </w:tc>
        <w:tc>
          <w:tcPr>
            <w:tcW w:w="6480" w:type="dxa"/>
            <w:vAlign w:val="bottom"/>
            <w:tcBorders>
              <w:right w:val="single" w:sz="8" w:color="181818"/>
            </w:tcBorders>
          </w:tcPr>
          <w:p>
            <w:pPr>
              <w:ind w:left="440"/>
              <w:spacing w:after="0"/>
              <w:rPr>
                <w:sz w:val="20"/>
                <w:szCs w:val="20"/>
                <w:color w:val="auto"/>
              </w:rPr>
            </w:pPr>
            <w:r>
              <w:rPr>
                <w:rFonts w:ascii="Arial" w:cs="Arial" w:eastAsia="Arial" w:hAnsi="Arial"/>
                <w:sz w:val="14"/>
                <w:szCs w:val="14"/>
                <w:color w:val="auto"/>
              </w:rPr>
              <w:t>Chief Regulatory and Communications Officer</w:t>
            </w:r>
          </w:p>
        </w:tc>
      </w:tr>
      <w:tr>
        <w:trPr>
          <w:trHeight w:val="70"/>
        </w:trPr>
        <w:tc>
          <w:tcPr>
            <w:tcW w:w="3180" w:type="dxa"/>
            <w:vAlign w:val="bottom"/>
            <w:tcBorders>
              <w:left w:val="single" w:sz="8" w:color="181818"/>
              <w:bottom w:val="single" w:sz="8" w:color="181818"/>
            </w:tcBorders>
          </w:tcPr>
          <w:p>
            <w:pPr>
              <w:spacing w:after="0"/>
              <w:rPr>
                <w:sz w:val="6"/>
                <w:szCs w:val="6"/>
                <w:color w:val="auto"/>
              </w:rPr>
            </w:pPr>
          </w:p>
        </w:tc>
        <w:tc>
          <w:tcPr>
            <w:tcW w:w="1620" w:type="dxa"/>
            <w:vAlign w:val="bottom"/>
            <w:tcBorders>
              <w:bottom w:val="single" w:sz="8" w:color="181818"/>
            </w:tcBorders>
          </w:tcPr>
          <w:p>
            <w:pPr>
              <w:spacing w:after="0"/>
              <w:rPr>
                <w:sz w:val="6"/>
                <w:szCs w:val="6"/>
                <w:color w:val="auto"/>
              </w:rPr>
            </w:pPr>
          </w:p>
        </w:tc>
        <w:tc>
          <w:tcPr>
            <w:tcW w:w="6480" w:type="dxa"/>
            <w:vAlign w:val="bottom"/>
            <w:tcBorders>
              <w:bottom w:val="single" w:sz="8" w:color="181818"/>
              <w:right w:val="single" w:sz="8" w:color="181818"/>
            </w:tcBorders>
          </w:tcPr>
          <w:p>
            <w:pPr>
              <w:spacing w:after="0"/>
              <w:rPr>
                <w:sz w:val="6"/>
                <w:szCs w:val="6"/>
                <w:color w:val="auto"/>
              </w:rPr>
            </w:pPr>
          </w:p>
        </w:tc>
      </w:tr>
      <w:tr>
        <w:trPr>
          <w:trHeight w:val="261"/>
        </w:trPr>
        <w:tc>
          <w:tcPr>
            <w:tcW w:w="31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Kimberly Green-Kerr</w:t>
            </w:r>
          </w:p>
        </w:tc>
        <w:tc>
          <w:tcPr>
            <w:tcW w:w="1620" w:type="dxa"/>
            <w:vAlign w:val="bottom"/>
          </w:tcPr>
          <w:p>
            <w:pPr>
              <w:jc w:val="center"/>
              <w:ind w:left="348"/>
              <w:spacing w:after="0"/>
              <w:rPr>
                <w:sz w:val="20"/>
                <w:szCs w:val="20"/>
                <w:color w:val="auto"/>
              </w:rPr>
            </w:pPr>
            <w:r>
              <w:rPr>
                <w:rFonts w:ascii="Arial" w:cs="Arial" w:eastAsia="Arial" w:hAnsi="Arial"/>
                <w:sz w:val="14"/>
                <w:szCs w:val="14"/>
                <w:color w:val="auto"/>
              </w:rPr>
              <w:t>60</w:t>
            </w:r>
          </w:p>
        </w:tc>
        <w:tc>
          <w:tcPr>
            <w:tcW w:w="6480" w:type="dxa"/>
            <w:vAlign w:val="bottom"/>
            <w:tcBorders>
              <w:right w:val="single" w:sz="8" w:color="181818"/>
            </w:tcBorders>
          </w:tcPr>
          <w:p>
            <w:pPr>
              <w:ind w:left="440"/>
              <w:spacing w:after="0"/>
              <w:rPr>
                <w:sz w:val="20"/>
                <w:szCs w:val="20"/>
                <w:color w:val="auto"/>
              </w:rPr>
            </w:pPr>
            <w:r>
              <w:rPr>
                <w:rFonts w:ascii="Arial" w:cs="Arial" w:eastAsia="Arial" w:hAnsi="Arial"/>
                <w:sz w:val="14"/>
                <w:szCs w:val="14"/>
                <w:color w:val="auto"/>
              </w:rPr>
              <w:t>Chief Revenue Officer</w:t>
            </w:r>
          </w:p>
        </w:tc>
      </w:tr>
      <w:tr>
        <w:trPr>
          <w:trHeight w:val="70"/>
        </w:trPr>
        <w:tc>
          <w:tcPr>
            <w:tcW w:w="3180" w:type="dxa"/>
            <w:vAlign w:val="bottom"/>
            <w:tcBorders>
              <w:left w:val="single" w:sz="8" w:color="181818"/>
              <w:bottom w:val="single" w:sz="8" w:color="181818"/>
            </w:tcBorders>
          </w:tcPr>
          <w:p>
            <w:pPr>
              <w:spacing w:after="0"/>
              <w:rPr>
                <w:sz w:val="6"/>
                <w:szCs w:val="6"/>
                <w:color w:val="auto"/>
              </w:rPr>
            </w:pPr>
          </w:p>
        </w:tc>
        <w:tc>
          <w:tcPr>
            <w:tcW w:w="1620" w:type="dxa"/>
            <w:vAlign w:val="bottom"/>
            <w:tcBorders>
              <w:bottom w:val="single" w:sz="8" w:color="181818"/>
            </w:tcBorders>
          </w:tcPr>
          <w:p>
            <w:pPr>
              <w:spacing w:after="0"/>
              <w:rPr>
                <w:sz w:val="6"/>
                <w:szCs w:val="6"/>
                <w:color w:val="auto"/>
              </w:rPr>
            </w:pPr>
          </w:p>
        </w:tc>
        <w:tc>
          <w:tcPr>
            <w:tcW w:w="6480" w:type="dxa"/>
            <w:vAlign w:val="bottom"/>
            <w:tcBorders>
              <w:bottom w:val="single" w:sz="8" w:color="181818"/>
              <w:right w:val="single" w:sz="8" w:color="181818"/>
            </w:tcBorders>
          </w:tcPr>
          <w:p>
            <w:pPr>
              <w:spacing w:after="0"/>
              <w:rPr>
                <w:sz w:val="6"/>
                <w:szCs w:val="6"/>
                <w:color w:val="auto"/>
              </w:rPr>
            </w:pPr>
          </w:p>
        </w:tc>
      </w:tr>
      <w:tr>
        <w:trPr>
          <w:trHeight w:val="261"/>
        </w:trPr>
        <w:tc>
          <w:tcPr>
            <w:tcW w:w="31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Elena Marquez</w:t>
            </w:r>
          </w:p>
        </w:tc>
        <w:tc>
          <w:tcPr>
            <w:tcW w:w="1620" w:type="dxa"/>
            <w:vAlign w:val="bottom"/>
          </w:tcPr>
          <w:p>
            <w:pPr>
              <w:jc w:val="center"/>
              <w:ind w:left="348"/>
              <w:spacing w:after="0"/>
              <w:rPr>
                <w:sz w:val="20"/>
                <w:szCs w:val="20"/>
                <w:color w:val="auto"/>
              </w:rPr>
            </w:pPr>
            <w:r>
              <w:rPr>
                <w:rFonts w:ascii="Arial" w:cs="Arial" w:eastAsia="Arial" w:hAnsi="Arial"/>
                <w:sz w:val="14"/>
                <w:szCs w:val="14"/>
                <w:color w:val="auto"/>
              </w:rPr>
              <w:t>40</w:t>
            </w:r>
          </w:p>
        </w:tc>
        <w:tc>
          <w:tcPr>
            <w:tcW w:w="6480" w:type="dxa"/>
            <w:vAlign w:val="bottom"/>
            <w:tcBorders>
              <w:right w:val="single" w:sz="8" w:color="181818"/>
            </w:tcBorders>
          </w:tcPr>
          <w:p>
            <w:pPr>
              <w:ind w:left="440"/>
              <w:spacing w:after="0"/>
              <w:rPr>
                <w:sz w:val="20"/>
                <w:szCs w:val="20"/>
                <w:color w:val="auto"/>
              </w:rPr>
            </w:pPr>
            <w:r>
              <w:rPr>
                <w:rFonts w:ascii="Arial" w:cs="Arial" w:eastAsia="Arial" w:hAnsi="Arial"/>
                <w:sz w:val="14"/>
                <w:szCs w:val="14"/>
                <w:color w:val="auto"/>
              </w:rPr>
              <w:t>Chief Financial Officer</w:t>
            </w:r>
          </w:p>
        </w:tc>
      </w:tr>
      <w:tr>
        <w:trPr>
          <w:trHeight w:val="70"/>
        </w:trPr>
        <w:tc>
          <w:tcPr>
            <w:tcW w:w="3180" w:type="dxa"/>
            <w:vAlign w:val="bottom"/>
            <w:tcBorders>
              <w:left w:val="single" w:sz="8" w:color="181818"/>
              <w:bottom w:val="single" w:sz="8" w:color="181818"/>
            </w:tcBorders>
          </w:tcPr>
          <w:p>
            <w:pPr>
              <w:spacing w:after="0"/>
              <w:rPr>
                <w:sz w:val="6"/>
                <w:szCs w:val="6"/>
                <w:color w:val="auto"/>
              </w:rPr>
            </w:pPr>
          </w:p>
        </w:tc>
        <w:tc>
          <w:tcPr>
            <w:tcW w:w="1620" w:type="dxa"/>
            <w:vAlign w:val="bottom"/>
            <w:tcBorders>
              <w:bottom w:val="single" w:sz="8" w:color="181818"/>
            </w:tcBorders>
          </w:tcPr>
          <w:p>
            <w:pPr>
              <w:spacing w:after="0"/>
              <w:rPr>
                <w:sz w:val="6"/>
                <w:szCs w:val="6"/>
                <w:color w:val="auto"/>
              </w:rPr>
            </w:pPr>
          </w:p>
        </w:tc>
        <w:tc>
          <w:tcPr>
            <w:tcW w:w="6480" w:type="dxa"/>
            <w:vAlign w:val="bottom"/>
            <w:tcBorders>
              <w:bottom w:val="single" w:sz="8" w:color="181818"/>
              <w:right w:val="single" w:sz="8" w:color="181818"/>
            </w:tcBorders>
          </w:tcPr>
          <w:p>
            <w:pPr>
              <w:spacing w:after="0"/>
              <w:rPr>
                <w:sz w:val="6"/>
                <w:szCs w:val="6"/>
                <w:color w:val="auto"/>
              </w:rPr>
            </w:pPr>
          </w:p>
        </w:tc>
      </w:tr>
      <w:tr>
        <w:trPr>
          <w:trHeight w:val="261"/>
        </w:trPr>
        <w:tc>
          <w:tcPr>
            <w:tcW w:w="31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Heather Martin</w:t>
            </w:r>
          </w:p>
        </w:tc>
        <w:tc>
          <w:tcPr>
            <w:tcW w:w="1620" w:type="dxa"/>
            <w:vAlign w:val="bottom"/>
          </w:tcPr>
          <w:p>
            <w:pPr>
              <w:jc w:val="center"/>
              <w:ind w:left="348"/>
              <w:spacing w:after="0"/>
              <w:rPr>
                <w:sz w:val="20"/>
                <w:szCs w:val="20"/>
                <w:color w:val="auto"/>
              </w:rPr>
            </w:pPr>
            <w:r>
              <w:rPr>
                <w:rFonts w:ascii="Arial" w:cs="Arial" w:eastAsia="Arial" w:hAnsi="Arial"/>
                <w:sz w:val="14"/>
                <w:szCs w:val="14"/>
                <w:color w:val="auto"/>
              </w:rPr>
              <w:t>48</w:t>
            </w:r>
          </w:p>
        </w:tc>
        <w:tc>
          <w:tcPr>
            <w:tcW w:w="6480" w:type="dxa"/>
            <w:vAlign w:val="bottom"/>
            <w:tcBorders>
              <w:right w:val="single" w:sz="8" w:color="181818"/>
            </w:tcBorders>
          </w:tcPr>
          <w:p>
            <w:pPr>
              <w:ind w:left="440"/>
              <w:spacing w:after="0"/>
              <w:rPr>
                <w:sz w:val="20"/>
                <w:szCs w:val="20"/>
                <w:color w:val="auto"/>
              </w:rPr>
            </w:pPr>
            <w:r>
              <w:rPr>
                <w:rFonts w:ascii="Arial" w:cs="Arial" w:eastAsia="Arial" w:hAnsi="Arial"/>
                <w:sz w:val="14"/>
                <w:szCs w:val="14"/>
                <w:color w:val="auto"/>
              </w:rPr>
              <w:t>Chief Marketing Officer and Chief of Staff</w:t>
            </w:r>
          </w:p>
        </w:tc>
      </w:tr>
      <w:tr>
        <w:trPr>
          <w:trHeight w:val="70"/>
        </w:trPr>
        <w:tc>
          <w:tcPr>
            <w:tcW w:w="3180" w:type="dxa"/>
            <w:vAlign w:val="bottom"/>
            <w:tcBorders>
              <w:left w:val="single" w:sz="8" w:color="181818"/>
              <w:bottom w:val="single" w:sz="8" w:color="181818"/>
            </w:tcBorders>
          </w:tcPr>
          <w:p>
            <w:pPr>
              <w:spacing w:after="0"/>
              <w:rPr>
                <w:sz w:val="6"/>
                <w:szCs w:val="6"/>
                <w:color w:val="auto"/>
              </w:rPr>
            </w:pPr>
          </w:p>
        </w:tc>
        <w:tc>
          <w:tcPr>
            <w:tcW w:w="1620" w:type="dxa"/>
            <w:vAlign w:val="bottom"/>
            <w:tcBorders>
              <w:bottom w:val="single" w:sz="8" w:color="181818"/>
            </w:tcBorders>
          </w:tcPr>
          <w:p>
            <w:pPr>
              <w:spacing w:after="0"/>
              <w:rPr>
                <w:sz w:val="6"/>
                <w:szCs w:val="6"/>
                <w:color w:val="auto"/>
              </w:rPr>
            </w:pPr>
          </w:p>
        </w:tc>
        <w:tc>
          <w:tcPr>
            <w:tcW w:w="6480" w:type="dxa"/>
            <w:vAlign w:val="bottom"/>
            <w:tcBorders>
              <w:bottom w:val="single" w:sz="8" w:color="181818"/>
              <w:right w:val="single" w:sz="8" w:color="181818"/>
            </w:tcBorders>
          </w:tcPr>
          <w:p>
            <w:pPr>
              <w:spacing w:after="0"/>
              <w:rPr>
                <w:sz w:val="6"/>
                <w:szCs w:val="6"/>
                <w:color w:val="auto"/>
              </w:rPr>
            </w:pPr>
          </w:p>
        </w:tc>
      </w:tr>
    </w:tbl>
    <w:p>
      <w:pPr>
        <w:spacing w:after="0" w:line="135" w:lineRule="exact"/>
        <w:rPr>
          <w:sz w:val="20"/>
          <w:szCs w:val="20"/>
          <w:color w:val="auto"/>
        </w:rPr>
      </w:pPr>
    </w:p>
    <w:p>
      <w:pPr>
        <w:ind w:left="307" w:hanging="307"/>
        <w:spacing w:after="0"/>
        <w:tabs>
          <w:tab w:leader="none" w:pos="307" w:val="left"/>
        </w:tabs>
        <w:numPr>
          <w:ilvl w:val="0"/>
          <w:numId w:val="28"/>
        </w:numPr>
        <w:rPr>
          <w:rFonts w:ascii="Arial" w:cs="Arial" w:eastAsia="Arial" w:hAnsi="Arial"/>
          <w:sz w:val="14"/>
          <w:szCs w:val="14"/>
          <w:b w:val="1"/>
          <w:bCs w:val="1"/>
          <w:color w:val="auto"/>
        </w:rPr>
      </w:pPr>
      <w:r>
        <w:rPr>
          <w:rFonts w:ascii="Arial" w:cs="Arial" w:eastAsia="Arial" w:hAnsi="Arial"/>
          <w:sz w:val="14"/>
          <w:szCs w:val="14"/>
          <w:color w:val="auto"/>
        </w:rPr>
        <w:t>See the section entitled "Directors Nominees" above for a description of Messrs. Kuhn and Lang's business experience and educational background.</w:t>
      </w:r>
    </w:p>
    <w:p>
      <w:pPr>
        <w:sectPr>
          <w:pgSz w:w="11920" w:h="16838" w:orient="portrait"/>
          <w:cols w:equalWidth="0" w:num="1">
            <w:col w:w="11267"/>
          </w:cols>
          <w:pgMar w:left="333" w:top="1079" w:right="318" w:bottom="1440" w:gutter="0" w:footer="0" w:header="0"/>
        </w:sectPr>
      </w:pPr>
    </w:p>
    <w:p>
      <w:pPr>
        <w:spacing w:after="0" w:line="310" w:lineRule="exact"/>
        <w:rPr>
          <w:sz w:val="20"/>
          <w:szCs w:val="20"/>
          <w:color w:val="auto"/>
        </w:rPr>
      </w:pPr>
    </w:p>
    <w:p>
      <w:pPr>
        <w:jc w:val="both"/>
        <w:ind w:left="1287"/>
        <w:spacing w:after="0" w:line="304" w:lineRule="auto"/>
        <w:rPr>
          <w:sz w:val="20"/>
          <w:szCs w:val="20"/>
          <w:color w:val="auto"/>
        </w:rPr>
      </w:pPr>
      <w:r>
        <w:rPr>
          <w:rFonts w:ascii="Arial" w:cs="Arial" w:eastAsia="Arial" w:hAnsi="Arial"/>
          <w:sz w:val="14"/>
          <w:szCs w:val="14"/>
          <w:b w:val="1"/>
          <w:bCs w:val="1"/>
          <w:color w:val="181818"/>
        </w:rPr>
        <w:t xml:space="preserve">Ms. Ashe </w:t>
      </w:r>
      <w:r>
        <w:rPr>
          <w:rFonts w:ascii="Arial" w:cs="Arial" w:eastAsia="Arial" w:hAnsi="Arial"/>
          <w:sz w:val="14"/>
          <w:szCs w:val="14"/>
          <w:color w:val="000000"/>
        </w:rPr>
        <w:t>joined the Company in July 2019 and is the Chief Legal Officer and Corporate Secretary,</w:t>
      </w:r>
      <w:r>
        <w:rPr>
          <w:rFonts w:ascii="Arial" w:cs="Arial" w:eastAsia="Arial" w:hAnsi="Arial"/>
          <w:sz w:val="14"/>
          <w:szCs w:val="14"/>
          <w:b w:val="1"/>
          <w:bCs w:val="1"/>
          <w:color w:val="181818"/>
        </w:rPr>
        <w:t xml:space="preserve"> </w:t>
      </w:r>
      <w:r>
        <w:rPr>
          <w:rFonts w:ascii="Arial" w:cs="Arial" w:eastAsia="Arial" w:hAnsi="Arial"/>
          <w:sz w:val="14"/>
          <w:szCs w:val="14"/>
          <w:color w:val="000000"/>
        </w:rPr>
        <w:t>a position to which she was promoted in May 2021 from General Counsel and Corporate Secretary. Prior to joining Anterix, Ms. Ashe held senior legal roles with former KKR portfolio company, The Brickman Group, LLC. (now BrightView Landscapes LLC NYSE: BV), as EVP, Chief Legal Officer and Corporate Secretary, as well as with AT&amp;T, Lucent Technologies, Public Broadcasting Service (PBS), Darden Restaurants, Inc., and most recently, Adtalem Global Education (NYSE: ATGE), where she also served as EVP, Chief Legal Officer, and Corporate Secretary. Earlier in her career, Ms. Ashe was an electrical engineer with IBM Corporation before joining IBM’s legal team. Ms. Ashe has also served on the boards of several public and private companies since 2016. Ms. Ashe is currently a member of the Board of Directors of Skyward Specialty Insurance Group Inc. (Nasdaq: SKWD), where she chairs the nominating and corporate governance committee and serves on the compensation and risk committees. She holds a Juris Doctorate from Georgetown University, a Master of Science in electrical engineering from Georgia Institute of Technology, and a Bachelor of Science in mathematics with a minor in physics from Spelman College. Ms. Ashe also completed the executive development program of the Wharton School of the University of Pennsylvania and holds a certificate in international management from Oxford University in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286385</wp:posOffset>
            </wp:positionV>
            <wp:extent cx="5554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440"/>
        <w:spacing w:after="0"/>
        <w:rPr>
          <w:sz w:val="20"/>
          <w:szCs w:val="20"/>
          <w:color w:val="auto"/>
        </w:rPr>
      </w:pPr>
      <w:r>
        <w:rPr>
          <w:rFonts w:ascii="Arial" w:cs="Arial" w:eastAsia="Arial" w:hAnsi="Arial"/>
          <w:sz w:val="23"/>
          <w:szCs w:val="23"/>
          <w:b w:val="1"/>
          <w:bCs w:val="1"/>
          <w:color w:val="1B6F80"/>
        </w:rPr>
        <w:t>Gena L.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-1564005</wp:posOffset>
            </wp:positionV>
            <wp:extent cx="1225550" cy="12261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25550" cy="1226185"/>
                    </a:xfrm>
                    <a:prstGeom prst="rect">
                      <a:avLst/>
                    </a:prstGeom>
                    <a:noFill/>
                  </pic:spPr>
                </pic:pic>
              </a:graphicData>
            </a:graphic>
          </wp:anchor>
        </w:drawing>
      </w:r>
    </w:p>
    <w:p>
      <w:pPr>
        <w:spacing w:after="0" w:line="115" w:lineRule="exact"/>
        <w:rPr>
          <w:sz w:val="20"/>
          <w:szCs w:val="20"/>
          <w:color w:val="auto"/>
        </w:rPr>
      </w:pPr>
    </w:p>
    <w:p>
      <w:pPr>
        <w:jc w:val="center"/>
        <w:ind w:right="1440"/>
        <w:spacing w:after="0"/>
        <w:rPr>
          <w:sz w:val="20"/>
          <w:szCs w:val="20"/>
          <w:color w:val="auto"/>
        </w:rPr>
      </w:pPr>
      <w:r>
        <w:rPr>
          <w:rFonts w:ascii="Arial" w:cs="Arial" w:eastAsia="Arial" w:hAnsi="Arial"/>
          <w:sz w:val="16"/>
          <w:szCs w:val="16"/>
          <w:b w:val="1"/>
          <w:bCs w:val="1"/>
          <w:color w:val="09314A"/>
        </w:rPr>
        <w:t>Chief Legal Officer and</w:t>
      </w:r>
    </w:p>
    <w:p>
      <w:pPr>
        <w:spacing w:after="0" w:line="41" w:lineRule="exact"/>
        <w:rPr>
          <w:sz w:val="20"/>
          <w:szCs w:val="20"/>
          <w:color w:val="auto"/>
        </w:rPr>
      </w:pPr>
    </w:p>
    <w:p>
      <w:pPr>
        <w:jc w:val="center"/>
        <w:ind w:right="1440"/>
        <w:spacing w:after="0"/>
        <w:rPr>
          <w:sz w:val="20"/>
          <w:szCs w:val="20"/>
          <w:color w:val="auto"/>
        </w:rPr>
      </w:pPr>
      <w:r>
        <w:rPr>
          <w:rFonts w:ascii="Arial" w:cs="Arial" w:eastAsia="Arial" w:hAnsi="Arial"/>
          <w:sz w:val="16"/>
          <w:szCs w:val="16"/>
          <w:b w:val="1"/>
          <w:bCs w:val="1"/>
          <w:color w:val="09314A"/>
        </w:rPr>
        <w:t>Corporate Secretary</w:t>
      </w:r>
    </w:p>
    <w:p>
      <w:pPr>
        <w:spacing w:after="0" w:line="453" w:lineRule="exact"/>
        <w:rPr>
          <w:sz w:val="20"/>
          <w:szCs w:val="20"/>
          <w:color w:val="auto"/>
        </w:rPr>
      </w:pPr>
    </w:p>
    <w:p>
      <w:pPr>
        <w:sectPr>
          <w:pgSz w:w="11920" w:h="16838" w:orient="portrait"/>
          <w:cols w:equalWidth="0" w:num="2">
            <w:col w:w="7627" w:space="440"/>
            <w:col w:w="3200"/>
          </w:cols>
          <w:pgMar w:left="333" w:top="1079" w:right="31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287"/>
        <w:spacing w:after="0" w:line="304" w:lineRule="auto"/>
        <w:rPr>
          <w:sz w:val="20"/>
          <w:szCs w:val="20"/>
          <w:color w:val="auto"/>
        </w:rPr>
      </w:pPr>
      <w:r>
        <w:rPr>
          <w:rFonts w:ascii="Arial" w:cs="Arial" w:eastAsia="Arial" w:hAnsi="Arial"/>
          <w:sz w:val="14"/>
          <w:szCs w:val="14"/>
          <w:b w:val="1"/>
          <w:bCs w:val="1"/>
          <w:color w:val="181818"/>
        </w:rPr>
        <w:t xml:space="preserve">Mr. Guttman-McCabe </w:t>
      </w:r>
      <w:r>
        <w:rPr>
          <w:rFonts w:ascii="Arial" w:cs="Arial" w:eastAsia="Arial" w:hAnsi="Arial"/>
          <w:sz w:val="14"/>
          <w:szCs w:val="14"/>
          <w:color w:val="000000"/>
        </w:rPr>
        <w:t>joined the Company as Chief Regulatory and Communications Officer in</w:t>
      </w:r>
      <w:r>
        <w:rPr>
          <w:rFonts w:ascii="Arial" w:cs="Arial" w:eastAsia="Arial" w:hAnsi="Arial"/>
          <w:sz w:val="14"/>
          <w:szCs w:val="14"/>
          <w:b w:val="1"/>
          <w:bCs w:val="1"/>
          <w:color w:val="181818"/>
        </w:rPr>
        <w:t xml:space="preserve"> </w:t>
      </w:r>
      <w:r>
        <w:rPr>
          <w:rFonts w:ascii="Arial" w:cs="Arial" w:eastAsia="Arial" w:hAnsi="Arial"/>
          <w:sz w:val="14"/>
          <w:szCs w:val="14"/>
          <w:color w:val="000000"/>
        </w:rPr>
        <w:t>October 2020 to lead the government relations and communications efforts in support of our vision of 900 MHz private broadband for the utility, critical infrastructure, and enterprise sectors. Prior to joining Anterix, Mr. Guttman-McCabe was a founder and CEO of CGM Advisors LLC, where he worked on communications, government relations, market analysis, and business development initiatives for Fortune 100 companies and startup tech ventures. Mr. Guttman-McCabe founded CGM Advisors after a 13-year career at CTIA as a spokesperson and advocate for the wireless industry, including testifying 19 times before Congress. At CTIA, he served as executive vice president overseeing a 90-person association with a $65 million annual budget. Before joining CTIA, Mr. Guttman-McCabe worked as an associate in the communications practice at Wiley Rein LLP. Mr. Guttman-McCabe earned his law degree magna cum laude with a Communications Institute certificate from the Columbus School of Law at the Catholic University of America and a bachelor’s degree in economics from Swarthmore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726440</wp:posOffset>
            </wp:positionV>
            <wp:extent cx="5554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54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1395095</wp:posOffset>
            </wp:positionV>
            <wp:extent cx="71577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60"/>
        <w:spacing w:after="0"/>
        <w:rPr>
          <w:sz w:val="20"/>
          <w:szCs w:val="20"/>
          <w:color w:val="auto"/>
        </w:rPr>
      </w:pPr>
      <w:r>
        <w:rPr>
          <w:rFonts w:ascii="Arial" w:cs="Arial" w:eastAsia="Arial" w:hAnsi="Arial"/>
          <w:sz w:val="23"/>
          <w:szCs w:val="23"/>
          <w:b w:val="1"/>
          <w:bCs w:val="1"/>
          <w:color w:val="1B6F80"/>
        </w:rPr>
        <w:t>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-1572895</wp:posOffset>
            </wp:positionV>
            <wp:extent cx="1225550" cy="12255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25550" cy="1225550"/>
                    </a:xfrm>
                    <a:prstGeom prst="rect">
                      <a:avLst/>
                    </a:prstGeom>
                    <a:noFill/>
                  </pic:spPr>
                </pic:pic>
              </a:graphicData>
            </a:graphic>
          </wp:anchor>
        </w:drawing>
      </w:r>
    </w:p>
    <w:p>
      <w:pPr>
        <w:spacing w:after="0" w:line="18" w:lineRule="exact"/>
        <w:rPr>
          <w:sz w:val="20"/>
          <w:szCs w:val="20"/>
          <w:color w:val="auto"/>
        </w:rPr>
      </w:pPr>
    </w:p>
    <w:p>
      <w:pPr>
        <w:jc w:val="center"/>
        <w:ind w:right="1360"/>
        <w:spacing w:after="0"/>
        <w:rPr>
          <w:sz w:val="20"/>
          <w:szCs w:val="20"/>
          <w:color w:val="auto"/>
        </w:rPr>
      </w:pPr>
      <w:r>
        <w:rPr>
          <w:rFonts w:ascii="Arial" w:cs="Arial" w:eastAsia="Arial" w:hAnsi="Arial"/>
          <w:sz w:val="23"/>
          <w:szCs w:val="23"/>
          <w:b w:val="1"/>
          <w:bCs w:val="1"/>
          <w:color w:val="1B6F80"/>
        </w:rPr>
        <w:t>Guttman-McCabe</w:t>
      </w:r>
    </w:p>
    <w:p>
      <w:pPr>
        <w:spacing w:after="0" w:line="103" w:lineRule="exact"/>
        <w:rPr>
          <w:sz w:val="20"/>
          <w:szCs w:val="20"/>
          <w:color w:val="auto"/>
        </w:rPr>
      </w:pPr>
    </w:p>
    <w:p>
      <w:pPr>
        <w:jc w:val="center"/>
        <w:ind w:right="1360"/>
        <w:spacing w:after="0"/>
        <w:rPr>
          <w:sz w:val="20"/>
          <w:szCs w:val="20"/>
          <w:color w:val="auto"/>
        </w:rPr>
      </w:pPr>
      <w:r>
        <w:rPr>
          <w:rFonts w:ascii="Arial" w:cs="Arial" w:eastAsia="Arial" w:hAnsi="Arial"/>
          <w:sz w:val="16"/>
          <w:szCs w:val="16"/>
          <w:b w:val="1"/>
          <w:bCs w:val="1"/>
          <w:color w:val="09314A"/>
        </w:rPr>
        <w:t>Chief Regulatory and</w:t>
      </w:r>
    </w:p>
    <w:p>
      <w:pPr>
        <w:spacing w:after="0" w:line="41" w:lineRule="exact"/>
        <w:rPr>
          <w:sz w:val="20"/>
          <w:szCs w:val="20"/>
          <w:color w:val="auto"/>
        </w:rPr>
      </w:pPr>
    </w:p>
    <w:p>
      <w:pPr>
        <w:jc w:val="center"/>
        <w:ind w:right="1360"/>
        <w:spacing w:after="0"/>
        <w:rPr>
          <w:sz w:val="20"/>
          <w:szCs w:val="20"/>
          <w:color w:val="auto"/>
        </w:rPr>
      </w:pPr>
      <w:r>
        <w:rPr>
          <w:rFonts w:ascii="Arial" w:cs="Arial" w:eastAsia="Arial" w:hAnsi="Arial"/>
          <w:sz w:val="16"/>
          <w:szCs w:val="16"/>
          <w:b w:val="1"/>
          <w:bCs w:val="1"/>
          <w:color w:val="09314A"/>
        </w:rPr>
        <w:t>Communications Officer</w:t>
      </w:r>
    </w:p>
    <w:p>
      <w:pPr>
        <w:spacing w:after="0" w:line="200" w:lineRule="exact"/>
        <w:rPr>
          <w:sz w:val="20"/>
          <w:szCs w:val="20"/>
          <w:color w:val="auto"/>
        </w:rPr>
      </w:pPr>
    </w:p>
    <w:p>
      <w:pPr>
        <w:sectPr>
          <w:pgSz w:w="11920" w:h="16838" w:orient="portrait"/>
          <w:cols w:equalWidth="0" w:num="2">
            <w:col w:w="7627" w:space="360"/>
            <w:col w:w="3280"/>
          </w:cols>
          <w:pgMar w:left="333" w:top="1079" w:right="31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79" w:right="318"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Officers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1280" w:right="3620"/>
        <w:spacing w:after="0" w:line="299" w:lineRule="auto"/>
        <w:rPr>
          <w:sz w:val="20"/>
          <w:szCs w:val="20"/>
          <w:color w:val="auto"/>
        </w:rPr>
      </w:pPr>
      <w:r>
        <w:rPr>
          <w:rFonts w:ascii="Arial" w:cs="Arial" w:eastAsia="Arial" w:hAnsi="Arial"/>
          <w:sz w:val="14"/>
          <w:szCs w:val="14"/>
          <w:b w:val="1"/>
          <w:bCs w:val="1"/>
          <w:color w:val="181818"/>
        </w:rPr>
        <w:t xml:space="preserve">Ms. Green-Kerr </w:t>
      </w:r>
      <w:r>
        <w:rPr>
          <w:rFonts w:ascii="Arial" w:cs="Arial" w:eastAsia="Arial" w:hAnsi="Arial"/>
          <w:sz w:val="14"/>
          <w:szCs w:val="14"/>
          <w:color w:val="000000"/>
        </w:rPr>
        <w:t>joined Anterix in May 2026 as Chief Revenue Officer, where she leads the</w:t>
      </w:r>
      <w:r>
        <w:rPr>
          <w:rFonts w:ascii="Arial" w:cs="Arial" w:eastAsia="Arial" w:hAnsi="Arial"/>
          <w:sz w:val="14"/>
          <w:szCs w:val="14"/>
          <w:b w:val="1"/>
          <w:bCs w:val="1"/>
          <w:color w:val="181818"/>
        </w:rPr>
        <w:t xml:space="preserve"> </w:t>
      </w:r>
      <w:r>
        <w:rPr>
          <w:rFonts w:ascii="Arial" w:cs="Arial" w:eastAsia="Arial" w:hAnsi="Arial"/>
          <w:sz w:val="14"/>
          <w:szCs w:val="14"/>
          <w:color w:val="000000"/>
        </w:rPr>
        <w:t>company’s sales organization and commercial growth strategy, focused on expanding customer adoption and delivering long-term value across the evolving critical infrastructure communications market. From September 2020 to August 2025, Ms. Green-Kerr served as Senior Vice President of Enterprise Sales and Operations at U.S. Cellular, where she drove revenue growth, strengthened the company’s position in the utilities and enterprise sectors, and led strategic direction for its commercial and government sales organizations. Earlier in her career, she spent more than two decades at Sprint, ultimately serving as Senior Vice President of Business Solutions, where she led more than 2,000 sales professionals across business segments and distribution channels nationwide. She earned a bachelor’s degree in marketing and public affairs from The University of Southern Mississippi and completed the Executive Leadership Program at Georgetown University. Ms. Green-Kerr serves on the board of directors for the Central and Northern Missouri Chapter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-1389380</wp:posOffset>
            </wp:positionV>
            <wp:extent cx="1225550" cy="12261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25550" cy="1226185"/>
                    </a:xfrm>
                    <a:prstGeom prst="rect">
                      <a:avLst/>
                    </a:prstGeom>
                    <a:noFill/>
                  </pic:spPr>
                </pic:pic>
              </a:graphicData>
            </a:graphic>
          </wp:anchor>
        </w:drawing>
      </w:r>
    </w:p>
    <w:p>
      <w:pPr>
        <w:jc w:val="right"/>
        <w:ind w:right="1400"/>
        <w:spacing w:after="0" w:line="194" w:lineRule="auto"/>
        <w:tabs>
          <w:tab w:leader="none" w:pos="1800" w:val="left"/>
        </w:tabs>
        <w:rPr>
          <w:sz w:val="20"/>
          <w:szCs w:val="20"/>
          <w:color w:val="auto"/>
        </w:rPr>
      </w:pPr>
      <w:r>
        <w:rPr>
          <w:rFonts w:ascii="Arial" w:cs="Arial" w:eastAsia="Arial" w:hAnsi="Arial"/>
          <w:sz w:val="14"/>
          <w:szCs w:val="14"/>
          <w:color w:val="auto"/>
        </w:rPr>
        <w:t>the American Red Cross and is a former board member of the Utility Broadband Alliance.</w:t>
      </w:r>
      <w:r>
        <w:rPr>
          <w:sz w:val="20"/>
          <w:szCs w:val="20"/>
          <w:color w:val="auto"/>
        </w:rPr>
        <w:tab/>
      </w:r>
      <w:r>
        <w:rPr>
          <w:rFonts w:ascii="Arial" w:cs="Arial" w:eastAsia="Arial" w:hAnsi="Arial"/>
          <w:sz w:val="35"/>
          <w:szCs w:val="35"/>
          <w:b w:val="1"/>
          <w:bCs w:val="1"/>
          <w:color w:val="1B6F80"/>
          <w:vertAlign w:val="subscript"/>
        </w:rPr>
        <w:t>Kimberly Green-</w:t>
      </w:r>
    </w:p>
    <w:p>
      <w:pPr>
        <w:spacing w:after="0" w:line="1" w:lineRule="exact"/>
        <w:rPr>
          <w:sz w:val="20"/>
          <w:szCs w:val="20"/>
          <w:color w:val="auto"/>
        </w:rPr>
      </w:pPr>
    </w:p>
    <w:p>
      <w:pPr>
        <w:jc w:val="center"/>
        <w:ind w:left="6620"/>
        <w:spacing w:after="0"/>
        <w:rPr>
          <w:sz w:val="20"/>
          <w:szCs w:val="20"/>
          <w:color w:val="auto"/>
        </w:rPr>
      </w:pPr>
      <w:r>
        <w:rPr>
          <w:rFonts w:ascii="Arial" w:cs="Arial" w:eastAsia="Arial" w:hAnsi="Arial"/>
          <w:sz w:val="23"/>
          <w:szCs w:val="23"/>
          <w:b w:val="1"/>
          <w:bCs w:val="1"/>
          <w:color w:val="1B6F80"/>
        </w:rPr>
        <w:t>Kerr</w:t>
      </w:r>
    </w:p>
    <w:p>
      <w:pPr>
        <w:spacing w:after="0" w:line="103"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09314A"/>
        </w:rPr>
        <w:t>Chief Revenue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135890</wp:posOffset>
            </wp:positionV>
            <wp:extent cx="55549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280" w:right="3640"/>
        <w:spacing w:after="0" w:line="306" w:lineRule="auto"/>
        <w:rPr>
          <w:sz w:val="20"/>
          <w:szCs w:val="20"/>
          <w:color w:val="auto"/>
        </w:rPr>
      </w:pPr>
      <w:r>
        <w:rPr>
          <w:rFonts w:ascii="Arial" w:cs="Arial" w:eastAsia="Arial" w:hAnsi="Arial"/>
          <w:sz w:val="14"/>
          <w:szCs w:val="14"/>
          <w:b w:val="1"/>
          <w:bCs w:val="1"/>
          <w:color w:val="181818"/>
        </w:rPr>
        <w:t xml:space="preserve">Ms. Marquez </w:t>
      </w:r>
      <w:r>
        <w:rPr>
          <w:rFonts w:ascii="Arial" w:cs="Arial" w:eastAsia="Arial" w:hAnsi="Arial"/>
          <w:sz w:val="14"/>
          <w:szCs w:val="14"/>
          <w:color w:val="000000"/>
        </w:rPr>
        <w:t>joined Anterix in September 2021 and is our Chief Financial Oﬃcer, a position to</w:t>
      </w:r>
      <w:r>
        <w:rPr>
          <w:rFonts w:ascii="Arial" w:cs="Arial" w:eastAsia="Arial" w:hAnsi="Arial"/>
          <w:sz w:val="14"/>
          <w:szCs w:val="14"/>
          <w:b w:val="1"/>
          <w:bCs w:val="1"/>
          <w:color w:val="181818"/>
        </w:rPr>
        <w:t xml:space="preserve"> </w:t>
      </w:r>
      <w:r>
        <w:rPr>
          <w:rFonts w:ascii="Arial" w:cs="Arial" w:eastAsia="Arial" w:hAnsi="Arial"/>
          <w:sz w:val="14"/>
          <w:szCs w:val="14"/>
          <w:color w:val="000000"/>
        </w:rPr>
        <w:t>which she was promoted in September 2025 from Vice President of Finance and Controller. She oversees finance strategy, planning, treasury, financial reporting, and investor relations as the company scales its impact across critical infrastructure sectors. Ms. Marquez has more than 15 years of finance and accounting experience from public and pre-IPO multinational companies in the financial services and biotech industries. Prior to joining Anterix, Ms. Marquez held various finance roles at Clinical Genomics and Prudential Financial (NYSE: PRU). She started her career at UHY LLP, a mid-sized public accounting firm, as part of the audit practice. Ms. Marquez received a Master of Science degree in accounting and a Bachelor of Arts, cum laude, in accounting and information systems from Queens College and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-1162050</wp:posOffset>
            </wp:positionV>
            <wp:extent cx="1225550" cy="12255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25550" cy="1225550"/>
                    </a:xfrm>
                    <a:prstGeom prst="rect">
                      <a:avLst/>
                    </a:prstGeom>
                    <a:noFill/>
                  </pic:spPr>
                </pic:pic>
              </a:graphicData>
            </a:graphic>
          </wp:anchor>
        </w:drawing>
      </w:r>
    </w:p>
    <w:p>
      <w:pPr>
        <w:spacing w:after="0" w:line="348" w:lineRule="exact"/>
        <w:rPr>
          <w:sz w:val="20"/>
          <w:szCs w:val="20"/>
          <w:color w:val="auto"/>
        </w:rPr>
      </w:pPr>
    </w:p>
    <w:p>
      <w:pPr>
        <w:ind w:left="8120"/>
        <w:spacing w:after="0"/>
        <w:rPr>
          <w:sz w:val="20"/>
          <w:szCs w:val="20"/>
          <w:color w:val="auto"/>
        </w:rPr>
      </w:pPr>
      <w:r>
        <w:rPr>
          <w:rFonts w:ascii="Arial" w:cs="Arial" w:eastAsia="Arial" w:hAnsi="Arial"/>
          <w:sz w:val="23"/>
          <w:szCs w:val="23"/>
          <w:b w:val="1"/>
          <w:bCs w:val="1"/>
          <w:color w:val="1B6F80"/>
        </w:rPr>
        <w:t>Elena Marquez</w:t>
      </w:r>
    </w:p>
    <w:p>
      <w:pPr>
        <w:spacing w:after="0" w:line="135"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09314A"/>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135890</wp:posOffset>
            </wp:positionV>
            <wp:extent cx="5554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1280" w:right="3620"/>
        <w:spacing w:after="0" w:line="305" w:lineRule="auto"/>
        <w:rPr>
          <w:sz w:val="20"/>
          <w:szCs w:val="20"/>
          <w:color w:val="auto"/>
        </w:rPr>
      </w:pPr>
      <w:r>
        <w:rPr>
          <w:rFonts w:ascii="Arial" w:cs="Arial" w:eastAsia="Arial" w:hAnsi="Arial"/>
          <w:sz w:val="14"/>
          <w:szCs w:val="14"/>
          <w:b w:val="1"/>
          <w:bCs w:val="1"/>
          <w:color w:val="181818"/>
        </w:rPr>
        <w:t xml:space="preserve">Ms. Martin </w:t>
      </w:r>
      <w:r>
        <w:rPr>
          <w:rFonts w:ascii="Arial" w:cs="Arial" w:eastAsia="Arial" w:hAnsi="Arial"/>
          <w:sz w:val="14"/>
          <w:szCs w:val="14"/>
          <w:color w:val="000000"/>
        </w:rPr>
        <w:t>was appointed as our Chief Marketing Officer and Chief of Staff in September 2025.</w:t>
      </w:r>
      <w:r>
        <w:rPr>
          <w:rFonts w:ascii="Arial" w:cs="Arial" w:eastAsia="Arial" w:hAnsi="Arial"/>
          <w:sz w:val="14"/>
          <w:szCs w:val="14"/>
          <w:b w:val="1"/>
          <w:bCs w:val="1"/>
          <w:color w:val="181818"/>
        </w:rPr>
        <w:t xml:space="preserve"> </w:t>
      </w:r>
      <w:r>
        <w:rPr>
          <w:rFonts w:ascii="Arial" w:cs="Arial" w:eastAsia="Arial" w:hAnsi="Arial"/>
          <w:sz w:val="14"/>
          <w:szCs w:val="14"/>
          <w:color w:val="000000"/>
        </w:rPr>
        <w:t>From March 2007 to April 2024, Ms. Martin held various leadership roles with NRG Energy (NYSE: NRG), where she led enterprise-wide transformation efforts for the company's portfolio of retail energy brands, with operations spanning North America, South Africa, and the Caribbean. Earlier in her career, Ms. Martin held global marketing leadership roles at SPX (later acquired by Bosch), where she developed international programs for automotive brands including BMW, Mercedes-Benz, General Motors, and Ford. She also held senior-level positions at leading advertising agencies, supporting global brands such as Dell, Microsoft, and Shell. Ms. Martin holds a Bachelor of Arts degree in Mass Communications and Marketing from the University of St.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-1030605</wp:posOffset>
            </wp:positionV>
            <wp:extent cx="1225550" cy="12255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25550" cy="122555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120"/>
        <w:spacing w:after="0"/>
        <w:rPr>
          <w:sz w:val="20"/>
          <w:szCs w:val="20"/>
          <w:color w:val="auto"/>
        </w:rPr>
      </w:pPr>
      <w:r>
        <w:rPr>
          <w:rFonts w:ascii="Arial" w:cs="Arial" w:eastAsia="Arial" w:hAnsi="Arial"/>
          <w:sz w:val="23"/>
          <w:szCs w:val="23"/>
          <w:b w:val="1"/>
          <w:bCs w:val="1"/>
          <w:color w:val="1B6F80"/>
        </w:rPr>
        <w:t>Heather Martin</w:t>
      </w:r>
    </w:p>
    <w:p>
      <w:pPr>
        <w:spacing w:after="0" w:line="135"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09314A"/>
        </w:rPr>
        <w:t>Chief Marketing Officer</w:t>
      </w:r>
    </w:p>
    <w:p>
      <w:pPr>
        <w:spacing w:after="0" w:line="41" w:lineRule="exact"/>
        <w:rPr>
          <w:sz w:val="20"/>
          <w:szCs w:val="20"/>
          <w:color w:val="auto"/>
        </w:rPr>
      </w:pPr>
    </w:p>
    <w:p>
      <w:pPr>
        <w:jc w:val="center"/>
        <w:ind w:left="6640"/>
        <w:spacing w:after="0"/>
        <w:rPr>
          <w:sz w:val="20"/>
          <w:szCs w:val="20"/>
          <w:color w:val="auto"/>
        </w:rPr>
      </w:pPr>
      <w:r>
        <w:rPr>
          <w:rFonts w:ascii="Arial" w:cs="Arial" w:eastAsia="Arial" w:hAnsi="Arial"/>
          <w:sz w:val="16"/>
          <w:szCs w:val="16"/>
          <w:b w:val="1"/>
          <w:bCs w:val="1"/>
          <w:color w:val="09314A"/>
        </w:rPr>
        <w:t>and Chief of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121920</wp:posOffset>
            </wp:positionV>
            <wp:extent cx="5554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5498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782320</wp:posOffset>
            </wp:positionV>
            <wp:extent cx="71577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40"/>
          </w:cols>
          <w:pgMar w:left="340" w:top="308" w:right="33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28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308" w:right="338"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41"/>
          <w:szCs w:val="41"/>
          <w:b w:val="1"/>
          <w:bCs w:val="1"/>
          <w:color w:val="181818"/>
        </w:rPr>
        <w:t>Proposal 2</w:t>
      </w:r>
    </w:p>
    <w:p>
      <w:pPr>
        <w:spacing w:after="0" w:line="144" w:lineRule="exact"/>
        <w:rPr>
          <w:sz w:val="20"/>
          <w:szCs w:val="20"/>
          <w:color w:val="auto"/>
        </w:rPr>
      </w:pPr>
    </w:p>
    <w:p>
      <w:pPr>
        <w:ind w:right="560"/>
        <w:spacing w:after="0" w:line="323" w:lineRule="auto"/>
        <w:rPr>
          <w:sz w:val="20"/>
          <w:szCs w:val="20"/>
          <w:color w:val="auto"/>
        </w:rPr>
      </w:pPr>
      <w:r>
        <w:rPr>
          <w:rFonts w:ascii="Arial" w:cs="Arial" w:eastAsia="Arial" w:hAnsi="Arial"/>
          <w:sz w:val="34"/>
          <w:szCs w:val="34"/>
          <w:b w:val="1"/>
          <w:bCs w:val="1"/>
          <w:color w:val="181818"/>
        </w:rPr>
        <w:t>Advisory Vote to Approve Compensation of Our Named Executive Officers</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Vote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5524500</wp:posOffset>
            </wp:positionH>
            <wp:positionV relativeFrom="paragraph">
              <wp:posOffset>98425</wp:posOffset>
            </wp:positionV>
            <wp:extent cx="1628775" cy="63436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28775" cy="6343650"/>
                    </a:xfrm>
                    <a:prstGeom prst="rect">
                      <a:avLst/>
                    </a:prstGeom>
                    <a:noFill/>
                  </pic:spPr>
                </pic:pic>
              </a:graphicData>
            </a:graphic>
          </wp:anchor>
        </w:drawing>
      </w:r>
    </w:p>
    <w:p>
      <w:pPr>
        <w:sectPr>
          <w:pgSz w:w="11920" w:h="16838" w:orient="portrait"/>
          <w:cols w:equalWidth="0" w:num="1">
            <w:col w:w="11240"/>
          </w:cols>
          <w:pgMar w:left="340" w:top="1079" w:right="338" w:bottom="1440" w:gutter="0" w:footer="0" w:header="0"/>
        </w:sectPr>
      </w:pPr>
    </w:p>
    <w:p>
      <w:pPr>
        <w:spacing w:after="0" w:line="177" w:lineRule="exact"/>
        <w:rPr>
          <w:sz w:val="20"/>
          <w:szCs w:val="20"/>
          <w:color w:val="auto"/>
        </w:rPr>
      </w:pPr>
    </w:p>
    <w:p>
      <w:pPr>
        <w:jc w:val="both"/>
        <w:ind w:left="20"/>
        <w:spacing w:after="0" w:line="300" w:lineRule="auto"/>
        <w:rPr>
          <w:sz w:val="20"/>
          <w:szCs w:val="20"/>
          <w:color w:val="auto"/>
        </w:rPr>
      </w:pPr>
      <w:r>
        <w:rPr>
          <w:rFonts w:ascii="Arial" w:cs="Arial" w:eastAsia="Arial" w:hAnsi="Arial"/>
          <w:sz w:val="16"/>
          <w:szCs w:val="16"/>
          <w:color w:val="auto"/>
        </w:rPr>
        <w:t>Our compensation programs are designed to effectively align our executives’ interests with the interests of our stockholders by focusing on long-term equity incentives that correlate with the growth of sustainable long-term value creation for our stockholders. Stockholders are urged to read the section below titled “Executive Compensation,” which discusses how our executive compensation policies and practices implement our Compensation Philosophy (as defined below). This section also contains tabular information and a narrative discussion about the compensation of our named executive officers ("NEOs"). Our Compensation Committee believes that the objectives of our executive compensation program, as they relate to our NEOs, are appropriate for a company of our size and stage of development and that our compensation policies and practices help meet those objectives. In addition, our Compensation Committee believes that our executive compensation program, as it relates to our NEOs, achieves an appropriate balance between fixed and variable incentive compensation. Our Board and Compensation Committee believe that our compensation policies and practices effectively implement our compensation philosophy and achieve our compensation program goals. Accordingly, we are asking our stockholders to approve the compensation of our NEOs.</w:t>
      </w:r>
    </w:p>
    <w:p>
      <w:pPr>
        <w:spacing w:after="0" w:line="61" w:lineRule="exact"/>
        <w:rPr>
          <w:sz w:val="20"/>
          <w:szCs w:val="20"/>
          <w:color w:val="auto"/>
        </w:rPr>
      </w:pPr>
    </w:p>
    <w:p>
      <w:pPr>
        <w:jc w:val="both"/>
        <w:ind w:left="20"/>
        <w:spacing w:after="0" w:line="321" w:lineRule="auto"/>
        <w:rPr>
          <w:sz w:val="20"/>
          <w:szCs w:val="20"/>
          <w:color w:val="auto"/>
        </w:rPr>
      </w:pPr>
      <w:r>
        <w:rPr>
          <w:rFonts w:ascii="Arial" w:cs="Arial" w:eastAsia="Arial" w:hAnsi="Arial"/>
          <w:sz w:val="16"/>
          <w:szCs w:val="16"/>
          <w:color w:val="auto"/>
        </w:rPr>
        <w:t>The vote on this resolution is not intended to address any specific element of compensation; rather, the vote relates to the compensation of our NEOs, as described in this Proxy Statement in accordance with the compensation disclosure rules of the SEC.</w:t>
      </w:r>
    </w:p>
    <w:p>
      <w:pPr>
        <w:spacing w:after="0" w:line="58" w:lineRule="exact"/>
        <w:rPr>
          <w:sz w:val="20"/>
          <w:szCs w:val="20"/>
          <w:color w:val="auto"/>
        </w:rPr>
      </w:pPr>
    </w:p>
    <w:p>
      <w:pPr>
        <w:jc w:val="both"/>
        <w:ind w:left="20"/>
        <w:spacing w:after="0" w:line="344" w:lineRule="auto"/>
        <w:rPr>
          <w:sz w:val="20"/>
          <w:szCs w:val="20"/>
          <w:color w:val="auto"/>
        </w:rPr>
      </w:pPr>
      <w:r>
        <w:rPr>
          <w:rFonts w:ascii="Arial" w:cs="Arial" w:eastAsia="Arial" w:hAnsi="Arial"/>
          <w:sz w:val="16"/>
          <w:szCs w:val="16"/>
          <w:color w:val="auto"/>
        </w:rPr>
        <w:t>Based on the above, we request that stockholders indicate their support, on a non-binding advisory basis, for the compensation of our NEOs as described in this Proxy Statement by voting “FOR” the following resolution:</w:t>
      </w:r>
    </w:p>
    <w:p>
      <w:pPr>
        <w:spacing w:after="0" w:line="26" w:lineRule="exact"/>
        <w:rPr>
          <w:sz w:val="20"/>
          <w:szCs w:val="20"/>
          <w:color w:val="auto"/>
        </w:rPr>
      </w:pPr>
    </w:p>
    <w:p>
      <w:pPr>
        <w:jc w:val="both"/>
        <w:ind w:left="340" w:right="340"/>
        <w:spacing w:after="0" w:line="314" w:lineRule="auto"/>
        <w:rPr>
          <w:sz w:val="20"/>
          <w:szCs w:val="20"/>
          <w:color w:val="auto"/>
        </w:rPr>
      </w:pPr>
      <w:r>
        <w:rPr>
          <w:rFonts w:ascii="Arial" w:cs="Arial" w:eastAsia="Arial" w:hAnsi="Arial"/>
          <w:sz w:val="16"/>
          <w:szCs w:val="16"/>
          <w:color w:val="auto"/>
        </w:rPr>
        <w:t>“RESOLVED, that the stockholders of Anterix Inc. approve, on an advisory basis, the compensation paid to Anterix Inc.’s named executive officers, as disclosed pursuant to the compensation disclosure rules of the Securities and Exchange Commission, including the Executive Compensation discussion, the compensation tables and the related narrative discussion.”</w:t>
      </w:r>
    </w:p>
    <w:p>
      <w:pPr>
        <w:spacing w:after="0" w:line="63" w:lineRule="exact"/>
        <w:rPr>
          <w:sz w:val="20"/>
          <w:szCs w:val="20"/>
          <w:color w:val="auto"/>
        </w:rPr>
      </w:pPr>
    </w:p>
    <w:p>
      <w:pPr>
        <w:jc w:val="both"/>
        <w:ind w:left="20"/>
        <w:spacing w:after="0" w:line="313" w:lineRule="auto"/>
        <w:rPr>
          <w:sz w:val="20"/>
          <w:szCs w:val="20"/>
          <w:color w:val="auto"/>
        </w:rPr>
      </w:pPr>
      <w:r>
        <w:rPr>
          <w:rFonts w:ascii="Arial" w:cs="Arial" w:eastAsia="Arial" w:hAnsi="Arial"/>
          <w:sz w:val="16"/>
          <w:szCs w:val="16"/>
          <w:color w:val="auto"/>
        </w:rPr>
        <w:t>Although the vote is non-binding, our Board and our Compensation Committee value the opinions of our stockholders and will consider the outcome of the vote when making future compensation decisions for our NEOs. We will hold an advisory vote to approve, on a non-binding advisory basis, the compensation of our NEOs annually.</w:t>
      </w:r>
    </w:p>
    <w:p>
      <w:pPr>
        <w:spacing w:after="0" w:line="63" w:lineRule="exact"/>
        <w:rPr>
          <w:sz w:val="20"/>
          <w:szCs w:val="20"/>
          <w:color w:val="auto"/>
        </w:rPr>
      </w:pPr>
    </w:p>
    <w:p>
      <w:pPr>
        <w:jc w:val="both"/>
        <w:ind w:left="20"/>
        <w:spacing w:after="0" w:line="321" w:lineRule="auto"/>
        <w:rPr>
          <w:sz w:val="20"/>
          <w:szCs w:val="20"/>
          <w:color w:val="auto"/>
        </w:rPr>
      </w:pPr>
      <w:r>
        <w:rPr>
          <w:rFonts w:ascii="Arial" w:cs="Arial" w:eastAsia="Arial" w:hAnsi="Arial"/>
          <w:sz w:val="16"/>
          <w:szCs w:val="16"/>
          <w:color w:val="auto"/>
        </w:rPr>
        <w:t>This advisory, non-binding proposal requires the approval of a majority of the votes cast by the holders of shares present or represented by proxy entitled to vote thereon. Abstentions and broker non-votes will not affect the outcome of the proposal, other than counting towards a quorum of the Annual Meeting.</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b w:val="1"/>
          <w:bCs w:val="1"/>
          <w:color w:val="1B6F80"/>
        </w:rPr>
        <w:t>Section 14A of the Exchange Act requires that we provide our stockholders with the opportunity to vote to approve, on a non-binding, advisory basis, our named executive officer compensation as disclosed in this Proxy Statement</w:t>
      </w:r>
    </w:p>
    <w:p>
      <w:pPr>
        <w:spacing w:after="0" w:line="7" w:lineRule="exact"/>
        <w:rPr>
          <w:sz w:val="20"/>
          <w:szCs w:val="20"/>
          <w:color w:val="auto"/>
        </w:rPr>
      </w:pPr>
    </w:p>
    <w:p>
      <w:pPr>
        <w:ind w:right="400"/>
        <w:spacing w:after="0" w:line="328" w:lineRule="auto"/>
        <w:rPr>
          <w:sz w:val="20"/>
          <w:szCs w:val="20"/>
          <w:color w:val="auto"/>
        </w:rPr>
      </w:pPr>
      <w:r>
        <w:rPr>
          <w:rFonts w:ascii="Arial" w:cs="Arial" w:eastAsia="Arial" w:hAnsi="Arial"/>
          <w:sz w:val="16"/>
          <w:szCs w:val="16"/>
          <w:b w:val="1"/>
          <w:bCs w:val="1"/>
          <w:color w:val="1B6F80"/>
        </w:rPr>
        <w:t>in accordance with the compensation disclosure rules of the SEC.</w:t>
      </w:r>
    </w:p>
    <w:p>
      <w:pPr>
        <w:spacing w:after="0" w:line="4019" w:lineRule="exact"/>
        <w:rPr>
          <w:sz w:val="20"/>
          <w:szCs w:val="20"/>
          <w:color w:val="auto"/>
        </w:rPr>
      </w:pPr>
    </w:p>
    <w:p>
      <w:pPr>
        <w:sectPr>
          <w:pgSz w:w="11920" w:h="16838" w:orient="portrait"/>
          <w:cols w:equalWidth="0" w:num="2">
            <w:col w:w="8440" w:space="440"/>
            <w:col w:w="2360"/>
          </w:cols>
          <w:pgMar w:left="340" w:top="1079" w:right="33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20" w:right="2960" w:hanging="664"/>
        <w:spacing w:after="0" w:line="180" w:lineRule="auto"/>
        <w:tabs>
          <w:tab w:leader="none" w:pos="1020" w:val="left"/>
        </w:tabs>
        <w:numPr>
          <w:ilvl w:val="0"/>
          <w:numId w:val="29"/>
        </w:numPr>
        <w:rPr>
          <w:rFonts w:ascii="Arial" w:cs="Arial" w:eastAsia="Arial" w:hAnsi="Arial"/>
          <w:sz w:val="51"/>
          <w:szCs w:val="51"/>
          <w:b w:val="1"/>
          <w:bCs w:val="1"/>
          <w:color w:val="E5FF70"/>
          <w:vertAlign w:val="subscript"/>
        </w:rPr>
      </w:pPr>
      <w:r>
        <w:rPr>
          <w:rFonts w:ascii="Arial" w:cs="Arial" w:eastAsia="Arial" w:hAnsi="Arial"/>
          <w:sz w:val="20"/>
          <w:szCs w:val="20"/>
          <w:b w:val="1"/>
          <w:bCs w:val="1"/>
          <w:color w:val="181818"/>
        </w:rPr>
        <w:t xml:space="preserve">THE BOARD RECOMMENDS AN ADVISORY VOTE </w:t>
      </w:r>
      <w:r>
        <w:rPr>
          <w:rFonts w:ascii="Arial" w:cs="Arial" w:eastAsia="Arial" w:hAnsi="Arial"/>
          <w:sz w:val="20"/>
          <w:szCs w:val="20"/>
          <w:b w:val="1"/>
          <w:bCs w:val="1"/>
          <w:color w:val="1B6F80"/>
        </w:rPr>
        <w:t>FOR</w:t>
      </w:r>
      <w:r>
        <w:rPr>
          <w:rFonts w:ascii="Arial" w:cs="Arial" w:eastAsia="Arial" w:hAnsi="Arial"/>
          <w:sz w:val="20"/>
          <w:szCs w:val="20"/>
          <w:b w:val="1"/>
          <w:bCs w:val="1"/>
          <w:color w:val="181818"/>
        </w:rPr>
        <w:t xml:space="preserve"> OUR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-430530</wp:posOffset>
            </wp:positionV>
            <wp:extent cx="5374640" cy="4800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74640" cy="480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563245</wp:posOffset>
            </wp:positionV>
            <wp:extent cx="71577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40"/>
          </w:cols>
          <w:pgMar w:left="340" w:top="1079" w:right="33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79" w:right="338"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41"/>
          <w:szCs w:val="41"/>
          <w:b w:val="1"/>
          <w:bCs w:val="1"/>
          <w:color w:val="181818"/>
        </w:rPr>
        <w:t>Executive Compensation (CD&amp;A)</w:t>
      </w:r>
    </w:p>
    <w:p>
      <w:pPr>
        <w:spacing w:after="0" w:line="17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In Fiscal 2023, we became a smaller reporting company under Item 10 of Regulation S-K. Although the SEC rules allow us, as a smaller reporting company, to provide less detail about our executive compensation program than companies that are not smaller reporting companies, our Compensation Committee is committed to providing the information necessary to help stockholders understand its executive compensation-related decisions. Accordingly, this section includes supplemental narratives that describe our Fiscal 2026 compensation program for our NEOs.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Our NEOs for Fiscal 2026 were:</w:t>
      </w:r>
    </w:p>
    <w:p>
      <w:pPr>
        <w:spacing w:after="0" w:line="108" w:lineRule="exact"/>
        <w:rPr>
          <w:sz w:val="20"/>
          <w:szCs w:val="20"/>
          <w:color w:val="auto"/>
        </w:rPr>
      </w:pPr>
    </w:p>
    <w:p>
      <w:pPr>
        <w:ind w:left="460" w:hanging="305"/>
        <w:spacing w:after="0"/>
        <w:tabs>
          <w:tab w:leader="none" w:pos="460" w:val="left"/>
        </w:tabs>
        <w:numPr>
          <w:ilvl w:val="0"/>
          <w:numId w:val="30"/>
        </w:numPr>
        <w:rPr>
          <w:rFonts w:ascii="Arial" w:cs="Arial" w:eastAsia="Arial" w:hAnsi="Arial"/>
          <w:sz w:val="22"/>
          <w:szCs w:val="22"/>
          <w:b w:val="1"/>
          <w:bCs w:val="1"/>
          <w:color w:val="1B6F80"/>
        </w:rPr>
      </w:pPr>
      <w:r>
        <w:rPr>
          <w:rFonts w:ascii="Arial" w:cs="Arial" w:eastAsia="Arial" w:hAnsi="Arial"/>
          <w:sz w:val="16"/>
          <w:szCs w:val="16"/>
          <w:color w:val="auto"/>
        </w:rPr>
        <w:t>Scott Lang, President and CEO;</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30"/>
        </w:numPr>
        <w:rPr>
          <w:rFonts w:ascii="Arial" w:cs="Arial" w:eastAsia="Arial" w:hAnsi="Arial"/>
          <w:sz w:val="22"/>
          <w:szCs w:val="22"/>
          <w:b w:val="1"/>
          <w:bCs w:val="1"/>
          <w:color w:val="1B6F80"/>
        </w:rPr>
      </w:pPr>
      <w:r>
        <w:rPr>
          <w:rFonts w:ascii="Arial" w:cs="Arial" w:eastAsia="Arial" w:hAnsi="Arial"/>
          <w:sz w:val="16"/>
          <w:szCs w:val="16"/>
          <w:color w:val="auto"/>
        </w:rPr>
        <w:t>Christopher Guttman-McCabe, Chief Regulatory and Communications Officer;</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30"/>
        </w:numPr>
        <w:rPr>
          <w:rFonts w:ascii="Arial" w:cs="Arial" w:eastAsia="Arial" w:hAnsi="Arial"/>
          <w:sz w:val="22"/>
          <w:szCs w:val="22"/>
          <w:b w:val="1"/>
          <w:bCs w:val="1"/>
          <w:color w:val="1B6F80"/>
        </w:rPr>
      </w:pPr>
      <w:r>
        <w:rPr>
          <w:rFonts w:ascii="Arial" w:cs="Arial" w:eastAsia="Arial" w:hAnsi="Arial"/>
          <w:sz w:val="16"/>
          <w:szCs w:val="16"/>
          <w:color w:val="auto"/>
        </w:rPr>
        <w:t>Heather Martin, Chief Marketing Officer and Chief of Staff; and</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30"/>
        </w:numPr>
        <w:rPr>
          <w:rFonts w:ascii="Arial" w:cs="Arial" w:eastAsia="Arial" w:hAnsi="Arial"/>
          <w:sz w:val="22"/>
          <w:szCs w:val="22"/>
          <w:b w:val="1"/>
          <w:bCs w:val="1"/>
          <w:color w:val="1B6F80"/>
        </w:rPr>
      </w:pPr>
      <w:r>
        <w:rPr>
          <w:rFonts w:ascii="Arial" w:cs="Arial" w:eastAsia="Arial" w:hAnsi="Arial"/>
          <w:sz w:val="16"/>
          <w:szCs w:val="16"/>
          <w:color w:val="auto"/>
        </w:rPr>
        <w:t>Ryan Gerbrandt, Chief Operating Officer (through January 9, 2026)</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Compensation Committee comprises four directors, each independent under the rules and regulations established by the SEC and Nasdaq. Our Board delegated authority to the Compensation Committee to establish our executive officer compensation program and to approve all compensation received by our executive officers other than the Executive Chair and CEO. The Board, based on recommendations from the Compensation Committees, sets the compensation for the Executive Chair and CEO. Our Board and Compensation Committee believe that adopting appropriate and sound compensation programs and practices is fundamental to our business' overall success as well as vital in aligning our executive officers' interests with our stockholders' interests.</w:t>
      </w:r>
    </w:p>
    <w:p>
      <w:pPr>
        <w:spacing w:after="0" w:line="73"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This Executive Compensation discussion describes the material elements of our executive compensation program for our NEOs during Fiscal 2026, provides an overview of our executive officer compensation philosophy and objectives (the "Compensation Philosophy") and discusses how and why the Compensation Committee arrived at the specific compensation decisions for our NEOs for Fiscal 2026.</w:t>
      </w:r>
    </w:p>
    <w:p>
      <w:pPr>
        <w:spacing w:after="0" w:line="121"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Summary of Fiscal 2026 Achievements</w:t>
      </w:r>
    </w:p>
    <w:p>
      <w:pPr>
        <w:spacing w:after="0" w:line="137"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Anterix is spearheading a major transformation in the critical infrastructure enterprise communications sector. As the largest holder of licensed 900 MHz spectrum (896–901/935–940 MHz) across the contiguous United States, Alaska, Hawaii, and Puerto Rico, Anterix provides the connectivity foundation that powers a more resourceful and resilient future.</w:t>
      </w:r>
    </w:p>
    <w:p>
      <w:pPr>
        <w:spacing w:after="0" w:line="6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During Fiscal 2026, we evolved our business strategy. Building on our foundation as the largest holder of licensed 900 MHz spectrum, we broadened our model from one centered on long-term leasing to one in which we acquire, clear, sell and lease spectrum and develop a growing portfolio of products and services around it — designed to generate recurring revenue as customer networks are deployed and operated. This evolved strategy is centered on empowering utilities and other critical infrastructure enterprises to modernize their operations through purpose-built communications infrastructure. Supported by the Anterix Active Ecosystem®—now more than 150 members strong—and our TowerX™ nationwide tower access program and CatalyX® turnkey connectivity management solution, we are delivering real solutions to today’s critical infrastructure challenges, including decarbonization, cybersecurity, grid resilience, and electrification.</w:t>
      </w:r>
    </w:p>
    <w:p>
      <w:pPr>
        <w:spacing w:after="0" w:line="75"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In Fiscal 2026, we made significant progress in advancing our vision to deliver secure, scalable solutions for the benefit of critical infrastructure enterprises, enabled by private wireless broadband connectivity. Some of our achievements include:</w:t>
      </w:r>
    </w:p>
    <w:p>
      <w:pPr>
        <w:spacing w:after="0" w:line="54" w:lineRule="exact"/>
        <w:rPr>
          <w:sz w:val="20"/>
          <w:szCs w:val="20"/>
          <w:color w:val="auto"/>
        </w:rPr>
      </w:pPr>
    </w:p>
    <w:p>
      <w:pPr>
        <w:ind w:left="480" w:hanging="325"/>
        <w:spacing w:after="0" w:line="344" w:lineRule="auto"/>
        <w:tabs>
          <w:tab w:leader="none" w:pos="452" w:val="left"/>
        </w:tabs>
        <w:numPr>
          <w:ilvl w:val="0"/>
          <w:numId w:val="31"/>
        </w:numPr>
        <w:rPr>
          <w:rFonts w:ascii="Arial" w:cs="Arial" w:eastAsia="Arial" w:hAnsi="Arial"/>
          <w:sz w:val="16"/>
          <w:szCs w:val="16"/>
          <w:b w:val="1"/>
          <w:bCs w:val="1"/>
          <w:color w:val="1B6F80"/>
        </w:rPr>
      </w:pPr>
      <w:r>
        <w:rPr>
          <w:rFonts w:ascii="Arial" w:cs="Arial" w:eastAsia="Arial" w:hAnsi="Arial"/>
          <w:sz w:val="16"/>
          <w:szCs w:val="16"/>
          <w:color w:val="auto"/>
        </w:rPr>
        <w:t>Securing an FCC Report &amp; Order enabling broadband deployment across the full 10 MHz of the 900 MHz band, unlocking opportunities for Anterix, our ecosystem of innovators, and critical infrastructure enterprises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345440</wp:posOffset>
            </wp:positionV>
            <wp:extent cx="71577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30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79" w:right="318"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0" w:hanging="325"/>
        <w:spacing w:after="0" w:line="344" w:lineRule="auto"/>
        <w:tabs>
          <w:tab w:leader="none" w:pos="452" w:val="left"/>
        </w:tabs>
        <w:numPr>
          <w:ilvl w:val="0"/>
          <w:numId w:val="32"/>
        </w:numPr>
        <w:rPr>
          <w:rFonts w:ascii="Arial" w:cs="Arial" w:eastAsia="Arial" w:hAnsi="Arial"/>
          <w:sz w:val="16"/>
          <w:szCs w:val="16"/>
          <w:b w:val="1"/>
          <w:bCs w:val="1"/>
          <w:color w:val="1B6F80"/>
        </w:rPr>
      </w:pPr>
      <w:r>
        <w:rPr>
          <w:rFonts w:ascii="Arial" w:cs="Arial" w:eastAsia="Arial" w:hAnsi="Arial"/>
          <w:sz w:val="16"/>
          <w:szCs w:val="16"/>
          <w:color w:val="auto"/>
        </w:rPr>
        <w:t>Executing a $13-million spectrum sale agreement with CPS Energy, the nation’s largest community-owned provider of electricity and natural gas, to strengthen its grid operations, enhance reliability, and accelerate innovation at scale.</w:t>
      </w:r>
    </w:p>
    <w:p>
      <w:pPr>
        <w:spacing w:after="0" w:line="39" w:lineRule="exact"/>
        <w:rPr>
          <w:rFonts w:ascii="Arial" w:cs="Arial" w:eastAsia="Arial" w:hAnsi="Arial"/>
          <w:sz w:val="16"/>
          <w:szCs w:val="16"/>
          <w:b w:val="1"/>
          <w:bCs w:val="1"/>
          <w:color w:val="1B6F80"/>
        </w:rPr>
      </w:pPr>
    </w:p>
    <w:p>
      <w:pPr>
        <w:ind w:left="440" w:hanging="285"/>
        <w:spacing w:after="0"/>
        <w:tabs>
          <w:tab w:leader="none" w:pos="440" w:val="left"/>
        </w:tabs>
        <w:numPr>
          <w:ilvl w:val="0"/>
          <w:numId w:val="32"/>
        </w:numPr>
        <w:rPr>
          <w:rFonts w:ascii="Arial" w:cs="Arial" w:eastAsia="Arial" w:hAnsi="Arial"/>
          <w:sz w:val="16"/>
          <w:szCs w:val="16"/>
          <w:b w:val="1"/>
          <w:bCs w:val="1"/>
          <w:color w:val="1B6F80"/>
        </w:rPr>
      </w:pPr>
      <w:r>
        <w:rPr>
          <w:rFonts w:ascii="Arial" w:cs="Arial" w:eastAsia="Arial" w:hAnsi="Arial"/>
          <w:sz w:val="16"/>
          <w:szCs w:val="16"/>
          <w:color w:val="auto"/>
        </w:rPr>
        <w:t>Completing a $3.2-million spectrum sale agreement with Texas-New Mexico Power, expanding coverage to more than 93% of Texas counties.</w:t>
      </w:r>
    </w:p>
    <w:p>
      <w:pPr>
        <w:spacing w:after="0" w:line="140" w:lineRule="exact"/>
        <w:rPr>
          <w:rFonts w:ascii="Arial" w:cs="Arial" w:eastAsia="Arial" w:hAnsi="Arial"/>
          <w:sz w:val="16"/>
          <w:szCs w:val="16"/>
          <w:b w:val="1"/>
          <w:bCs w:val="1"/>
          <w:color w:val="1B6F80"/>
        </w:rPr>
      </w:pPr>
    </w:p>
    <w:p>
      <w:pPr>
        <w:ind w:left="460" w:hanging="305"/>
        <w:spacing w:after="0"/>
        <w:tabs>
          <w:tab w:leader="none" w:pos="460" w:val="left"/>
        </w:tabs>
        <w:numPr>
          <w:ilvl w:val="0"/>
          <w:numId w:val="32"/>
        </w:numPr>
        <w:rPr>
          <w:rFonts w:ascii="Arial" w:cs="Arial" w:eastAsia="Arial" w:hAnsi="Arial"/>
          <w:sz w:val="16"/>
          <w:szCs w:val="16"/>
          <w:b w:val="1"/>
          <w:bCs w:val="1"/>
          <w:color w:val="1B6F80"/>
        </w:rPr>
      </w:pPr>
      <w:r>
        <w:rPr>
          <w:rFonts w:ascii="Arial" w:cs="Arial" w:eastAsia="Arial" w:hAnsi="Arial"/>
          <w:sz w:val="16"/>
          <w:szCs w:val="16"/>
          <w:color w:val="auto"/>
        </w:rPr>
        <w:t>Signing a $7.7-million spectrum sale agreement with NorthWestern Energy, covering several counties in Montana, South Dakota, and Wyoming.</w:t>
      </w:r>
    </w:p>
    <w:p>
      <w:pPr>
        <w:spacing w:after="0" w:line="153" w:lineRule="exact"/>
        <w:rPr>
          <w:rFonts w:ascii="Arial" w:cs="Arial" w:eastAsia="Arial" w:hAnsi="Arial"/>
          <w:sz w:val="16"/>
          <w:szCs w:val="16"/>
          <w:b w:val="1"/>
          <w:bCs w:val="1"/>
          <w:color w:val="1B6F80"/>
        </w:rPr>
      </w:pPr>
    </w:p>
    <w:p>
      <w:pPr>
        <w:ind w:left="480" w:hanging="325"/>
        <w:spacing w:after="0" w:line="344" w:lineRule="auto"/>
        <w:tabs>
          <w:tab w:leader="none" w:pos="449" w:val="left"/>
        </w:tabs>
        <w:numPr>
          <w:ilvl w:val="0"/>
          <w:numId w:val="32"/>
        </w:numPr>
        <w:rPr>
          <w:rFonts w:ascii="Arial" w:cs="Arial" w:eastAsia="Arial" w:hAnsi="Arial"/>
          <w:sz w:val="16"/>
          <w:szCs w:val="16"/>
          <w:b w:val="1"/>
          <w:bCs w:val="1"/>
          <w:color w:val="1B6F80"/>
        </w:rPr>
      </w:pPr>
      <w:r>
        <w:rPr>
          <w:rFonts w:ascii="Arial" w:cs="Arial" w:eastAsia="Arial" w:hAnsi="Arial"/>
          <w:sz w:val="16"/>
          <w:szCs w:val="16"/>
          <w:color w:val="auto"/>
        </w:rPr>
        <w:t>Launching TowerX™, a powerful turnkey tower optimization and access program to help critical infrastructure enterprises deploy 900 MHz private wireless broadband networks faster, smarter, and more cost-effectively.</w:t>
      </w:r>
    </w:p>
    <w:p>
      <w:pPr>
        <w:spacing w:after="0" w:line="39" w:lineRule="exact"/>
        <w:rPr>
          <w:rFonts w:ascii="Arial" w:cs="Arial" w:eastAsia="Arial" w:hAnsi="Arial"/>
          <w:sz w:val="16"/>
          <w:szCs w:val="16"/>
          <w:b w:val="1"/>
          <w:bCs w:val="1"/>
          <w:color w:val="1B6F80"/>
        </w:rPr>
      </w:pPr>
    </w:p>
    <w:p>
      <w:pPr>
        <w:ind w:left="440" w:hanging="285"/>
        <w:spacing w:after="0"/>
        <w:tabs>
          <w:tab w:leader="none" w:pos="440" w:val="left"/>
        </w:tabs>
        <w:numPr>
          <w:ilvl w:val="0"/>
          <w:numId w:val="32"/>
        </w:numPr>
        <w:rPr>
          <w:rFonts w:ascii="Arial" w:cs="Arial" w:eastAsia="Arial" w:hAnsi="Arial"/>
          <w:sz w:val="16"/>
          <w:szCs w:val="16"/>
          <w:b w:val="1"/>
          <w:bCs w:val="1"/>
          <w:color w:val="1B6F80"/>
        </w:rPr>
      </w:pPr>
      <w:r>
        <w:rPr>
          <w:rFonts w:ascii="Arial" w:cs="Arial" w:eastAsia="Arial" w:hAnsi="Arial"/>
          <w:sz w:val="16"/>
          <w:szCs w:val="16"/>
          <w:color w:val="auto"/>
        </w:rPr>
        <w:t>Further strengthening our balance sheet, with zero debt and $127 million of contracted proceeds received from customers in Fiscal 2026.</w:t>
      </w:r>
    </w:p>
    <w:p>
      <w:pPr>
        <w:spacing w:after="0" w:line="153" w:lineRule="exact"/>
        <w:rPr>
          <w:rFonts w:ascii="Arial" w:cs="Arial" w:eastAsia="Arial" w:hAnsi="Arial"/>
          <w:sz w:val="16"/>
          <w:szCs w:val="16"/>
          <w:b w:val="1"/>
          <w:bCs w:val="1"/>
          <w:color w:val="1B6F80"/>
        </w:rPr>
      </w:pPr>
    </w:p>
    <w:p>
      <w:pPr>
        <w:ind w:left="480" w:hanging="325"/>
        <w:spacing w:after="0" w:line="326" w:lineRule="auto"/>
        <w:tabs>
          <w:tab w:leader="none" w:pos="452" w:val="left"/>
        </w:tabs>
        <w:numPr>
          <w:ilvl w:val="0"/>
          <w:numId w:val="32"/>
        </w:numPr>
        <w:rPr>
          <w:rFonts w:ascii="Arial" w:cs="Arial" w:eastAsia="Arial" w:hAnsi="Arial"/>
          <w:sz w:val="16"/>
          <w:szCs w:val="16"/>
          <w:b w:val="1"/>
          <w:bCs w:val="1"/>
          <w:color w:val="1B6F80"/>
        </w:rPr>
      </w:pPr>
      <w:r>
        <w:rPr>
          <w:rFonts w:ascii="Arial" w:cs="Arial" w:eastAsia="Arial" w:hAnsi="Arial"/>
          <w:sz w:val="16"/>
          <w:szCs w:val="16"/>
          <w:color w:val="auto"/>
        </w:rPr>
        <w:t>Appointing Elena Marquez as Chief Financial Officer, Heather Martin as Chief Marketing Officer and Chief of Staff, and Ross Spero as Chief Product Officer.</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Fiscal 2026 Compensation Highlights</w:t>
      </w:r>
    </w:p>
    <w:p>
      <w:pPr>
        <w:spacing w:after="0" w:line="137"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The Compensation Committee met regularly throughout Fiscal 2026 to review our executive compensation program in parallel with our short-term and long-term goals, given the dynamic nature of our business and the market in which we compete for executive talent.</w:t>
      </w:r>
    </w:p>
    <w:p>
      <w:pPr>
        <w:spacing w:after="0" w:line="54"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For Fiscal 2026, the Compensation Committee approved a compensation mix that targets the 50th percentile of market across compensation elements and in total. In prior years, the compensation mix for our NEOs targeted below median for cash compensation and above median for long-term incentives.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Compensation Practices and Performance Metrics</w:t>
      </w:r>
    </w:p>
    <w:p>
      <w:pPr>
        <w:spacing w:after="0" w:line="13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Compensation Committee regularly reviews best practices in governance and executive compensation. The following is a summary of the current executive compensation practices utilized by the Compensation Committee to tie compensation to Company performance and serve our stockholders' long-term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57720" cy="28378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283781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p>
      <w:pPr>
        <w:spacing w:after="0" w:line="11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What We Do</w:t>
      </w:r>
    </w:p>
    <w:p>
      <w:pPr>
        <w:spacing w:after="0" w:line="143" w:lineRule="exact"/>
        <w:rPr>
          <w:sz w:val="20"/>
          <w:szCs w:val="20"/>
          <w:color w:val="auto"/>
        </w:rPr>
      </w:pPr>
    </w:p>
    <w:p>
      <w:pPr>
        <w:ind w:left="540" w:hanging="340"/>
        <w:spacing w:after="0"/>
        <w:tabs>
          <w:tab w:leader="none" w:pos="540" w:val="left"/>
        </w:tabs>
        <w:numPr>
          <w:ilvl w:val="0"/>
          <w:numId w:val="33"/>
        </w:numPr>
        <w:rPr>
          <w:rFonts w:ascii="Arial" w:cs="Arial" w:eastAsia="Arial" w:hAnsi="Arial"/>
          <w:sz w:val="20"/>
          <w:szCs w:val="20"/>
          <w:b w:val="1"/>
          <w:bCs w:val="1"/>
          <w:color w:val="1B6F80"/>
        </w:rPr>
      </w:pPr>
      <w:r>
        <w:rPr>
          <w:rFonts w:ascii="Arial" w:cs="Arial" w:eastAsia="Arial" w:hAnsi="Arial"/>
          <w:sz w:val="14"/>
          <w:szCs w:val="14"/>
          <w:color w:val="auto"/>
        </w:rPr>
        <w:t>Annual Bonus Tied to Performance</w:t>
      </w:r>
    </w:p>
    <w:p>
      <w:pPr>
        <w:spacing w:after="0" w:line="107" w:lineRule="exact"/>
        <w:rPr>
          <w:rFonts w:ascii="Arial" w:cs="Arial" w:eastAsia="Arial" w:hAnsi="Arial"/>
          <w:sz w:val="20"/>
          <w:szCs w:val="20"/>
          <w:b w:val="1"/>
          <w:bCs w:val="1"/>
          <w:color w:val="1B6F80"/>
        </w:rPr>
      </w:pPr>
    </w:p>
    <w:p>
      <w:pPr>
        <w:ind w:left="540" w:hanging="340"/>
        <w:spacing w:after="0"/>
        <w:tabs>
          <w:tab w:leader="none" w:pos="540" w:val="left"/>
        </w:tabs>
        <w:numPr>
          <w:ilvl w:val="0"/>
          <w:numId w:val="33"/>
        </w:numPr>
        <w:rPr>
          <w:rFonts w:ascii="Arial" w:cs="Arial" w:eastAsia="Arial" w:hAnsi="Arial"/>
          <w:sz w:val="20"/>
          <w:szCs w:val="20"/>
          <w:b w:val="1"/>
          <w:bCs w:val="1"/>
          <w:color w:val="1B6F80"/>
        </w:rPr>
      </w:pPr>
      <w:r>
        <w:rPr>
          <w:rFonts w:ascii="Arial" w:cs="Arial" w:eastAsia="Arial" w:hAnsi="Arial"/>
          <w:sz w:val="14"/>
          <w:szCs w:val="14"/>
          <w:color w:val="auto"/>
        </w:rPr>
        <w:t>Double-trigger Vesting of Equity Awards with CIC</w:t>
      </w:r>
    </w:p>
    <w:p>
      <w:pPr>
        <w:spacing w:after="0" w:line="121" w:lineRule="exact"/>
        <w:rPr>
          <w:rFonts w:ascii="Arial" w:cs="Arial" w:eastAsia="Arial" w:hAnsi="Arial"/>
          <w:sz w:val="20"/>
          <w:szCs w:val="20"/>
          <w:b w:val="1"/>
          <w:bCs w:val="1"/>
          <w:color w:val="1B6F80"/>
        </w:rPr>
      </w:pPr>
    </w:p>
    <w:p>
      <w:pPr>
        <w:ind w:left="540" w:hanging="340"/>
        <w:spacing w:after="0"/>
        <w:tabs>
          <w:tab w:leader="none" w:pos="540" w:val="left"/>
        </w:tabs>
        <w:numPr>
          <w:ilvl w:val="0"/>
          <w:numId w:val="33"/>
        </w:numPr>
        <w:rPr>
          <w:rFonts w:ascii="Arial" w:cs="Arial" w:eastAsia="Arial" w:hAnsi="Arial"/>
          <w:sz w:val="20"/>
          <w:szCs w:val="20"/>
          <w:b w:val="1"/>
          <w:bCs w:val="1"/>
          <w:color w:val="1B6F80"/>
        </w:rPr>
      </w:pPr>
      <w:r>
        <w:rPr>
          <w:rFonts w:ascii="Arial" w:cs="Arial" w:eastAsia="Arial" w:hAnsi="Arial"/>
          <w:sz w:val="14"/>
          <w:szCs w:val="14"/>
          <w:color w:val="auto"/>
        </w:rPr>
        <w:t>Peer Group Used to Inform Pay Practices</w:t>
      </w:r>
    </w:p>
    <w:p>
      <w:pPr>
        <w:spacing w:after="0" w:line="121" w:lineRule="exact"/>
        <w:rPr>
          <w:rFonts w:ascii="Arial" w:cs="Arial" w:eastAsia="Arial" w:hAnsi="Arial"/>
          <w:sz w:val="20"/>
          <w:szCs w:val="20"/>
          <w:b w:val="1"/>
          <w:bCs w:val="1"/>
          <w:color w:val="1B6F80"/>
        </w:rPr>
      </w:pPr>
    </w:p>
    <w:p>
      <w:pPr>
        <w:ind w:left="540" w:hanging="340"/>
        <w:spacing w:after="0"/>
        <w:tabs>
          <w:tab w:leader="none" w:pos="540" w:val="left"/>
        </w:tabs>
        <w:numPr>
          <w:ilvl w:val="0"/>
          <w:numId w:val="33"/>
        </w:numPr>
        <w:rPr>
          <w:rFonts w:ascii="Arial" w:cs="Arial" w:eastAsia="Arial" w:hAnsi="Arial"/>
          <w:sz w:val="20"/>
          <w:szCs w:val="20"/>
          <w:b w:val="1"/>
          <w:bCs w:val="1"/>
          <w:color w:val="1B6F80"/>
        </w:rPr>
      </w:pPr>
      <w:r>
        <w:rPr>
          <w:rFonts w:ascii="Arial" w:cs="Arial" w:eastAsia="Arial" w:hAnsi="Arial"/>
          <w:sz w:val="14"/>
          <w:szCs w:val="14"/>
          <w:color w:val="auto"/>
        </w:rPr>
        <w:t>Independent Compensation Committee</w:t>
      </w:r>
    </w:p>
    <w:p>
      <w:pPr>
        <w:spacing w:after="0" w:line="121" w:lineRule="exact"/>
        <w:rPr>
          <w:rFonts w:ascii="Arial" w:cs="Arial" w:eastAsia="Arial" w:hAnsi="Arial"/>
          <w:sz w:val="20"/>
          <w:szCs w:val="20"/>
          <w:b w:val="1"/>
          <w:bCs w:val="1"/>
          <w:color w:val="1B6F80"/>
        </w:rPr>
      </w:pPr>
    </w:p>
    <w:p>
      <w:pPr>
        <w:ind w:left="540" w:hanging="340"/>
        <w:spacing w:after="0"/>
        <w:tabs>
          <w:tab w:leader="none" w:pos="540" w:val="left"/>
        </w:tabs>
        <w:numPr>
          <w:ilvl w:val="0"/>
          <w:numId w:val="33"/>
        </w:numPr>
        <w:rPr>
          <w:rFonts w:ascii="Arial" w:cs="Arial" w:eastAsia="Arial" w:hAnsi="Arial"/>
          <w:sz w:val="20"/>
          <w:szCs w:val="20"/>
          <w:b w:val="1"/>
          <w:bCs w:val="1"/>
          <w:color w:val="1B6F80"/>
        </w:rPr>
      </w:pPr>
      <w:r>
        <w:rPr>
          <w:rFonts w:ascii="Arial" w:cs="Arial" w:eastAsia="Arial" w:hAnsi="Arial"/>
          <w:sz w:val="14"/>
          <w:szCs w:val="14"/>
          <w:color w:val="auto"/>
        </w:rPr>
        <w:t>Prohibit Hedging or Pledging Stock</w:t>
      </w:r>
    </w:p>
    <w:p>
      <w:pPr>
        <w:spacing w:after="0" w:line="156" w:lineRule="exact"/>
        <w:rPr>
          <w:rFonts w:ascii="Arial" w:cs="Arial" w:eastAsia="Arial" w:hAnsi="Arial"/>
          <w:sz w:val="20"/>
          <w:szCs w:val="20"/>
          <w:b w:val="1"/>
          <w:bCs w:val="1"/>
          <w:color w:val="1B6F80"/>
        </w:rPr>
      </w:pPr>
    </w:p>
    <w:p>
      <w:pPr>
        <w:ind w:left="540" w:right="200" w:hanging="340"/>
        <w:spacing w:after="0" w:line="181" w:lineRule="auto"/>
        <w:tabs>
          <w:tab w:leader="none" w:pos="540" w:val="left"/>
        </w:tabs>
        <w:numPr>
          <w:ilvl w:val="0"/>
          <w:numId w:val="33"/>
        </w:numPr>
        <w:rPr>
          <w:rFonts w:ascii="Arial" w:cs="Arial" w:eastAsia="Arial" w:hAnsi="Arial"/>
          <w:sz w:val="29"/>
          <w:szCs w:val="29"/>
          <w:b w:val="1"/>
          <w:bCs w:val="1"/>
          <w:color w:val="1B6F80"/>
          <w:vertAlign w:val="subscript"/>
        </w:rPr>
      </w:pPr>
      <w:r>
        <w:rPr>
          <w:rFonts w:ascii="Arial" w:cs="Arial" w:eastAsia="Arial" w:hAnsi="Arial"/>
          <w:sz w:val="12"/>
          <w:szCs w:val="12"/>
          <w:color w:val="auto"/>
        </w:rPr>
        <w:t>Engage Key Stockholders to Design Compensation Program to Drive Stockholder Value</w:t>
      </w:r>
    </w:p>
    <w:p>
      <w:pPr>
        <w:spacing w:after="0" w:line="121" w:lineRule="exact"/>
        <w:rPr>
          <w:rFonts w:ascii="Arial" w:cs="Arial" w:eastAsia="Arial" w:hAnsi="Arial"/>
          <w:sz w:val="29"/>
          <w:szCs w:val="29"/>
          <w:b w:val="1"/>
          <w:bCs w:val="1"/>
          <w:color w:val="1B6F80"/>
          <w:vertAlign w:val="subscript"/>
        </w:rPr>
      </w:pPr>
    </w:p>
    <w:p>
      <w:pPr>
        <w:ind w:left="540" w:hanging="340"/>
        <w:spacing w:after="0"/>
        <w:tabs>
          <w:tab w:leader="none" w:pos="540" w:val="left"/>
        </w:tabs>
        <w:numPr>
          <w:ilvl w:val="0"/>
          <w:numId w:val="33"/>
        </w:numPr>
        <w:rPr>
          <w:rFonts w:ascii="Arial" w:cs="Arial" w:eastAsia="Arial" w:hAnsi="Arial"/>
          <w:sz w:val="20"/>
          <w:szCs w:val="20"/>
          <w:b w:val="1"/>
          <w:bCs w:val="1"/>
          <w:color w:val="1B6F80"/>
        </w:rPr>
      </w:pPr>
      <w:r>
        <w:rPr>
          <w:rFonts w:ascii="Arial" w:cs="Arial" w:eastAsia="Arial" w:hAnsi="Arial"/>
          <w:sz w:val="14"/>
          <w:szCs w:val="14"/>
          <w:color w:val="auto"/>
        </w:rPr>
        <w:t>Annual Compensation Risk Assessment</w:t>
      </w:r>
    </w:p>
    <w:p>
      <w:pPr>
        <w:spacing w:after="0" w:line="121" w:lineRule="exact"/>
        <w:rPr>
          <w:rFonts w:ascii="Arial" w:cs="Arial" w:eastAsia="Arial" w:hAnsi="Arial"/>
          <w:sz w:val="20"/>
          <w:szCs w:val="20"/>
          <w:b w:val="1"/>
          <w:bCs w:val="1"/>
          <w:color w:val="1B6F80"/>
        </w:rPr>
      </w:pPr>
    </w:p>
    <w:p>
      <w:pPr>
        <w:ind w:left="540" w:hanging="340"/>
        <w:spacing w:after="0"/>
        <w:tabs>
          <w:tab w:leader="none" w:pos="540" w:val="left"/>
        </w:tabs>
        <w:numPr>
          <w:ilvl w:val="0"/>
          <w:numId w:val="33"/>
        </w:numPr>
        <w:rPr>
          <w:rFonts w:ascii="Arial" w:cs="Arial" w:eastAsia="Arial" w:hAnsi="Arial"/>
          <w:sz w:val="20"/>
          <w:szCs w:val="20"/>
          <w:b w:val="1"/>
          <w:bCs w:val="1"/>
          <w:color w:val="1B6F80"/>
        </w:rPr>
      </w:pPr>
      <w:r>
        <w:rPr>
          <w:rFonts w:ascii="Arial" w:cs="Arial" w:eastAsia="Arial" w:hAnsi="Arial"/>
          <w:sz w:val="14"/>
          <w:szCs w:val="14"/>
          <w:color w:val="auto"/>
        </w:rPr>
        <w:t>Stock Ownership Guidelines for Directors and Executives</w:t>
      </w:r>
    </w:p>
    <w:p>
      <w:pPr>
        <w:spacing w:after="0" w:line="121" w:lineRule="exact"/>
        <w:rPr>
          <w:rFonts w:ascii="Arial" w:cs="Arial" w:eastAsia="Arial" w:hAnsi="Arial"/>
          <w:sz w:val="20"/>
          <w:szCs w:val="20"/>
          <w:b w:val="1"/>
          <w:bCs w:val="1"/>
          <w:color w:val="1B6F80"/>
        </w:rPr>
      </w:pPr>
    </w:p>
    <w:p>
      <w:pPr>
        <w:ind w:left="540" w:hanging="340"/>
        <w:spacing w:after="0"/>
        <w:tabs>
          <w:tab w:leader="none" w:pos="540" w:val="left"/>
        </w:tabs>
        <w:numPr>
          <w:ilvl w:val="0"/>
          <w:numId w:val="33"/>
        </w:numPr>
        <w:rPr>
          <w:rFonts w:ascii="Arial" w:cs="Arial" w:eastAsia="Arial" w:hAnsi="Arial"/>
          <w:sz w:val="20"/>
          <w:szCs w:val="20"/>
          <w:b w:val="1"/>
          <w:bCs w:val="1"/>
          <w:color w:val="1B6F80"/>
        </w:rPr>
      </w:pPr>
      <w:r>
        <w:rPr>
          <w:rFonts w:ascii="Arial" w:cs="Arial" w:eastAsia="Arial" w:hAnsi="Arial"/>
          <w:sz w:val="14"/>
          <w:szCs w:val="14"/>
          <w:color w:val="auto"/>
        </w:rPr>
        <w:t>Grant Equity Awards to Incentivize Long-term Growth</w:t>
      </w:r>
    </w:p>
    <w:p>
      <w:pPr>
        <w:spacing w:after="0" w:line="121" w:lineRule="exact"/>
        <w:rPr>
          <w:rFonts w:ascii="Arial" w:cs="Arial" w:eastAsia="Arial" w:hAnsi="Arial"/>
          <w:sz w:val="20"/>
          <w:szCs w:val="20"/>
          <w:b w:val="1"/>
          <w:bCs w:val="1"/>
          <w:color w:val="1B6F80"/>
        </w:rPr>
      </w:pPr>
    </w:p>
    <w:p>
      <w:pPr>
        <w:ind w:left="540" w:hanging="340"/>
        <w:spacing w:after="0"/>
        <w:tabs>
          <w:tab w:leader="none" w:pos="540" w:val="left"/>
        </w:tabs>
        <w:numPr>
          <w:ilvl w:val="0"/>
          <w:numId w:val="33"/>
        </w:numPr>
        <w:rPr>
          <w:rFonts w:ascii="Arial" w:cs="Arial" w:eastAsia="Arial" w:hAnsi="Arial"/>
          <w:sz w:val="20"/>
          <w:szCs w:val="20"/>
          <w:b w:val="1"/>
          <w:bCs w:val="1"/>
          <w:color w:val="1B6F80"/>
        </w:rPr>
      </w:pPr>
      <w:r>
        <w:rPr>
          <w:rFonts w:ascii="Arial" w:cs="Arial" w:eastAsia="Arial" w:hAnsi="Arial"/>
          <w:sz w:val="14"/>
          <w:szCs w:val="14"/>
          <w:color w:val="auto"/>
        </w:rPr>
        <w:t>Robust Executive Clawback Policy</w:t>
      </w:r>
    </w:p>
    <w:p>
      <w:pPr>
        <w:spacing w:after="0" w:line="143" w:lineRule="exact"/>
        <w:rPr>
          <w:rFonts w:ascii="Arial" w:cs="Arial" w:eastAsia="Arial" w:hAnsi="Arial"/>
          <w:sz w:val="20"/>
          <w:szCs w:val="20"/>
          <w:b w:val="1"/>
          <w:bCs w:val="1"/>
          <w:color w:val="1B6F80"/>
        </w:rPr>
      </w:pPr>
    </w:p>
    <w:p>
      <w:pPr>
        <w:ind w:left="540" w:right="100" w:hanging="340"/>
        <w:spacing w:after="0" w:line="183" w:lineRule="auto"/>
        <w:tabs>
          <w:tab w:leader="none" w:pos="540" w:val="left"/>
        </w:tabs>
        <w:numPr>
          <w:ilvl w:val="0"/>
          <w:numId w:val="33"/>
        </w:numPr>
        <w:rPr>
          <w:rFonts w:ascii="Arial" w:cs="Arial" w:eastAsia="Arial" w:hAnsi="Arial"/>
          <w:sz w:val="30"/>
          <w:szCs w:val="30"/>
          <w:b w:val="1"/>
          <w:bCs w:val="1"/>
          <w:color w:val="1B6F80"/>
          <w:vertAlign w:val="subscript"/>
        </w:rPr>
      </w:pPr>
      <w:r>
        <w:rPr>
          <w:rFonts w:ascii="Arial" w:cs="Arial" w:eastAsia="Arial" w:hAnsi="Arial"/>
          <w:sz w:val="12"/>
          <w:szCs w:val="12"/>
          <w:color w:val="auto"/>
        </w:rPr>
        <w:t>Long-Term Equity Incentive Awards to Promote Retention and Superior Performance</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What We Don't Do</w:t>
      </w:r>
    </w:p>
    <w:p>
      <w:pPr>
        <w:spacing w:after="0" w:line="120" w:lineRule="exact"/>
        <w:rPr>
          <w:sz w:val="20"/>
          <w:szCs w:val="20"/>
          <w:color w:val="auto"/>
        </w:rPr>
      </w:pPr>
    </w:p>
    <w:p>
      <w:pPr>
        <w:ind w:left="420" w:hanging="337"/>
        <w:spacing w:after="0"/>
        <w:tabs>
          <w:tab w:leader="none" w:pos="420" w:val="left"/>
        </w:tabs>
        <w:numPr>
          <w:ilvl w:val="0"/>
          <w:numId w:val="34"/>
        </w:numPr>
        <w:rPr>
          <w:rFonts w:ascii="Arial" w:cs="Arial" w:eastAsia="Arial" w:hAnsi="Arial"/>
          <w:sz w:val="22"/>
          <w:szCs w:val="22"/>
          <w:b w:val="1"/>
          <w:bCs w:val="1"/>
          <w:color w:val="09314A"/>
        </w:rPr>
      </w:pPr>
      <w:r>
        <w:rPr>
          <w:rFonts w:ascii="Arial" w:cs="Arial" w:eastAsia="Arial" w:hAnsi="Arial"/>
          <w:sz w:val="14"/>
          <w:szCs w:val="14"/>
          <w:color w:val="auto"/>
        </w:rPr>
        <w:t>Liberal Recycling of Equity Awards</w:t>
      </w:r>
    </w:p>
    <w:p>
      <w:pPr>
        <w:spacing w:after="0" w:line="84" w:lineRule="exact"/>
        <w:rPr>
          <w:rFonts w:ascii="Arial" w:cs="Arial" w:eastAsia="Arial" w:hAnsi="Arial"/>
          <w:sz w:val="22"/>
          <w:szCs w:val="22"/>
          <w:b w:val="1"/>
          <w:bCs w:val="1"/>
          <w:color w:val="09314A"/>
        </w:rPr>
      </w:pPr>
    </w:p>
    <w:p>
      <w:pPr>
        <w:ind w:left="420" w:hanging="337"/>
        <w:spacing w:after="0"/>
        <w:tabs>
          <w:tab w:leader="none" w:pos="420" w:val="left"/>
        </w:tabs>
        <w:numPr>
          <w:ilvl w:val="0"/>
          <w:numId w:val="34"/>
        </w:numPr>
        <w:rPr>
          <w:rFonts w:ascii="Arial" w:cs="Arial" w:eastAsia="Arial" w:hAnsi="Arial"/>
          <w:sz w:val="22"/>
          <w:szCs w:val="22"/>
          <w:b w:val="1"/>
          <w:bCs w:val="1"/>
          <w:color w:val="09314A"/>
        </w:rPr>
      </w:pPr>
      <w:r>
        <w:rPr>
          <w:rFonts w:ascii="Arial" w:cs="Arial" w:eastAsia="Arial" w:hAnsi="Arial"/>
          <w:sz w:val="14"/>
          <w:szCs w:val="14"/>
          <w:color w:val="auto"/>
        </w:rPr>
        <w:t>Tax Gross Ups</w:t>
      </w:r>
    </w:p>
    <w:p>
      <w:pPr>
        <w:spacing w:after="0" w:line="98" w:lineRule="exact"/>
        <w:rPr>
          <w:rFonts w:ascii="Arial" w:cs="Arial" w:eastAsia="Arial" w:hAnsi="Arial"/>
          <w:sz w:val="22"/>
          <w:szCs w:val="22"/>
          <w:b w:val="1"/>
          <w:bCs w:val="1"/>
          <w:color w:val="09314A"/>
        </w:rPr>
      </w:pPr>
    </w:p>
    <w:p>
      <w:pPr>
        <w:ind w:left="420" w:hanging="337"/>
        <w:spacing w:after="0"/>
        <w:tabs>
          <w:tab w:leader="none" w:pos="420" w:val="left"/>
        </w:tabs>
        <w:numPr>
          <w:ilvl w:val="0"/>
          <w:numId w:val="34"/>
        </w:numPr>
        <w:rPr>
          <w:rFonts w:ascii="Arial" w:cs="Arial" w:eastAsia="Arial" w:hAnsi="Arial"/>
          <w:sz w:val="22"/>
          <w:szCs w:val="22"/>
          <w:b w:val="1"/>
          <w:bCs w:val="1"/>
          <w:color w:val="09314A"/>
        </w:rPr>
      </w:pPr>
      <w:r>
        <w:rPr>
          <w:rFonts w:ascii="Arial" w:cs="Arial" w:eastAsia="Arial" w:hAnsi="Arial"/>
          <w:sz w:val="14"/>
          <w:szCs w:val="14"/>
          <w:color w:val="auto"/>
        </w:rPr>
        <w:t>Evergreen Provision in Stock Plan</w:t>
      </w:r>
    </w:p>
    <w:p>
      <w:pPr>
        <w:spacing w:after="0" w:line="98" w:lineRule="exact"/>
        <w:rPr>
          <w:rFonts w:ascii="Arial" w:cs="Arial" w:eastAsia="Arial" w:hAnsi="Arial"/>
          <w:sz w:val="22"/>
          <w:szCs w:val="22"/>
          <w:b w:val="1"/>
          <w:bCs w:val="1"/>
          <w:color w:val="09314A"/>
        </w:rPr>
      </w:pPr>
    </w:p>
    <w:p>
      <w:pPr>
        <w:ind w:left="420" w:hanging="337"/>
        <w:spacing w:after="0"/>
        <w:tabs>
          <w:tab w:leader="none" w:pos="420" w:val="left"/>
        </w:tabs>
        <w:numPr>
          <w:ilvl w:val="0"/>
          <w:numId w:val="34"/>
        </w:numPr>
        <w:rPr>
          <w:rFonts w:ascii="Arial" w:cs="Arial" w:eastAsia="Arial" w:hAnsi="Arial"/>
          <w:sz w:val="22"/>
          <w:szCs w:val="22"/>
          <w:b w:val="1"/>
          <w:bCs w:val="1"/>
          <w:color w:val="09314A"/>
        </w:rPr>
      </w:pPr>
      <w:r>
        <w:rPr>
          <w:rFonts w:ascii="Arial" w:cs="Arial" w:eastAsia="Arial" w:hAnsi="Arial"/>
          <w:sz w:val="14"/>
          <w:szCs w:val="14"/>
          <w:color w:val="auto"/>
        </w:rPr>
        <w:t>Multi-Year Guaranteed Bonuses</w:t>
      </w:r>
    </w:p>
    <w:p>
      <w:pPr>
        <w:spacing w:after="0" w:line="98" w:lineRule="exact"/>
        <w:rPr>
          <w:rFonts w:ascii="Arial" w:cs="Arial" w:eastAsia="Arial" w:hAnsi="Arial"/>
          <w:sz w:val="22"/>
          <w:szCs w:val="22"/>
          <w:b w:val="1"/>
          <w:bCs w:val="1"/>
          <w:color w:val="09314A"/>
        </w:rPr>
      </w:pPr>
    </w:p>
    <w:p>
      <w:pPr>
        <w:ind w:left="420" w:hanging="337"/>
        <w:spacing w:after="0"/>
        <w:tabs>
          <w:tab w:leader="none" w:pos="420" w:val="left"/>
        </w:tabs>
        <w:numPr>
          <w:ilvl w:val="0"/>
          <w:numId w:val="34"/>
        </w:numPr>
        <w:rPr>
          <w:rFonts w:ascii="Arial" w:cs="Arial" w:eastAsia="Arial" w:hAnsi="Arial"/>
          <w:sz w:val="22"/>
          <w:szCs w:val="22"/>
          <w:b w:val="1"/>
          <w:bCs w:val="1"/>
          <w:color w:val="09314A"/>
        </w:rPr>
      </w:pPr>
      <w:r>
        <w:rPr>
          <w:rFonts w:ascii="Arial" w:cs="Arial" w:eastAsia="Arial" w:hAnsi="Arial"/>
          <w:sz w:val="14"/>
          <w:szCs w:val="14"/>
          <w:color w:val="auto"/>
        </w:rPr>
        <w:t>Guaranteed Term Employment Agreements</w:t>
      </w:r>
    </w:p>
    <w:p>
      <w:pPr>
        <w:spacing w:after="0" w:line="179" w:lineRule="exact"/>
        <w:rPr>
          <w:rFonts w:ascii="Arial" w:cs="Arial" w:eastAsia="Arial" w:hAnsi="Arial"/>
          <w:sz w:val="22"/>
          <w:szCs w:val="22"/>
          <w:b w:val="1"/>
          <w:bCs w:val="1"/>
          <w:color w:val="09314A"/>
        </w:rPr>
      </w:pPr>
    </w:p>
    <w:p>
      <w:pPr>
        <w:ind w:left="420" w:hanging="337"/>
        <w:spacing w:after="0"/>
        <w:tabs>
          <w:tab w:leader="none" w:pos="420" w:val="left"/>
        </w:tabs>
        <w:numPr>
          <w:ilvl w:val="0"/>
          <w:numId w:val="34"/>
        </w:numPr>
        <w:rPr>
          <w:rFonts w:ascii="Arial" w:cs="Arial" w:eastAsia="Arial" w:hAnsi="Arial"/>
          <w:sz w:val="22"/>
          <w:szCs w:val="22"/>
          <w:b w:val="1"/>
          <w:bCs w:val="1"/>
          <w:color w:val="09314A"/>
        </w:rPr>
      </w:pPr>
      <w:r>
        <w:rPr>
          <w:rFonts w:ascii="Arial" w:cs="Arial" w:eastAsia="Arial" w:hAnsi="Arial"/>
          <w:sz w:val="14"/>
          <w:szCs w:val="14"/>
          <w:color w:val="auto"/>
        </w:rPr>
        <w:t>Option Repricing without Stockholder Approval</w:t>
      </w:r>
    </w:p>
    <w:p>
      <w:pPr>
        <w:spacing w:after="0" w:line="179" w:lineRule="exact"/>
        <w:rPr>
          <w:rFonts w:ascii="Arial" w:cs="Arial" w:eastAsia="Arial" w:hAnsi="Arial"/>
          <w:sz w:val="22"/>
          <w:szCs w:val="22"/>
          <w:b w:val="1"/>
          <w:bCs w:val="1"/>
          <w:color w:val="09314A"/>
        </w:rPr>
      </w:pPr>
    </w:p>
    <w:p>
      <w:pPr>
        <w:ind w:left="420" w:hanging="337"/>
        <w:spacing w:after="0"/>
        <w:tabs>
          <w:tab w:leader="none" w:pos="420" w:val="left"/>
        </w:tabs>
        <w:numPr>
          <w:ilvl w:val="0"/>
          <w:numId w:val="34"/>
        </w:numPr>
        <w:rPr>
          <w:rFonts w:ascii="Arial" w:cs="Arial" w:eastAsia="Arial" w:hAnsi="Arial"/>
          <w:sz w:val="22"/>
          <w:szCs w:val="22"/>
          <w:b w:val="1"/>
          <w:bCs w:val="1"/>
          <w:color w:val="09314A"/>
        </w:rPr>
      </w:pPr>
      <w:r>
        <w:rPr>
          <w:rFonts w:ascii="Arial" w:cs="Arial" w:eastAsia="Arial" w:hAnsi="Arial"/>
          <w:sz w:val="14"/>
          <w:szCs w:val="14"/>
          <w:color w:val="auto"/>
        </w:rPr>
        <w:t>Broad Perquisites Offered to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1496695</wp:posOffset>
            </wp:positionV>
            <wp:extent cx="71577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1764" w:lineRule="exact"/>
        <w:rPr>
          <w:sz w:val="20"/>
          <w:szCs w:val="20"/>
          <w:color w:val="auto"/>
        </w:rPr>
      </w:pPr>
    </w:p>
    <w:p>
      <w:pPr>
        <w:sectPr>
          <w:pgSz w:w="11920" w:h="16838" w:orient="portrait"/>
          <w:cols w:equalWidth="0" w:num="2">
            <w:col w:w="5140" w:space="720"/>
            <w:col w:w="5400"/>
          </w:cols>
          <w:pgMar w:left="340" w:top="308" w:right="31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Compensation Philosophy</w:t>
      </w:r>
    </w:p>
    <w:p>
      <w:pPr>
        <w:spacing w:after="0" w:line="1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We believe that to be successful, we must hire and retain talented leadership. We recognize that there is significant competition for qualified executives within our industry. It can be particularly challenging for companies to recruit executive officers of the caliber necessary to achieve our short-term and long-term objectives. We also believe our executive compensation program should focus on aligning executive pay with individual performance, company performance, and stakeholder interests. Accordingly, the Compensation Committee adopted the following Compensation Philosophy for our executive officers and other senior management:</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ATTRACT AND RETAIN — Attract, motivate, and retain the critical talent that will continue to grow our business:</w:t>
      </w:r>
    </w:p>
    <w:p>
      <w:pPr>
        <w:spacing w:after="0" w:line="81" w:lineRule="exact"/>
        <w:rPr>
          <w:sz w:val="20"/>
          <w:szCs w:val="20"/>
          <w:color w:val="auto"/>
        </w:rPr>
      </w:pPr>
    </w:p>
    <w:p>
      <w:pPr>
        <w:ind w:left="460" w:hanging="305"/>
        <w:spacing w:after="0"/>
        <w:tabs>
          <w:tab w:leader="none" w:pos="460" w:val="left"/>
        </w:tabs>
        <w:numPr>
          <w:ilvl w:val="0"/>
          <w:numId w:val="35"/>
        </w:numPr>
        <w:rPr>
          <w:rFonts w:ascii="Arial" w:cs="Arial" w:eastAsia="Arial" w:hAnsi="Arial"/>
          <w:sz w:val="22"/>
          <w:szCs w:val="22"/>
          <w:b w:val="1"/>
          <w:bCs w:val="1"/>
          <w:color w:val="1B6F80"/>
        </w:rPr>
      </w:pPr>
      <w:r>
        <w:rPr>
          <w:rFonts w:ascii="Arial" w:cs="Arial" w:eastAsia="Arial" w:hAnsi="Arial"/>
          <w:sz w:val="16"/>
          <w:szCs w:val="16"/>
          <w:color w:val="auto"/>
        </w:rPr>
        <w:t>Offer total direct compensation that is competitive with the market.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ALIGN PAY FOR PERFORMANCE — Pay our executives in line with their performance consistent with our business objectives:</w:t>
      </w:r>
    </w:p>
    <w:p>
      <w:pPr>
        <w:spacing w:after="0" w:line="115" w:lineRule="exact"/>
        <w:rPr>
          <w:sz w:val="20"/>
          <w:szCs w:val="20"/>
          <w:color w:val="auto"/>
        </w:rPr>
      </w:pPr>
    </w:p>
    <w:p>
      <w:pPr>
        <w:ind w:left="480" w:hanging="325"/>
        <w:spacing w:after="0" w:line="216" w:lineRule="auto"/>
        <w:tabs>
          <w:tab w:leader="none" w:pos="467" w:val="left"/>
        </w:tabs>
        <w:numPr>
          <w:ilvl w:val="0"/>
          <w:numId w:val="36"/>
        </w:numPr>
        <w:rPr>
          <w:rFonts w:ascii="Arial" w:cs="Arial" w:eastAsia="Arial" w:hAnsi="Arial"/>
          <w:sz w:val="22"/>
          <w:szCs w:val="22"/>
          <w:b w:val="1"/>
          <w:bCs w:val="1"/>
          <w:color w:val="1B6F80"/>
        </w:rPr>
      </w:pPr>
      <w:r>
        <w:rPr>
          <w:rFonts w:ascii="Arial" w:cs="Arial" w:eastAsia="Arial" w:hAnsi="Arial"/>
          <w:sz w:val="16"/>
          <w:szCs w:val="16"/>
          <w:color w:val="auto"/>
        </w:rPr>
        <w:t>The compensation received by our executives will reflect our performance and each executive’s contributions to achieving our short- and long-term goals.</w:t>
      </w:r>
    </w:p>
    <w:p>
      <w:pPr>
        <w:spacing w:after="0" w:line="58" w:lineRule="exact"/>
        <w:rPr>
          <w:rFonts w:ascii="Arial" w:cs="Arial" w:eastAsia="Arial" w:hAnsi="Arial"/>
          <w:sz w:val="22"/>
          <w:szCs w:val="22"/>
          <w:b w:val="1"/>
          <w:bCs w:val="1"/>
          <w:color w:val="1B6F80"/>
        </w:rPr>
      </w:pPr>
    </w:p>
    <w:p>
      <w:pPr>
        <w:ind w:left="460" w:hanging="305"/>
        <w:spacing w:after="0"/>
        <w:tabs>
          <w:tab w:leader="none" w:pos="460" w:val="left"/>
        </w:tabs>
        <w:numPr>
          <w:ilvl w:val="0"/>
          <w:numId w:val="36"/>
        </w:numPr>
        <w:rPr>
          <w:rFonts w:ascii="Arial" w:cs="Arial" w:eastAsia="Arial" w:hAnsi="Arial"/>
          <w:sz w:val="22"/>
          <w:szCs w:val="22"/>
          <w:b w:val="1"/>
          <w:bCs w:val="1"/>
          <w:color w:val="1B6F80"/>
        </w:rPr>
      </w:pPr>
      <w:r>
        <w:rPr>
          <w:rFonts w:ascii="Arial" w:cs="Arial" w:eastAsia="Arial" w:hAnsi="Arial"/>
          <w:sz w:val="16"/>
          <w:szCs w:val="16"/>
          <w:color w:val="auto"/>
        </w:rPr>
        <w:t>Continue to foster an entrepreneurial, high-performance, and results-driven culture.</w:t>
      </w:r>
    </w:p>
    <w:p>
      <w:pPr>
        <w:spacing w:after="0" w:line="198"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color w:val="181818"/>
        </w:rPr>
        <w:t>ALIGN EXECUTIVE COMPENSATION WITH STOCKHOLDER INTERESTS — Achieve long-term business success and deliver strong and sustainable returns to our stockholders:</w:t>
      </w:r>
    </w:p>
    <w:p>
      <w:pPr>
        <w:spacing w:after="0" w:line="59" w:lineRule="exact"/>
        <w:rPr>
          <w:sz w:val="20"/>
          <w:szCs w:val="20"/>
          <w:color w:val="auto"/>
        </w:rPr>
      </w:pPr>
    </w:p>
    <w:p>
      <w:pPr>
        <w:ind w:left="480" w:hanging="325"/>
        <w:spacing w:after="0" w:line="216" w:lineRule="auto"/>
        <w:tabs>
          <w:tab w:leader="none" w:pos="467" w:val="left"/>
        </w:tabs>
        <w:numPr>
          <w:ilvl w:val="0"/>
          <w:numId w:val="37"/>
        </w:numPr>
        <w:rPr>
          <w:rFonts w:ascii="Arial" w:cs="Arial" w:eastAsia="Arial" w:hAnsi="Arial"/>
          <w:sz w:val="22"/>
          <w:szCs w:val="22"/>
          <w:b w:val="1"/>
          <w:bCs w:val="1"/>
          <w:color w:val="1B6F80"/>
        </w:rPr>
      </w:pPr>
      <w:r>
        <w:rPr>
          <w:rFonts w:ascii="Arial" w:cs="Arial" w:eastAsia="Arial" w:hAnsi="Arial"/>
          <w:sz w:val="16"/>
          <w:szCs w:val="16"/>
          <w:color w:val="auto"/>
        </w:rPr>
        <w:t>Promote achievement of short-term and long-term strategic performance objectives that the Board and management agree will lead to long-term growth and value creation for our stockholders.</w:t>
      </w:r>
    </w:p>
    <w:p>
      <w:pPr>
        <w:spacing w:after="0" w:line="58" w:lineRule="exact"/>
        <w:rPr>
          <w:rFonts w:ascii="Arial" w:cs="Arial" w:eastAsia="Arial" w:hAnsi="Arial"/>
          <w:sz w:val="22"/>
          <w:szCs w:val="22"/>
          <w:b w:val="1"/>
          <w:bCs w:val="1"/>
          <w:color w:val="1B6F80"/>
        </w:rPr>
      </w:pPr>
    </w:p>
    <w:p>
      <w:pPr>
        <w:ind w:left="460" w:hanging="305"/>
        <w:spacing w:after="0"/>
        <w:tabs>
          <w:tab w:leader="none" w:pos="460" w:val="left"/>
        </w:tabs>
        <w:numPr>
          <w:ilvl w:val="0"/>
          <w:numId w:val="37"/>
        </w:numPr>
        <w:rPr>
          <w:rFonts w:ascii="Arial" w:cs="Arial" w:eastAsia="Arial" w:hAnsi="Arial"/>
          <w:sz w:val="22"/>
          <w:szCs w:val="22"/>
          <w:b w:val="1"/>
          <w:bCs w:val="1"/>
          <w:color w:val="1B6F80"/>
        </w:rPr>
      </w:pPr>
      <w:r>
        <w:rPr>
          <w:rFonts w:ascii="Arial" w:cs="Arial" w:eastAsia="Arial" w:hAnsi="Arial"/>
          <w:sz w:val="16"/>
          <w:szCs w:val="16"/>
          <w:color w:val="auto"/>
        </w:rPr>
        <w:t>Align our employees’ interests with our stockholders' interests without encouraging excessive or imprudent risk-taking or decision-making.</w:t>
      </w:r>
    </w:p>
    <w:p>
      <w:pPr>
        <w:spacing w:after="0" w:line="105" w:lineRule="exact"/>
        <w:rPr>
          <w:rFonts w:ascii="Arial" w:cs="Arial" w:eastAsia="Arial" w:hAnsi="Arial"/>
          <w:sz w:val="22"/>
          <w:szCs w:val="22"/>
          <w:b w:val="1"/>
          <w:bCs w:val="1"/>
          <w:color w:val="1B6F80"/>
        </w:rPr>
      </w:pPr>
    </w:p>
    <w:p>
      <w:pPr>
        <w:ind w:left="480" w:hanging="325"/>
        <w:spacing w:after="0" w:line="216" w:lineRule="auto"/>
        <w:tabs>
          <w:tab w:leader="none" w:pos="467" w:val="left"/>
        </w:tabs>
        <w:numPr>
          <w:ilvl w:val="0"/>
          <w:numId w:val="37"/>
        </w:numPr>
        <w:rPr>
          <w:rFonts w:ascii="Arial" w:cs="Arial" w:eastAsia="Arial" w:hAnsi="Arial"/>
          <w:sz w:val="22"/>
          <w:szCs w:val="22"/>
          <w:b w:val="1"/>
          <w:bCs w:val="1"/>
          <w:color w:val="1B6F80"/>
        </w:rPr>
      </w:pPr>
      <w:r>
        <w:rPr>
          <w:rFonts w:ascii="Arial" w:cs="Arial" w:eastAsia="Arial" w:hAnsi="Arial"/>
          <w:sz w:val="16"/>
          <w:szCs w:val="16"/>
          <w:color w:val="auto"/>
        </w:rPr>
        <w:t>Calibrate realizable pay opportunities to mirror the stockholder experience in the proper sharing ratios, recognizing the impact of our long sales cycle and collaborative selling requirements on short-term performance and related stockholder experience.</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2025 Say on Pay Vote and Stockholder Engagement</w:t>
      </w:r>
    </w:p>
    <w:p>
      <w:pPr>
        <w:spacing w:after="0" w:line="12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At the 2025 Annual Meeting, our stockholders approved the compensation of our NEOs on an advisory basis, with 83.9% of the votes cast “For” such approval. The Compensation Committee interpreted this level of stockholder approval of our executive compensation program at such a level as generally indicating that a significant majority of stockholders view our executive compensation program, plan design and governance as continuing to be well aligned with our stockholders' interests, their investor experience, and business outcomes.</w:t>
      </w:r>
    </w:p>
    <w:p>
      <w:pPr>
        <w:spacing w:after="0" w:line="6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To ensure investor views are incorporated into our planning process, we engage with stockholders on an ongoing basis to gather their perspectives and report this information to the Compensation Committee. Through this stockholder outreach, we have established important feedback channels that serve as a valuable resource for ongoing input from our stockholders on the compensation of our executive officers. The Compensation Committee responded to this feedback, which highlighted an interest in seeing compensation tied to company performance, by continuing to focus on pay for performance in designing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372745</wp:posOffset>
            </wp:positionV>
            <wp:extent cx="71577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32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Compensation Governance and the Compensation-Setting Process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Role of the Compensation Committee and Board</w:t>
      </w:r>
    </w:p>
    <w:p>
      <w:pPr>
        <w:spacing w:after="0" w:line="13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Compensation Committee is responsible for establishing and overseeing the executive compensation program, which includes, but is not limited to, setting executive pay opportunities, reviewing Company and individual performance and determining and approving final pay outcomes for our NEOs annually. As part of this process, it evaluates:</w:t>
      </w:r>
    </w:p>
    <w:p>
      <w:pPr>
        <w:spacing w:after="0" w:line="37" w:lineRule="exact"/>
        <w:rPr>
          <w:sz w:val="20"/>
          <w:szCs w:val="20"/>
          <w:color w:val="auto"/>
        </w:rPr>
      </w:pPr>
    </w:p>
    <w:p>
      <w:pPr>
        <w:ind w:left="460" w:hanging="305"/>
        <w:spacing w:after="0"/>
        <w:tabs>
          <w:tab w:leader="none" w:pos="460" w:val="left"/>
        </w:tabs>
        <w:numPr>
          <w:ilvl w:val="0"/>
          <w:numId w:val="38"/>
        </w:numPr>
        <w:rPr>
          <w:rFonts w:ascii="Arial" w:cs="Arial" w:eastAsia="Arial" w:hAnsi="Arial"/>
          <w:sz w:val="22"/>
          <w:szCs w:val="22"/>
          <w:b w:val="1"/>
          <w:bCs w:val="1"/>
          <w:color w:val="1B6F80"/>
        </w:rPr>
      </w:pPr>
      <w:r>
        <w:rPr>
          <w:rFonts w:ascii="Arial" w:cs="Arial" w:eastAsia="Arial" w:hAnsi="Arial"/>
          <w:sz w:val="16"/>
          <w:szCs w:val="16"/>
          <w:color w:val="auto"/>
        </w:rPr>
        <w:t>Each executive officer’s role and responsibilities and performance in their role;</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38"/>
        </w:numPr>
        <w:rPr>
          <w:rFonts w:ascii="Arial" w:cs="Arial" w:eastAsia="Arial" w:hAnsi="Arial"/>
          <w:sz w:val="22"/>
          <w:szCs w:val="22"/>
          <w:b w:val="1"/>
          <w:bCs w:val="1"/>
          <w:color w:val="1B6F80"/>
        </w:rPr>
      </w:pPr>
      <w:r>
        <w:rPr>
          <w:rFonts w:ascii="Arial" w:cs="Arial" w:eastAsia="Arial" w:hAnsi="Arial"/>
          <w:sz w:val="16"/>
          <w:szCs w:val="16"/>
          <w:color w:val="auto"/>
        </w:rPr>
        <w:t>Key historical Company performance metrics and forward-looking projections; and</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38"/>
        </w:numPr>
        <w:rPr>
          <w:rFonts w:ascii="Arial" w:cs="Arial" w:eastAsia="Arial" w:hAnsi="Arial"/>
          <w:sz w:val="22"/>
          <w:szCs w:val="22"/>
          <w:b w:val="1"/>
          <w:bCs w:val="1"/>
          <w:color w:val="1B6F80"/>
        </w:rPr>
      </w:pPr>
      <w:r>
        <w:rPr>
          <w:rFonts w:ascii="Arial" w:cs="Arial" w:eastAsia="Arial" w:hAnsi="Arial"/>
          <w:sz w:val="16"/>
          <w:szCs w:val="16"/>
          <w:color w:val="auto"/>
        </w:rPr>
        <w:t>Compensation practices of the companies in our peer group and broader market data, where appropriate.</w:t>
      </w:r>
    </w:p>
    <w:p>
      <w:pPr>
        <w:spacing w:after="0" w:line="200"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The Compensation Committee is also responsible for reviewing and approving equity awards to our executive officers under our stock incentive plans, except for grants to the CEO and Executive Chair, which require Board approval. Other responsibilities include, but are not limited to, reviewing and approving offer letters, designing the annual cash bonus program, and reviewing whether compensation programs encourage excessive risk-taking.</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Roles of our Executive Officers</w:t>
      </w:r>
    </w:p>
    <w:p>
      <w:pPr>
        <w:spacing w:after="0" w:line="1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discharging its responsibilities, the Compensation Committee works with members of management, including our CEO. As manager of the executive team, our CEO provides recommendations to the Compensation Committee regarding the compensation of the other NEOs. Other members of management support the Compensation Committee’s work by providing data, information, and their perspective on the tax, human resources, and other implications of our compensation programs. None of our NEOs participate directly in final decisions regarding their compensation. The Compensation Committee does not delegate any of its responsibilities to others in setting the compensation of our 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Role of Compensation Consultant</w:t>
      </w:r>
    </w:p>
    <w:p>
      <w:pPr>
        <w:spacing w:after="0" w:line="135"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The Compensation Committee retained Willis Towers Watson (“WTW”), a national compensation consulting firm, as its independent compensation consultant in February 2024.</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2026, WTW reviewed and advised on all principal aspects of our executive and non-executive compensation programs, including:</w:t>
      </w:r>
    </w:p>
    <w:p>
      <w:pPr>
        <w:spacing w:after="0" w:line="133" w:lineRule="exact"/>
        <w:rPr>
          <w:sz w:val="20"/>
          <w:szCs w:val="20"/>
          <w:color w:val="auto"/>
        </w:rPr>
      </w:pPr>
    </w:p>
    <w:p>
      <w:pPr>
        <w:ind w:left="460" w:hanging="305"/>
        <w:spacing w:after="0"/>
        <w:tabs>
          <w:tab w:leader="none" w:pos="460" w:val="left"/>
        </w:tabs>
        <w:numPr>
          <w:ilvl w:val="0"/>
          <w:numId w:val="39"/>
        </w:numPr>
        <w:rPr>
          <w:rFonts w:ascii="Arial" w:cs="Arial" w:eastAsia="Arial" w:hAnsi="Arial"/>
          <w:sz w:val="22"/>
          <w:szCs w:val="22"/>
          <w:b w:val="1"/>
          <w:bCs w:val="1"/>
          <w:color w:val="1B6F80"/>
        </w:rPr>
      </w:pPr>
      <w:r>
        <w:rPr>
          <w:rFonts w:ascii="Arial" w:cs="Arial" w:eastAsia="Arial" w:hAnsi="Arial"/>
          <w:sz w:val="16"/>
          <w:szCs w:val="16"/>
          <w:color w:val="auto"/>
        </w:rPr>
        <w:t>assisted in developing a peer group of publicly-traded companies to help us assess our compensation programs against the marketplace;</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39"/>
        </w:numPr>
        <w:rPr>
          <w:rFonts w:ascii="Arial" w:cs="Arial" w:eastAsia="Arial" w:hAnsi="Arial"/>
          <w:sz w:val="22"/>
          <w:szCs w:val="22"/>
          <w:b w:val="1"/>
          <w:bCs w:val="1"/>
          <w:color w:val="1B6F80"/>
        </w:rPr>
      </w:pPr>
      <w:r>
        <w:rPr>
          <w:rFonts w:ascii="Arial" w:cs="Arial" w:eastAsia="Arial" w:hAnsi="Arial"/>
          <w:sz w:val="16"/>
          <w:szCs w:val="16"/>
          <w:color w:val="auto"/>
        </w:rPr>
        <w:t>provided a detailed review of executive officer compensation, which included an updated executive compensation peer group;</w:t>
      </w:r>
    </w:p>
    <w:p>
      <w:pPr>
        <w:spacing w:after="0" w:line="105" w:lineRule="exact"/>
        <w:rPr>
          <w:rFonts w:ascii="Arial" w:cs="Arial" w:eastAsia="Arial" w:hAnsi="Arial"/>
          <w:sz w:val="22"/>
          <w:szCs w:val="22"/>
          <w:b w:val="1"/>
          <w:bCs w:val="1"/>
          <w:color w:val="1B6F80"/>
        </w:rPr>
      </w:pPr>
    </w:p>
    <w:p>
      <w:pPr>
        <w:jc w:val="both"/>
        <w:ind w:left="480" w:hanging="325"/>
        <w:spacing w:after="0" w:line="214" w:lineRule="auto"/>
        <w:tabs>
          <w:tab w:leader="none" w:pos="467" w:val="left"/>
        </w:tabs>
        <w:numPr>
          <w:ilvl w:val="0"/>
          <w:numId w:val="39"/>
        </w:numPr>
        <w:rPr>
          <w:rFonts w:ascii="Arial" w:cs="Arial" w:eastAsia="Arial" w:hAnsi="Arial"/>
          <w:sz w:val="22"/>
          <w:szCs w:val="22"/>
          <w:b w:val="1"/>
          <w:bCs w:val="1"/>
          <w:color w:val="1B6F80"/>
        </w:rPr>
      </w:pPr>
      <w:r>
        <w:rPr>
          <w:rFonts w:ascii="Arial" w:cs="Arial" w:eastAsia="Arial" w:hAnsi="Arial"/>
          <w:sz w:val="16"/>
          <w:szCs w:val="16"/>
          <w:color w:val="auto"/>
        </w:rPr>
        <w:t>assisted in developing a competitive compensation strategy and consistent executive compensation assessment practices relevant to a public company, including review and recommendation of our performance-based cash and equity-based incentive programs, as well as our equity strategy covering type of equity, dilution and grant levels; and</w:t>
      </w:r>
    </w:p>
    <w:p>
      <w:pPr>
        <w:spacing w:after="0" w:line="94" w:lineRule="exact"/>
        <w:rPr>
          <w:rFonts w:ascii="Arial" w:cs="Arial" w:eastAsia="Arial" w:hAnsi="Arial"/>
          <w:sz w:val="22"/>
          <w:szCs w:val="22"/>
          <w:b w:val="1"/>
          <w:bCs w:val="1"/>
          <w:color w:val="1B6F80"/>
        </w:rPr>
      </w:pPr>
    </w:p>
    <w:p>
      <w:pPr>
        <w:ind w:left="480" w:hanging="325"/>
        <w:spacing w:after="0" w:line="216" w:lineRule="auto"/>
        <w:tabs>
          <w:tab w:leader="none" w:pos="467" w:val="left"/>
        </w:tabs>
        <w:numPr>
          <w:ilvl w:val="0"/>
          <w:numId w:val="39"/>
        </w:numPr>
        <w:rPr>
          <w:rFonts w:ascii="Arial" w:cs="Arial" w:eastAsia="Arial" w:hAnsi="Arial"/>
          <w:sz w:val="22"/>
          <w:szCs w:val="22"/>
          <w:b w:val="1"/>
          <w:bCs w:val="1"/>
          <w:color w:val="1B6F80"/>
        </w:rPr>
      </w:pPr>
      <w:r>
        <w:rPr>
          <w:rFonts w:ascii="Arial" w:cs="Arial" w:eastAsia="Arial" w:hAnsi="Arial"/>
          <w:sz w:val="16"/>
          <w:szCs w:val="16"/>
          <w:color w:val="auto"/>
        </w:rPr>
        <w:t>met regularly with the Compensation Committee to review all elements of executive compensation, including the competitiveness of the executive compensation program against peer companies and other compensation surveys.</w:t>
      </w:r>
    </w:p>
    <w:p>
      <w:pPr>
        <w:spacing w:after="0" w:line="187"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After consideration of the independence assessment factors provided under the listing rules of Nasdaq and the standards under the Dodd-Frank Wall Street Reform and Consumer Protection Act of 2010 ("Dodd-Frank Act"), the Compensation Committee reviewed WTW’s independence and concluded that WTW is an independent advisor, and the work it performed during Fiscal 2026 did not raise any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71577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Competitive Data</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and Compensation Committee believe that competitive compensation data provides useful context in making compensation decisions. While our Board and Compensation Committee do not make decisions based solely on compensation data, they believe it is important in assessing the competitiveness of our compensation packages in a highly competitive labor market. Each year, the Compensation Committee considers various factors in assessing the competitiveness of our executive compensation program and the individual compensation of each of our executive officers. These factors include our performance against our internal strategic, operational and financial corporate goals, the mix of short-term cash and long-term equity compensation we provide, and a thorough review of compensation paid by peer companies to their NEOs compared to the compensation we pay to our NEOs.</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Peer Group</w:t>
      </w:r>
    </w:p>
    <w:p>
      <w:pPr>
        <w:spacing w:after="0" w:line="148"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For Fiscal 2026, the Compensation Committee, with input from its compensation consultant, WTW, approved a Peer Group in line with WTW’s process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6"/>
                <w:szCs w:val="16"/>
                <w:b w:val="1"/>
                <w:bCs w:val="1"/>
                <w:color w:val="181818"/>
              </w:rPr>
              <w:t>Reviewed</w:t>
            </w:r>
          </w:p>
        </w:tc>
        <w:tc>
          <w:tcPr>
            <w:tcW w:w="186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6"/>
                <w:szCs w:val="16"/>
                <w:b w:val="1"/>
                <w:bCs w:val="1"/>
                <w:color w:val="181818"/>
              </w:rPr>
              <w:t>Evaluated</w:t>
            </w:r>
          </w:p>
        </w:tc>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6"/>
                <w:szCs w:val="16"/>
                <w:b w:val="1"/>
                <w:bCs w:val="1"/>
                <w:color w:val="181818"/>
              </w:rPr>
              <w:t>Developed</w:t>
            </w:r>
          </w:p>
        </w:tc>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6"/>
                <w:szCs w:val="16"/>
                <w:b w:val="1"/>
                <w:bCs w:val="1"/>
                <w:color w:val="181818"/>
              </w:rPr>
              <w:t>Assessed</w:t>
            </w:r>
          </w:p>
        </w:tc>
        <w:tc>
          <w:tcPr>
            <w:tcW w:w="190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6"/>
                <w:szCs w:val="16"/>
                <w:b w:val="1"/>
                <w:bCs w:val="1"/>
                <w:color w:val="181818"/>
              </w:rPr>
              <w:t>Evaluated</w:t>
            </w:r>
          </w:p>
        </w:tc>
        <w:tc>
          <w:tcPr>
            <w:tcW w:w="1860" w:type="dxa"/>
            <w:vAlign w:val="bottom"/>
            <w:shd w:val="clear" w:color="auto" w:fill="F4F3F3"/>
          </w:tcPr>
          <w:p>
            <w:pPr>
              <w:jc w:val="center"/>
              <w:spacing w:after="0"/>
              <w:rPr>
                <w:sz w:val="20"/>
                <w:szCs w:val="20"/>
                <w:color w:val="auto"/>
              </w:rPr>
            </w:pPr>
            <w:r>
              <w:rPr>
                <w:rFonts w:ascii="Arial" w:cs="Arial" w:eastAsia="Arial" w:hAnsi="Arial"/>
                <w:sz w:val="16"/>
                <w:szCs w:val="16"/>
                <w:b w:val="1"/>
                <w:bCs w:val="1"/>
                <w:color w:val="181818"/>
              </w:rPr>
              <w:t>Recommended</w:t>
            </w:r>
          </w:p>
        </w:tc>
      </w:tr>
      <w:tr>
        <w:trPr>
          <w:trHeight w:val="1196"/>
        </w:trPr>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The current peer group and</w:t>
            </w:r>
          </w:p>
        </w:tc>
        <w:tc>
          <w:tcPr>
            <w:tcW w:w="186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The impact of M&amp;A on the</w:t>
            </w:r>
          </w:p>
        </w:tc>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"Screening criteria" for</w:t>
            </w:r>
          </w:p>
        </w:tc>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"Peers of peers", ISS/GL,</w:t>
            </w:r>
          </w:p>
        </w:tc>
        <w:tc>
          <w:tcPr>
            <w:tcW w:w="190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Companies across several</w:t>
            </w:r>
          </w:p>
        </w:tc>
        <w:tc>
          <w:tcPr>
            <w:tcW w:w="18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Compensation Peer Group</w:t>
            </w:r>
          </w:p>
        </w:tc>
      </w:tr>
      <w:tr>
        <w:trPr>
          <w:trHeight w:val="176"/>
        </w:trPr>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Anterix's business strategy</w:t>
            </w:r>
          </w:p>
        </w:tc>
        <w:tc>
          <w:tcPr>
            <w:tcW w:w="186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current peer group</w:t>
            </w:r>
          </w:p>
        </w:tc>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peer selection based on</w:t>
            </w:r>
          </w:p>
        </w:tc>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and those citing Anterix as</w:t>
            </w:r>
          </w:p>
        </w:tc>
        <w:tc>
          <w:tcPr>
            <w:tcW w:w="190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relevant industries for "fit"</w:t>
            </w:r>
          </w:p>
        </w:tc>
        <w:tc>
          <w:tcPr>
            <w:tcW w:w="18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to the Compensation</w:t>
            </w:r>
          </w:p>
        </w:tc>
      </w:tr>
      <w:tr>
        <w:trPr>
          <w:trHeight w:val="175"/>
        </w:trPr>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and financials</w:t>
            </w:r>
          </w:p>
        </w:tc>
        <w:tc>
          <w:tcPr>
            <w:tcW w:w="1860" w:type="dxa"/>
            <w:vAlign w:val="bottom"/>
            <w:tcBorders>
              <w:right w:val="single" w:sz="8" w:color="181818"/>
            </w:tcBorders>
            <w:shd w:val="clear" w:color="auto" w:fill="F4F3F3"/>
          </w:tcPr>
          <w:p>
            <w:pPr>
              <w:spacing w:after="0"/>
              <w:rPr>
                <w:sz w:val="15"/>
                <w:szCs w:val="15"/>
                <w:color w:val="auto"/>
              </w:rPr>
            </w:pPr>
          </w:p>
        </w:tc>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Anterix's business model</w:t>
            </w:r>
          </w:p>
        </w:tc>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a peer</w:t>
            </w:r>
          </w:p>
        </w:tc>
        <w:tc>
          <w:tcPr>
            <w:tcW w:w="190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against developed</w:t>
            </w:r>
          </w:p>
        </w:tc>
        <w:tc>
          <w:tcPr>
            <w:tcW w:w="1860" w:type="dxa"/>
            <w:vAlign w:val="bottom"/>
            <w:shd w:val="clear" w:color="auto" w:fill="F4F3F3"/>
          </w:tcPr>
          <w:p>
            <w:pPr>
              <w:jc w:val="center"/>
              <w:spacing w:after="0"/>
              <w:rPr>
                <w:sz w:val="20"/>
                <w:szCs w:val="20"/>
                <w:color w:val="auto"/>
              </w:rPr>
            </w:pPr>
            <w:r>
              <w:rPr>
                <w:rFonts w:ascii="Arial" w:cs="Arial" w:eastAsia="Arial" w:hAnsi="Arial"/>
                <w:sz w:val="14"/>
                <w:szCs w:val="14"/>
                <w:color w:val="auto"/>
              </w:rPr>
              <w:t>Committee</w:t>
            </w:r>
          </w:p>
        </w:tc>
      </w:tr>
      <w:tr>
        <w:trPr>
          <w:trHeight w:val="194"/>
        </w:trPr>
        <w:tc>
          <w:tcPr>
            <w:tcW w:w="1880" w:type="dxa"/>
            <w:vAlign w:val="bottom"/>
            <w:tcBorders>
              <w:right w:val="single" w:sz="8" w:color="181818"/>
            </w:tcBorders>
            <w:shd w:val="clear" w:color="auto" w:fill="F4F3F3"/>
          </w:tcPr>
          <w:p>
            <w:pPr>
              <w:spacing w:after="0"/>
              <w:rPr>
                <w:sz w:val="16"/>
                <w:szCs w:val="16"/>
                <w:color w:val="auto"/>
              </w:rPr>
            </w:pPr>
          </w:p>
        </w:tc>
        <w:tc>
          <w:tcPr>
            <w:tcW w:w="1860" w:type="dxa"/>
            <w:vAlign w:val="bottom"/>
            <w:tcBorders>
              <w:right w:val="single" w:sz="8" w:color="181818"/>
            </w:tcBorders>
            <w:shd w:val="clear" w:color="auto" w:fill="F4F3F3"/>
          </w:tcPr>
          <w:p>
            <w:pPr>
              <w:spacing w:after="0"/>
              <w:rPr>
                <w:sz w:val="16"/>
                <w:szCs w:val="16"/>
                <w:color w:val="auto"/>
              </w:rPr>
            </w:pPr>
          </w:p>
        </w:tc>
        <w:tc>
          <w:tcPr>
            <w:tcW w:w="188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and strategy</w:t>
            </w:r>
          </w:p>
        </w:tc>
        <w:tc>
          <w:tcPr>
            <w:tcW w:w="1880" w:type="dxa"/>
            <w:vAlign w:val="bottom"/>
            <w:tcBorders>
              <w:right w:val="single" w:sz="8" w:color="181818"/>
            </w:tcBorders>
            <w:shd w:val="clear" w:color="auto" w:fill="F4F3F3"/>
          </w:tcPr>
          <w:p>
            <w:pPr>
              <w:spacing w:after="0"/>
              <w:rPr>
                <w:sz w:val="16"/>
                <w:szCs w:val="16"/>
                <w:color w:val="auto"/>
              </w:rPr>
            </w:pPr>
          </w:p>
        </w:tc>
        <w:tc>
          <w:tcPr>
            <w:tcW w:w="1900" w:type="dxa"/>
            <w:vAlign w:val="bottom"/>
            <w:tcBorders>
              <w:right w:val="single" w:sz="8" w:color="181818"/>
            </w:tcBorders>
            <w:shd w:val="clear" w:color="auto" w:fill="F4F3F3"/>
          </w:tcPr>
          <w:p>
            <w:pPr>
              <w:jc w:val="center"/>
              <w:spacing w:after="0"/>
              <w:rPr>
                <w:sz w:val="20"/>
                <w:szCs w:val="20"/>
                <w:color w:val="auto"/>
              </w:rPr>
            </w:pPr>
            <w:r>
              <w:rPr>
                <w:rFonts w:ascii="Arial" w:cs="Arial" w:eastAsia="Arial" w:hAnsi="Arial"/>
                <w:sz w:val="14"/>
                <w:szCs w:val="14"/>
                <w:color w:val="auto"/>
              </w:rPr>
              <w:t>screening criteria</w:t>
            </w:r>
          </w:p>
        </w:tc>
        <w:tc>
          <w:tcPr>
            <w:tcW w:w="1860" w:type="dxa"/>
            <w:vAlign w:val="bottom"/>
            <w:shd w:val="clear" w:color="auto" w:fill="F4F3F3"/>
          </w:tcPr>
          <w:p>
            <w:pPr>
              <w:spacing w:after="0"/>
              <w:rPr>
                <w:sz w:val="16"/>
                <w:szCs w:val="16"/>
                <w:color w:val="auto"/>
              </w:rPr>
            </w:pPr>
          </w:p>
        </w:tc>
      </w:tr>
      <w:tr>
        <w:trPr>
          <w:trHeight w:val="103"/>
        </w:trPr>
        <w:tc>
          <w:tcPr>
            <w:tcW w:w="1880" w:type="dxa"/>
            <w:vAlign w:val="bottom"/>
            <w:tcBorders>
              <w:right w:val="single" w:sz="8" w:color="181818"/>
            </w:tcBorders>
            <w:shd w:val="clear" w:color="auto" w:fill="F4F3F3"/>
          </w:tcPr>
          <w:p>
            <w:pPr>
              <w:spacing w:after="0"/>
              <w:rPr>
                <w:sz w:val="8"/>
                <w:szCs w:val="8"/>
                <w:color w:val="auto"/>
              </w:rPr>
            </w:pPr>
          </w:p>
        </w:tc>
        <w:tc>
          <w:tcPr>
            <w:tcW w:w="1860" w:type="dxa"/>
            <w:vAlign w:val="bottom"/>
            <w:tcBorders>
              <w:right w:val="single" w:sz="8" w:color="181818"/>
            </w:tcBorders>
            <w:shd w:val="clear" w:color="auto" w:fill="F4F3F3"/>
          </w:tcPr>
          <w:p>
            <w:pPr>
              <w:spacing w:after="0"/>
              <w:rPr>
                <w:sz w:val="8"/>
                <w:szCs w:val="8"/>
                <w:color w:val="auto"/>
              </w:rPr>
            </w:pPr>
          </w:p>
        </w:tc>
        <w:tc>
          <w:tcPr>
            <w:tcW w:w="1880" w:type="dxa"/>
            <w:vAlign w:val="bottom"/>
            <w:tcBorders>
              <w:right w:val="single" w:sz="8" w:color="181818"/>
            </w:tcBorders>
            <w:shd w:val="clear" w:color="auto" w:fill="F4F3F3"/>
          </w:tcPr>
          <w:p>
            <w:pPr>
              <w:spacing w:after="0"/>
              <w:rPr>
                <w:sz w:val="8"/>
                <w:szCs w:val="8"/>
                <w:color w:val="auto"/>
              </w:rPr>
            </w:pPr>
          </w:p>
        </w:tc>
        <w:tc>
          <w:tcPr>
            <w:tcW w:w="1880" w:type="dxa"/>
            <w:vAlign w:val="bottom"/>
            <w:tcBorders>
              <w:right w:val="single" w:sz="8" w:color="181818"/>
            </w:tcBorders>
            <w:shd w:val="clear" w:color="auto" w:fill="F4F3F3"/>
          </w:tcPr>
          <w:p>
            <w:pPr>
              <w:spacing w:after="0"/>
              <w:rPr>
                <w:sz w:val="8"/>
                <w:szCs w:val="8"/>
                <w:color w:val="auto"/>
              </w:rPr>
            </w:pPr>
          </w:p>
        </w:tc>
        <w:tc>
          <w:tcPr>
            <w:tcW w:w="1900" w:type="dxa"/>
            <w:vAlign w:val="bottom"/>
            <w:tcBorders>
              <w:right w:val="single" w:sz="8" w:color="181818"/>
            </w:tcBorders>
            <w:shd w:val="clear" w:color="auto" w:fill="F4F3F3"/>
          </w:tcPr>
          <w:p>
            <w:pPr>
              <w:spacing w:after="0"/>
              <w:rPr>
                <w:sz w:val="8"/>
                <w:szCs w:val="8"/>
                <w:color w:val="auto"/>
              </w:rPr>
            </w:pPr>
          </w:p>
        </w:tc>
        <w:tc>
          <w:tcPr>
            <w:tcW w:w="1860" w:type="dxa"/>
            <w:vAlign w:val="bottom"/>
            <w:shd w:val="clear" w:color="auto" w:fill="F4F3F3"/>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-1070610</wp:posOffset>
            </wp:positionV>
            <wp:extent cx="368300" cy="3689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8300" cy="368935"/>
                    </a:xfrm>
                    <a:prstGeom prst="rect">
                      <a:avLst/>
                    </a:prstGeom>
                    <a:noFill/>
                  </pic:spPr>
                </pic:pic>
              </a:graphicData>
            </a:graphic>
          </wp:anchor>
        </w:drawing>
        <w:drawing>
          <wp:anchor simplePos="0" relativeHeight="251657728" behindDoc="1" locked="0" layoutInCell="0" allowOverlap="1">
            <wp:simplePos x="0" y="0"/>
            <wp:positionH relativeFrom="column">
              <wp:posOffset>1590040</wp:posOffset>
            </wp:positionH>
            <wp:positionV relativeFrom="paragraph">
              <wp:posOffset>-1070610</wp:posOffset>
            </wp:positionV>
            <wp:extent cx="368300" cy="3689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8300" cy="36893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-1070610</wp:posOffset>
            </wp:positionV>
            <wp:extent cx="368300" cy="3689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8300" cy="36893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-1070610</wp:posOffset>
            </wp:positionV>
            <wp:extent cx="368935" cy="3689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8935" cy="368935"/>
                    </a:xfrm>
                    <a:prstGeom prst="rect">
                      <a:avLst/>
                    </a:prstGeom>
                    <a:noFill/>
                  </pic:spPr>
                </pic:pic>
              </a:graphicData>
            </a:graphic>
          </wp:anchor>
        </w:drawing>
        <w:drawing>
          <wp:anchor simplePos="0" relativeHeight="251657728" behindDoc="1" locked="0" layoutInCell="0" allowOverlap="1">
            <wp:simplePos x="0" y="0"/>
            <wp:positionH relativeFrom="column">
              <wp:posOffset>5164455</wp:posOffset>
            </wp:positionH>
            <wp:positionV relativeFrom="paragraph">
              <wp:posOffset>-1070610</wp:posOffset>
            </wp:positionV>
            <wp:extent cx="368300" cy="3689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8300" cy="368935"/>
                    </a:xfrm>
                    <a:prstGeom prst="rect">
                      <a:avLst/>
                    </a:prstGeom>
                    <a:noFill/>
                  </pic:spPr>
                </pic:pic>
              </a:graphicData>
            </a:graphic>
          </wp:anchor>
        </w:drawing>
        <w:drawing>
          <wp:anchor simplePos="0" relativeHeight="251657728" behindDoc="1" locked="0" layoutInCell="0" allowOverlap="1">
            <wp:simplePos x="0" y="0"/>
            <wp:positionH relativeFrom="column">
              <wp:posOffset>6373495</wp:posOffset>
            </wp:positionH>
            <wp:positionV relativeFrom="paragraph">
              <wp:posOffset>-1070610</wp:posOffset>
            </wp:positionV>
            <wp:extent cx="368935" cy="3689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8935" cy="368935"/>
                    </a:xfrm>
                    <a:prstGeom prst="rect">
                      <a:avLst/>
                    </a:prstGeom>
                    <a:noFill/>
                  </pic:spPr>
                </pic:pic>
              </a:graphicData>
            </a:graphic>
          </wp:anchor>
        </w:drawing>
      </w:r>
    </w:p>
    <w:p>
      <w:pPr>
        <w:spacing w:after="0" w:line="28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Compensation Committee recognizes the uniqueness of our business and the difficulty of establishing a peer group of comparable companies (the "Peer Group"). In evaluating and selecting our Peer Group, the Compensation Committee considers the following financial and operating characteristics for the members of our Peer Group: market capitalization, annual revenues, industry, commercial status, operating margins and growth opportunities. The Compensation Committee also considers companies we compete against to retain executive talent. The Compensation Committee evaluates the Peer Group annually to determine whether changes should be made to the Peer Group to better align the financial and operating characteristics of the companies included within the Peer Group with our business.</w:t>
      </w:r>
    </w:p>
    <w:p>
      <w:pPr>
        <w:spacing w:after="0" w:line="6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Based on this evaluation, the Compensation Committee made the following changes to its Peer Group for use in Fiscal 2026: removed Cambium Telecommunications Corp., Globalstar, Inc., InterDigital, Inc., Uniti Group, Inc., and Verra Mobility Corporation due to their size being out of the comparable range for Anterix. Added: Clearfield, Inc. and Lantronix, Inc. due to comparable size and industry. The resulting Fiscal 2026 Peer Group is comprised of the following companies:</w:t>
      </w:r>
    </w:p>
    <w:p>
      <w:pPr>
        <w:spacing w:after="0" w:line="72" w:lineRule="exact"/>
        <w:rPr>
          <w:sz w:val="20"/>
          <w:szCs w:val="20"/>
          <w:color w:val="auto"/>
        </w:rPr>
      </w:pPr>
    </w:p>
    <w:tbl>
      <w:tblPr>
        <w:tblLayout w:type="fixed"/>
        <w:tblInd w:w="180" w:type="dxa"/>
        <w:tblCellMar>
          <w:top w:w="0" w:type="dxa"/>
          <w:left w:w="0" w:type="dxa"/>
          <w:bottom w:w="0" w:type="dxa"/>
          <w:right w:w="0" w:type="dxa"/>
        </w:tblCellMar>
      </w:tblPr>
      <w:tr>
        <w:trPr>
          <w:trHeight w:val="305"/>
        </w:trPr>
        <w:tc>
          <w:tcPr>
            <w:tcW w:w="180" w:type="dxa"/>
            <w:vAlign w:val="bottom"/>
          </w:tcPr>
          <w:p>
            <w:pPr>
              <w:spacing w:after="0"/>
              <w:rPr>
                <w:sz w:val="20"/>
                <w:szCs w:val="20"/>
                <w:color w:val="auto"/>
              </w:rPr>
            </w:pPr>
            <w:r>
              <w:rPr>
                <w:rFonts w:ascii="Arial" w:cs="Arial" w:eastAsia="Arial" w:hAnsi="Arial"/>
                <w:sz w:val="22"/>
                <w:szCs w:val="22"/>
                <w:b w:val="1"/>
                <w:bCs w:val="1"/>
                <w:color w:val="1B6F80"/>
              </w:rPr>
              <w:t>›</w:t>
            </w:r>
          </w:p>
        </w:tc>
        <w:tc>
          <w:tcPr>
            <w:tcW w:w="2520" w:type="dxa"/>
            <w:vAlign w:val="bottom"/>
          </w:tcPr>
          <w:p>
            <w:pPr>
              <w:ind w:left="120"/>
              <w:spacing w:after="0"/>
              <w:rPr>
                <w:sz w:val="20"/>
                <w:szCs w:val="20"/>
                <w:color w:val="auto"/>
              </w:rPr>
            </w:pPr>
            <w:r>
              <w:rPr>
                <w:rFonts w:ascii="Arial" w:cs="Arial" w:eastAsia="Arial" w:hAnsi="Arial"/>
                <w:sz w:val="16"/>
                <w:szCs w:val="16"/>
                <w:b w:val="1"/>
                <w:bCs w:val="1"/>
                <w:color w:val="auto"/>
              </w:rPr>
              <w:t>8x8 Inc.</w:t>
            </w:r>
          </w:p>
        </w:tc>
        <w:tc>
          <w:tcPr>
            <w:tcW w:w="1040" w:type="dxa"/>
            <w:vAlign w:val="bottom"/>
          </w:tcPr>
          <w:p>
            <w:pPr>
              <w:ind w:left="840"/>
              <w:spacing w:after="0"/>
              <w:rPr>
                <w:sz w:val="20"/>
                <w:szCs w:val="20"/>
                <w:color w:val="auto"/>
              </w:rPr>
            </w:pPr>
            <w:r>
              <w:rPr>
                <w:rFonts w:ascii="Arial" w:cs="Arial" w:eastAsia="Arial" w:hAnsi="Arial"/>
                <w:sz w:val="22"/>
                <w:szCs w:val="22"/>
                <w:b w:val="1"/>
                <w:bCs w:val="1"/>
                <w:color w:val="1B6F80"/>
              </w:rPr>
              <w:t>›</w:t>
            </w:r>
          </w:p>
        </w:tc>
        <w:tc>
          <w:tcPr>
            <w:tcW w:w="3220" w:type="dxa"/>
            <w:vAlign w:val="bottom"/>
          </w:tcPr>
          <w:p>
            <w:pPr>
              <w:ind w:left="120"/>
              <w:spacing w:after="0"/>
              <w:rPr>
                <w:sz w:val="20"/>
                <w:szCs w:val="20"/>
                <w:color w:val="auto"/>
              </w:rPr>
            </w:pPr>
            <w:r>
              <w:rPr>
                <w:rFonts w:ascii="Arial" w:cs="Arial" w:eastAsia="Arial" w:hAnsi="Arial"/>
                <w:sz w:val="16"/>
                <w:szCs w:val="16"/>
                <w:b w:val="1"/>
                <w:bCs w:val="1"/>
                <w:color w:val="auto"/>
              </w:rPr>
              <w:t>Comtech Telecommunications Corp.</w:t>
            </w:r>
          </w:p>
        </w:tc>
        <w:tc>
          <w:tcPr>
            <w:tcW w:w="480" w:type="dxa"/>
            <w:vAlign w:val="bottom"/>
          </w:tcPr>
          <w:p>
            <w:pPr>
              <w:ind w:left="300"/>
              <w:spacing w:after="0"/>
              <w:rPr>
                <w:sz w:val="20"/>
                <w:szCs w:val="20"/>
                <w:color w:val="auto"/>
              </w:rPr>
            </w:pPr>
            <w:r>
              <w:rPr>
                <w:rFonts w:ascii="Arial" w:cs="Arial" w:eastAsia="Arial" w:hAnsi="Arial"/>
                <w:sz w:val="22"/>
                <w:szCs w:val="22"/>
                <w:b w:val="1"/>
                <w:bCs w:val="1"/>
                <w:color w:val="1B6F80"/>
              </w:rPr>
              <w:t>›</w:t>
            </w:r>
          </w:p>
        </w:tc>
        <w:tc>
          <w:tcPr>
            <w:tcW w:w="3520" w:type="dxa"/>
            <w:vAlign w:val="bottom"/>
          </w:tcPr>
          <w:p>
            <w:pPr>
              <w:ind w:left="120"/>
              <w:spacing w:after="0"/>
              <w:rPr>
                <w:sz w:val="20"/>
                <w:szCs w:val="20"/>
                <w:color w:val="auto"/>
              </w:rPr>
            </w:pPr>
            <w:r>
              <w:rPr>
                <w:rFonts w:ascii="Arial" w:cs="Arial" w:eastAsia="Arial" w:hAnsi="Arial"/>
                <w:sz w:val="16"/>
                <w:szCs w:val="16"/>
                <w:b w:val="1"/>
                <w:bCs w:val="1"/>
                <w:color w:val="auto"/>
              </w:rPr>
              <w:t>Ooma, Inc.</w:t>
            </w:r>
          </w:p>
        </w:tc>
      </w:tr>
      <w:tr>
        <w:trPr>
          <w:trHeight w:val="378"/>
        </w:trPr>
        <w:tc>
          <w:tcPr>
            <w:tcW w:w="180" w:type="dxa"/>
            <w:vAlign w:val="bottom"/>
          </w:tcPr>
          <w:p>
            <w:pPr>
              <w:spacing w:after="0"/>
              <w:rPr>
                <w:sz w:val="20"/>
                <w:szCs w:val="20"/>
                <w:color w:val="auto"/>
              </w:rPr>
            </w:pPr>
            <w:r>
              <w:rPr>
                <w:rFonts w:ascii="Arial" w:cs="Arial" w:eastAsia="Arial" w:hAnsi="Arial"/>
                <w:sz w:val="22"/>
                <w:szCs w:val="22"/>
                <w:b w:val="1"/>
                <w:bCs w:val="1"/>
                <w:color w:val="1B6F80"/>
              </w:rPr>
              <w:t>›</w:t>
            </w:r>
          </w:p>
        </w:tc>
        <w:tc>
          <w:tcPr>
            <w:tcW w:w="2520" w:type="dxa"/>
            <w:vAlign w:val="bottom"/>
          </w:tcPr>
          <w:p>
            <w:pPr>
              <w:ind w:left="120"/>
              <w:spacing w:after="0"/>
              <w:rPr>
                <w:sz w:val="20"/>
                <w:szCs w:val="20"/>
                <w:color w:val="auto"/>
              </w:rPr>
            </w:pPr>
            <w:r>
              <w:rPr>
                <w:rFonts w:ascii="Arial" w:cs="Arial" w:eastAsia="Arial" w:hAnsi="Arial"/>
                <w:sz w:val="16"/>
                <w:szCs w:val="16"/>
                <w:b w:val="1"/>
                <w:bCs w:val="1"/>
                <w:color w:val="auto"/>
              </w:rPr>
              <w:t>A10 Networks, Inc.</w:t>
            </w:r>
          </w:p>
        </w:tc>
        <w:tc>
          <w:tcPr>
            <w:tcW w:w="1040" w:type="dxa"/>
            <w:vAlign w:val="bottom"/>
          </w:tcPr>
          <w:p>
            <w:pPr>
              <w:ind w:left="840"/>
              <w:spacing w:after="0"/>
              <w:rPr>
                <w:sz w:val="20"/>
                <w:szCs w:val="20"/>
                <w:color w:val="auto"/>
              </w:rPr>
            </w:pPr>
            <w:r>
              <w:rPr>
                <w:rFonts w:ascii="Arial" w:cs="Arial" w:eastAsia="Arial" w:hAnsi="Arial"/>
                <w:sz w:val="22"/>
                <w:szCs w:val="22"/>
                <w:b w:val="1"/>
                <w:bCs w:val="1"/>
                <w:color w:val="1B6F80"/>
              </w:rPr>
              <w:t>›</w:t>
            </w:r>
          </w:p>
        </w:tc>
        <w:tc>
          <w:tcPr>
            <w:tcW w:w="3220" w:type="dxa"/>
            <w:vAlign w:val="bottom"/>
          </w:tcPr>
          <w:p>
            <w:pPr>
              <w:ind w:left="120"/>
              <w:spacing w:after="0"/>
              <w:rPr>
                <w:sz w:val="20"/>
                <w:szCs w:val="20"/>
                <w:color w:val="auto"/>
              </w:rPr>
            </w:pPr>
            <w:r>
              <w:rPr>
                <w:rFonts w:ascii="Arial" w:cs="Arial" w:eastAsia="Arial" w:hAnsi="Arial"/>
                <w:sz w:val="16"/>
                <w:szCs w:val="16"/>
                <w:b w:val="1"/>
                <w:bCs w:val="1"/>
                <w:color w:val="auto"/>
              </w:rPr>
              <w:t>Digi International Inc.</w:t>
            </w:r>
          </w:p>
        </w:tc>
        <w:tc>
          <w:tcPr>
            <w:tcW w:w="480" w:type="dxa"/>
            <w:vAlign w:val="bottom"/>
          </w:tcPr>
          <w:p>
            <w:pPr>
              <w:ind w:left="300"/>
              <w:spacing w:after="0"/>
              <w:rPr>
                <w:sz w:val="20"/>
                <w:szCs w:val="20"/>
                <w:color w:val="auto"/>
              </w:rPr>
            </w:pPr>
            <w:r>
              <w:rPr>
                <w:rFonts w:ascii="Arial" w:cs="Arial" w:eastAsia="Arial" w:hAnsi="Arial"/>
                <w:sz w:val="22"/>
                <w:szCs w:val="22"/>
                <w:b w:val="1"/>
                <w:bCs w:val="1"/>
                <w:color w:val="1B6F80"/>
              </w:rPr>
              <w:t>›</w:t>
            </w:r>
          </w:p>
        </w:tc>
        <w:tc>
          <w:tcPr>
            <w:tcW w:w="3520" w:type="dxa"/>
            <w:vAlign w:val="bottom"/>
          </w:tcPr>
          <w:p>
            <w:pPr>
              <w:ind w:left="120"/>
              <w:spacing w:after="0"/>
              <w:rPr>
                <w:sz w:val="20"/>
                <w:szCs w:val="20"/>
                <w:color w:val="auto"/>
              </w:rPr>
            </w:pPr>
            <w:r>
              <w:rPr>
                <w:rFonts w:ascii="Arial" w:cs="Arial" w:eastAsia="Arial" w:hAnsi="Arial"/>
                <w:sz w:val="16"/>
                <w:szCs w:val="16"/>
                <w:b w:val="1"/>
                <w:bCs w:val="1"/>
                <w:color w:val="auto"/>
              </w:rPr>
              <w:t>PagerDuty, Inc.</w:t>
            </w:r>
          </w:p>
        </w:tc>
      </w:tr>
      <w:tr>
        <w:trPr>
          <w:trHeight w:val="378"/>
        </w:trPr>
        <w:tc>
          <w:tcPr>
            <w:tcW w:w="180" w:type="dxa"/>
            <w:vAlign w:val="bottom"/>
          </w:tcPr>
          <w:p>
            <w:pPr>
              <w:spacing w:after="0"/>
              <w:rPr>
                <w:sz w:val="20"/>
                <w:szCs w:val="20"/>
                <w:color w:val="auto"/>
              </w:rPr>
            </w:pPr>
            <w:r>
              <w:rPr>
                <w:rFonts w:ascii="Arial" w:cs="Arial" w:eastAsia="Arial" w:hAnsi="Arial"/>
                <w:sz w:val="22"/>
                <w:szCs w:val="22"/>
                <w:b w:val="1"/>
                <w:bCs w:val="1"/>
                <w:color w:val="1B6F80"/>
              </w:rPr>
              <w:t>›</w:t>
            </w:r>
          </w:p>
        </w:tc>
        <w:tc>
          <w:tcPr>
            <w:tcW w:w="2520" w:type="dxa"/>
            <w:vAlign w:val="bottom"/>
          </w:tcPr>
          <w:p>
            <w:pPr>
              <w:ind w:left="120"/>
              <w:spacing w:after="0"/>
              <w:rPr>
                <w:sz w:val="20"/>
                <w:szCs w:val="20"/>
                <w:color w:val="auto"/>
              </w:rPr>
            </w:pPr>
            <w:r>
              <w:rPr>
                <w:rFonts w:ascii="Arial" w:cs="Arial" w:eastAsia="Arial" w:hAnsi="Arial"/>
                <w:sz w:val="16"/>
                <w:szCs w:val="16"/>
                <w:b w:val="1"/>
                <w:bCs w:val="1"/>
                <w:color w:val="auto"/>
              </w:rPr>
              <w:t>Aviat Networks, Inc.</w:t>
            </w:r>
          </w:p>
        </w:tc>
        <w:tc>
          <w:tcPr>
            <w:tcW w:w="1040" w:type="dxa"/>
            <w:vAlign w:val="bottom"/>
          </w:tcPr>
          <w:p>
            <w:pPr>
              <w:ind w:left="840"/>
              <w:spacing w:after="0"/>
              <w:rPr>
                <w:sz w:val="20"/>
                <w:szCs w:val="20"/>
                <w:color w:val="auto"/>
              </w:rPr>
            </w:pPr>
            <w:r>
              <w:rPr>
                <w:rFonts w:ascii="Arial" w:cs="Arial" w:eastAsia="Arial" w:hAnsi="Arial"/>
                <w:sz w:val="22"/>
                <w:szCs w:val="22"/>
                <w:b w:val="1"/>
                <w:bCs w:val="1"/>
                <w:color w:val="1B6F80"/>
              </w:rPr>
              <w:t>›</w:t>
            </w:r>
          </w:p>
        </w:tc>
        <w:tc>
          <w:tcPr>
            <w:tcW w:w="3220" w:type="dxa"/>
            <w:vAlign w:val="bottom"/>
          </w:tcPr>
          <w:p>
            <w:pPr>
              <w:ind w:left="120"/>
              <w:spacing w:after="0"/>
              <w:rPr>
                <w:sz w:val="20"/>
                <w:szCs w:val="20"/>
                <w:color w:val="auto"/>
              </w:rPr>
            </w:pPr>
            <w:r>
              <w:rPr>
                <w:rFonts w:ascii="Arial" w:cs="Arial" w:eastAsia="Arial" w:hAnsi="Arial"/>
                <w:sz w:val="16"/>
                <w:szCs w:val="16"/>
                <w:b w:val="1"/>
                <w:bCs w:val="1"/>
                <w:color w:val="auto"/>
              </w:rPr>
              <w:t>Harmonic Inc.</w:t>
            </w:r>
          </w:p>
        </w:tc>
        <w:tc>
          <w:tcPr>
            <w:tcW w:w="480" w:type="dxa"/>
            <w:vAlign w:val="bottom"/>
          </w:tcPr>
          <w:p>
            <w:pPr>
              <w:ind w:left="300"/>
              <w:spacing w:after="0"/>
              <w:rPr>
                <w:sz w:val="20"/>
                <w:szCs w:val="20"/>
                <w:color w:val="auto"/>
              </w:rPr>
            </w:pPr>
            <w:r>
              <w:rPr>
                <w:rFonts w:ascii="Arial" w:cs="Arial" w:eastAsia="Arial" w:hAnsi="Arial"/>
                <w:sz w:val="22"/>
                <w:szCs w:val="22"/>
                <w:b w:val="1"/>
                <w:bCs w:val="1"/>
                <w:color w:val="1B6F80"/>
              </w:rPr>
              <w:t>›</w:t>
            </w:r>
          </w:p>
        </w:tc>
        <w:tc>
          <w:tcPr>
            <w:tcW w:w="3520" w:type="dxa"/>
            <w:vAlign w:val="bottom"/>
          </w:tcPr>
          <w:p>
            <w:pPr>
              <w:ind w:left="120"/>
              <w:spacing w:after="0"/>
              <w:rPr>
                <w:sz w:val="20"/>
                <w:szCs w:val="20"/>
                <w:color w:val="auto"/>
              </w:rPr>
            </w:pPr>
            <w:r>
              <w:rPr>
                <w:rFonts w:ascii="Arial" w:cs="Arial" w:eastAsia="Arial" w:hAnsi="Arial"/>
                <w:sz w:val="16"/>
                <w:szCs w:val="16"/>
                <w:b w:val="1"/>
                <w:bCs w:val="1"/>
                <w:color w:val="auto"/>
              </w:rPr>
              <w:t>Rapid7, Inc.</w:t>
            </w:r>
          </w:p>
        </w:tc>
      </w:tr>
      <w:tr>
        <w:trPr>
          <w:trHeight w:val="378"/>
        </w:trPr>
        <w:tc>
          <w:tcPr>
            <w:tcW w:w="180" w:type="dxa"/>
            <w:vAlign w:val="bottom"/>
          </w:tcPr>
          <w:p>
            <w:pPr>
              <w:spacing w:after="0"/>
              <w:rPr>
                <w:sz w:val="20"/>
                <w:szCs w:val="20"/>
                <w:color w:val="auto"/>
              </w:rPr>
            </w:pPr>
            <w:r>
              <w:rPr>
                <w:rFonts w:ascii="Arial" w:cs="Arial" w:eastAsia="Arial" w:hAnsi="Arial"/>
                <w:sz w:val="22"/>
                <w:szCs w:val="22"/>
                <w:b w:val="1"/>
                <w:bCs w:val="1"/>
                <w:color w:val="1B6F80"/>
              </w:rPr>
              <w:t>›</w:t>
            </w:r>
          </w:p>
        </w:tc>
        <w:tc>
          <w:tcPr>
            <w:tcW w:w="2520" w:type="dxa"/>
            <w:vAlign w:val="bottom"/>
          </w:tcPr>
          <w:p>
            <w:pPr>
              <w:ind w:left="120"/>
              <w:spacing w:after="0"/>
              <w:rPr>
                <w:sz w:val="20"/>
                <w:szCs w:val="20"/>
                <w:color w:val="auto"/>
              </w:rPr>
            </w:pPr>
            <w:r>
              <w:rPr>
                <w:rFonts w:ascii="Arial" w:cs="Arial" w:eastAsia="Arial" w:hAnsi="Arial"/>
                <w:sz w:val="16"/>
                <w:szCs w:val="16"/>
                <w:b w:val="1"/>
                <w:bCs w:val="1"/>
                <w:color w:val="auto"/>
              </w:rPr>
              <w:t>Bandwidth Inc.</w:t>
            </w:r>
          </w:p>
        </w:tc>
        <w:tc>
          <w:tcPr>
            <w:tcW w:w="1040" w:type="dxa"/>
            <w:vAlign w:val="bottom"/>
          </w:tcPr>
          <w:p>
            <w:pPr>
              <w:ind w:left="840"/>
              <w:spacing w:after="0"/>
              <w:rPr>
                <w:sz w:val="20"/>
                <w:szCs w:val="20"/>
                <w:color w:val="auto"/>
              </w:rPr>
            </w:pPr>
            <w:r>
              <w:rPr>
                <w:rFonts w:ascii="Arial" w:cs="Arial" w:eastAsia="Arial" w:hAnsi="Arial"/>
                <w:sz w:val="22"/>
                <w:szCs w:val="22"/>
                <w:b w:val="1"/>
                <w:bCs w:val="1"/>
                <w:color w:val="1B6F80"/>
              </w:rPr>
              <w:t>›</w:t>
            </w:r>
          </w:p>
        </w:tc>
        <w:tc>
          <w:tcPr>
            <w:tcW w:w="3220" w:type="dxa"/>
            <w:vAlign w:val="bottom"/>
          </w:tcPr>
          <w:p>
            <w:pPr>
              <w:ind w:left="120"/>
              <w:spacing w:after="0"/>
              <w:rPr>
                <w:sz w:val="20"/>
                <w:szCs w:val="20"/>
                <w:color w:val="auto"/>
              </w:rPr>
            </w:pPr>
            <w:r>
              <w:rPr>
                <w:rFonts w:ascii="Arial" w:cs="Arial" w:eastAsia="Arial" w:hAnsi="Arial"/>
                <w:sz w:val="16"/>
                <w:szCs w:val="16"/>
                <w:b w:val="1"/>
                <w:bCs w:val="1"/>
                <w:color w:val="auto"/>
              </w:rPr>
              <w:t>Inseego Corp.</w:t>
            </w:r>
          </w:p>
        </w:tc>
        <w:tc>
          <w:tcPr>
            <w:tcW w:w="480" w:type="dxa"/>
            <w:vAlign w:val="bottom"/>
          </w:tcPr>
          <w:p>
            <w:pPr>
              <w:ind w:left="300"/>
              <w:spacing w:after="0"/>
              <w:rPr>
                <w:sz w:val="20"/>
                <w:szCs w:val="20"/>
                <w:color w:val="auto"/>
              </w:rPr>
            </w:pPr>
            <w:r>
              <w:rPr>
                <w:rFonts w:ascii="Arial" w:cs="Arial" w:eastAsia="Arial" w:hAnsi="Arial"/>
                <w:sz w:val="22"/>
                <w:szCs w:val="22"/>
                <w:b w:val="1"/>
                <w:bCs w:val="1"/>
                <w:color w:val="1B6F80"/>
              </w:rPr>
              <w:t>›</w:t>
            </w:r>
          </w:p>
        </w:tc>
        <w:tc>
          <w:tcPr>
            <w:tcW w:w="3520" w:type="dxa"/>
            <w:vAlign w:val="bottom"/>
          </w:tcPr>
          <w:p>
            <w:pPr>
              <w:ind w:left="120"/>
              <w:spacing w:after="0"/>
              <w:rPr>
                <w:sz w:val="20"/>
                <w:szCs w:val="20"/>
                <w:color w:val="auto"/>
              </w:rPr>
            </w:pPr>
            <w:r>
              <w:rPr>
                <w:rFonts w:ascii="Arial" w:cs="Arial" w:eastAsia="Arial" w:hAnsi="Arial"/>
                <w:sz w:val="16"/>
                <w:szCs w:val="16"/>
                <w:b w:val="1"/>
                <w:bCs w:val="1"/>
                <w:color w:val="auto"/>
              </w:rPr>
              <w:t>Ribbon Communications Inc.</w:t>
            </w:r>
          </w:p>
        </w:tc>
      </w:tr>
      <w:tr>
        <w:trPr>
          <w:trHeight w:val="378"/>
        </w:trPr>
        <w:tc>
          <w:tcPr>
            <w:tcW w:w="180" w:type="dxa"/>
            <w:vAlign w:val="bottom"/>
          </w:tcPr>
          <w:p>
            <w:pPr>
              <w:spacing w:after="0"/>
              <w:rPr>
                <w:sz w:val="20"/>
                <w:szCs w:val="20"/>
                <w:color w:val="auto"/>
              </w:rPr>
            </w:pPr>
            <w:r>
              <w:rPr>
                <w:rFonts w:ascii="Arial" w:cs="Arial" w:eastAsia="Arial" w:hAnsi="Arial"/>
                <w:sz w:val="22"/>
                <w:szCs w:val="22"/>
                <w:b w:val="1"/>
                <w:bCs w:val="1"/>
                <w:color w:val="1B6F80"/>
              </w:rPr>
              <w:t>›</w:t>
            </w:r>
          </w:p>
        </w:tc>
        <w:tc>
          <w:tcPr>
            <w:tcW w:w="2520" w:type="dxa"/>
            <w:vAlign w:val="bottom"/>
          </w:tcPr>
          <w:p>
            <w:pPr>
              <w:ind w:left="120"/>
              <w:spacing w:after="0"/>
              <w:rPr>
                <w:sz w:val="20"/>
                <w:szCs w:val="20"/>
                <w:color w:val="auto"/>
              </w:rPr>
            </w:pPr>
            <w:r>
              <w:rPr>
                <w:rFonts w:ascii="Arial" w:cs="Arial" w:eastAsia="Arial" w:hAnsi="Arial"/>
                <w:sz w:val="16"/>
                <w:szCs w:val="16"/>
                <w:b w:val="1"/>
                <w:bCs w:val="1"/>
                <w:color w:val="auto"/>
              </w:rPr>
              <w:t>Cerence, Inc.</w:t>
            </w:r>
          </w:p>
        </w:tc>
        <w:tc>
          <w:tcPr>
            <w:tcW w:w="1040" w:type="dxa"/>
            <w:vAlign w:val="bottom"/>
          </w:tcPr>
          <w:p>
            <w:pPr>
              <w:ind w:left="840"/>
              <w:spacing w:after="0"/>
              <w:rPr>
                <w:sz w:val="20"/>
                <w:szCs w:val="20"/>
                <w:color w:val="auto"/>
              </w:rPr>
            </w:pPr>
            <w:r>
              <w:rPr>
                <w:rFonts w:ascii="Arial" w:cs="Arial" w:eastAsia="Arial" w:hAnsi="Arial"/>
                <w:sz w:val="22"/>
                <w:szCs w:val="22"/>
                <w:b w:val="1"/>
                <w:bCs w:val="1"/>
                <w:color w:val="1B6F80"/>
              </w:rPr>
              <w:t>›</w:t>
            </w:r>
          </w:p>
        </w:tc>
        <w:tc>
          <w:tcPr>
            <w:tcW w:w="3220" w:type="dxa"/>
            <w:vAlign w:val="bottom"/>
          </w:tcPr>
          <w:p>
            <w:pPr>
              <w:ind w:left="120"/>
              <w:spacing w:after="0"/>
              <w:rPr>
                <w:sz w:val="20"/>
                <w:szCs w:val="20"/>
                <w:color w:val="auto"/>
              </w:rPr>
            </w:pPr>
            <w:r>
              <w:rPr>
                <w:rFonts w:ascii="Arial" w:cs="Arial" w:eastAsia="Arial" w:hAnsi="Arial"/>
                <w:sz w:val="16"/>
                <w:szCs w:val="16"/>
                <w:b w:val="1"/>
                <w:bCs w:val="1"/>
                <w:color w:val="auto"/>
              </w:rPr>
              <w:t>Lantronix, Inc.</w:t>
            </w:r>
          </w:p>
        </w:tc>
        <w:tc>
          <w:tcPr>
            <w:tcW w:w="480" w:type="dxa"/>
            <w:vAlign w:val="bottom"/>
          </w:tcPr>
          <w:p>
            <w:pPr>
              <w:ind w:left="300"/>
              <w:spacing w:after="0"/>
              <w:rPr>
                <w:sz w:val="20"/>
                <w:szCs w:val="20"/>
                <w:color w:val="auto"/>
              </w:rPr>
            </w:pPr>
            <w:r>
              <w:rPr>
                <w:rFonts w:ascii="Arial" w:cs="Arial" w:eastAsia="Arial" w:hAnsi="Arial"/>
                <w:sz w:val="22"/>
                <w:szCs w:val="22"/>
                <w:b w:val="1"/>
                <w:bCs w:val="1"/>
                <w:color w:val="1B6F80"/>
              </w:rPr>
              <w:t>›</w:t>
            </w:r>
          </w:p>
        </w:tc>
        <w:tc>
          <w:tcPr>
            <w:tcW w:w="3520" w:type="dxa"/>
            <w:vAlign w:val="bottom"/>
          </w:tcPr>
          <w:p>
            <w:pPr>
              <w:ind w:left="120"/>
              <w:spacing w:after="0"/>
              <w:rPr>
                <w:sz w:val="20"/>
                <w:szCs w:val="20"/>
                <w:color w:val="auto"/>
              </w:rPr>
            </w:pPr>
            <w:r>
              <w:rPr>
                <w:rFonts w:ascii="Arial" w:cs="Arial" w:eastAsia="Arial" w:hAnsi="Arial"/>
                <w:sz w:val="16"/>
                <w:szCs w:val="16"/>
                <w:b w:val="1"/>
                <w:bCs w:val="1"/>
                <w:color w:val="auto"/>
              </w:rPr>
              <w:t>Shenandoah Telecommunications Company</w:t>
            </w:r>
          </w:p>
        </w:tc>
      </w:tr>
      <w:tr>
        <w:trPr>
          <w:trHeight w:val="378"/>
        </w:trPr>
        <w:tc>
          <w:tcPr>
            <w:tcW w:w="180" w:type="dxa"/>
            <w:vAlign w:val="bottom"/>
          </w:tcPr>
          <w:p>
            <w:pPr>
              <w:spacing w:after="0"/>
              <w:rPr>
                <w:sz w:val="20"/>
                <w:szCs w:val="20"/>
                <w:color w:val="auto"/>
              </w:rPr>
            </w:pPr>
            <w:r>
              <w:rPr>
                <w:rFonts w:ascii="Arial" w:cs="Arial" w:eastAsia="Arial" w:hAnsi="Arial"/>
                <w:sz w:val="22"/>
                <w:szCs w:val="22"/>
                <w:b w:val="1"/>
                <w:bCs w:val="1"/>
                <w:color w:val="1B6F80"/>
              </w:rPr>
              <w:t>›</w:t>
            </w:r>
          </w:p>
        </w:tc>
        <w:tc>
          <w:tcPr>
            <w:tcW w:w="2520" w:type="dxa"/>
            <w:vAlign w:val="bottom"/>
          </w:tcPr>
          <w:p>
            <w:pPr>
              <w:ind w:left="120"/>
              <w:spacing w:after="0"/>
              <w:rPr>
                <w:sz w:val="20"/>
                <w:szCs w:val="20"/>
                <w:color w:val="auto"/>
              </w:rPr>
            </w:pPr>
            <w:r>
              <w:rPr>
                <w:rFonts w:ascii="Arial" w:cs="Arial" w:eastAsia="Arial" w:hAnsi="Arial"/>
                <w:sz w:val="16"/>
                <w:szCs w:val="16"/>
                <w:b w:val="1"/>
                <w:bCs w:val="1"/>
                <w:color w:val="auto"/>
              </w:rPr>
              <w:t>Clearfield, Inc.</w:t>
            </w:r>
          </w:p>
        </w:tc>
        <w:tc>
          <w:tcPr>
            <w:tcW w:w="1040" w:type="dxa"/>
            <w:vAlign w:val="bottom"/>
          </w:tcPr>
          <w:p>
            <w:pPr>
              <w:ind w:left="840"/>
              <w:spacing w:after="0"/>
              <w:rPr>
                <w:sz w:val="20"/>
                <w:szCs w:val="20"/>
                <w:color w:val="auto"/>
              </w:rPr>
            </w:pPr>
            <w:r>
              <w:rPr>
                <w:rFonts w:ascii="Arial" w:cs="Arial" w:eastAsia="Arial" w:hAnsi="Arial"/>
                <w:sz w:val="22"/>
                <w:szCs w:val="22"/>
                <w:b w:val="1"/>
                <w:bCs w:val="1"/>
                <w:color w:val="1B6F80"/>
              </w:rPr>
              <w:t>›</w:t>
            </w:r>
          </w:p>
        </w:tc>
        <w:tc>
          <w:tcPr>
            <w:tcW w:w="3220" w:type="dxa"/>
            <w:vAlign w:val="bottom"/>
          </w:tcPr>
          <w:p>
            <w:pPr>
              <w:ind w:left="120"/>
              <w:spacing w:after="0"/>
              <w:rPr>
                <w:sz w:val="20"/>
                <w:szCs w:val="20"/>
                <w:color w:val="auto"/>
              </w:rPr>
            </w:pPr>
            <w:r>
              <w:rPr>
                <w:rFonts w:ascii="Arial" w:cs="Arial" w:eastAsia="Arial" w:hAnsi="Arial"/>
                <w:sz w:val="16"/>
                <w:szCs w:val="16"/>
                <w:b w:val="1"/>
                <w:bCs w:val="1"/>
                <w:color w:val="auto"/>
              </w:rPr>
              <w:t>NetScout Systems, Inc.</w:t>
            </w:r>
          </w:p>
        </w:tc>
        <w:tc>
          <w:tcPr>
            <w:tcW w:w="480" w:type="dxa"/>
            <w:vAlign w:val="bottom"/>
          </w:tcPr>
          <w:p>
            <w:pPr>
              <w:ind w:left="300"/>
              <w:spacing w:after="0"/>
              <w:rPr>
                <w:sz w:val="20"/>
                <w:szCs w:val="20"/>
                <w:color w:val="auto"/>
              </w:rPr>
            </w:pPr>
            <w:r>
              <w:rPr>
                <w:rFonts w:ascii="Arial" w:cs="Arial" w:eastAsia="Arial" w:hAnsi="Arial"/>
                <w:sz w:val="22"/>
                <w:szCs w:val="22"/>
                <w:b w:val="1"/>
                <w:bCs w:val="1"/>
                <w:color w:val="1B6F80"/>
              </w:rPr>
              <w:t>›</w:t>
            </w:r>
          </w:p>
        </w:tc>
        <w:tc>
          <w:tcPr>
            <w:tcW w:w="3520" w:type="dxa"/>
            <w:vAlign w:val="bottom"/>
          </w:tcPr>
          <w:p>
            <w:pPr>
              <w:ind w:left="120"/>
              <w:spacing w:after="0"/>
              <w:rPr>
                <w:sz w:val="20"/>
                <w:szCs w:val="20"/>
                <w:color w:val="auto"/>
              </w:rPr>
            </w:pPr>
            <w:r>
              <w:rPr>
                <w:rFonts w:ascii="Arial" w:cs="Arial" w:eastAsia="Arial" w:hAnsi="Arial"/>
                <w:sz w:val="16"/>
                <w:szCs w:val="16"/>
                <w:b w:val="1"/>
                <w:bCs w:val="1"/>
                <w:color w:val="auto"/>
              </w:rPr>
              <w:t>Telesat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643255</wp:posOffset>
            </wp:positionV>
            <wp:extent cx="71577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34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1B6F80"/>
        </w:rPr>
        <w:t>Compensation Elements</w:t>
      </w:r>
    </w:p>
    <w:p>
      <w:pPr>
        <w:spacing w:after="0" w:line="123" w:lineRule="exact"/>
        <w:rPr>
          <w:sz w:val="20"/>
          <w:szCs w:val="20"/>
          <w:color w:val="auto"/>
        </w:rPr>
      </w:pPr>
    </w:p>
    <w:p>
      <w:pPr>
        <w:jc w:val="both"/>
        <w:ind w:left="7"/>
        <w:spacing w:after="0" w:line="344" w:lineRule="auto"/>
        <w:rPr>
          <w:sz w:val="20"/>
          <w:szCs w:val="20"/>
          <w:color w:val="auto"/>
        </w:rPr>
      </w:pPr>
      <w:r>
        <w:rPr>
          <w:rFonts w:ascii="Arial" w:cs="Arial" w:eastAsia="Arial" w:hAnsi="Arial"/>
          <w:sz w:val="16"/>
          <w:szCs w:val="16"/>
          <w:color w:val="auto"/>
        </w:rPr>
        <w:t>The annual compensation of our NEOs consists of three principal elements: base salary, an annual performance-based bonus program payable in cash (the "Short Term Incentive"), and long-term equity awards consisting of time-based and/or performance-based equity awards.</w:t>
      </w:r>
    </w:p>
    <w:p>
      <w:pPr>
        <w:spacing w:after="0" w:line="105" w:lineRule="exact"/>
        <w:rPr>
          <w:sz w:val="20"/>
          <w:szCs w:val="20"/>
          <w:color w:val="auto"/>
        </w:rPr>
      </w:pPr>
    </w:p>
    <w:tbl>
      <w:tblPr>
        <w:tblLayout w:type="fixed"/>
        <w:tblInd w:w="17" w:type="dxa"/>
        <w:tblCellMar>
          <w:top w:w="0" w:type="dxa"/>
          <w:left w:w="0" w:type="dxa"/>
          <w:bottom w:w="0" w:type="dxa"/>
          <w:right w:w="0" w:type="dxa"/>
        </w:tblCellMar>
      </w:tblPr>
      <w:tr>
        <w:trPr>
          <w:trHeight w:val="323"/>
        </w:trPr>
        <w:tc>
          <w:tcPr>
            <w:tcW w:w="2240" w:type="dxa"/>
            <w:vAlign w:val="bottom"/>
            <w:tcBorders>
              <w:top w:val="single" w:sz="8" w:color="181818"/>
              <w:left w:val="single" w:sz="8" w:color="181818"/>
              <w:right w:val="single" w:sz="8" w:color="181818"/>
            </w:tcBorders>
            <w:vMerge w:val="restart"/>
            <w:shd w:val="clear" w:color="auto" w:fill="09314A"/>
          </w:tcPr>
          <w:p>
            <w:pPr>
              <w:ind w:left="440"/>
              <w:spacing w:after="0"/>
              <w:rPr>
                <w:sz w:val="20"/>
                <w:szCs w:val="20"/>
                <w:color w:val="auto"/>
              </w:rPr>
            </w:pPr>
            <w:r>
              <w:rPr>
                <w:rFonts w:ascii="Arial" w:cs="Arial" w:eastAsia="Arial" w:hAnsi="Arial"/>
                <w:sz w:val="23"/>
                <w:szCs w:val="23"/>
                <w:b w:val="1"/>
                <w:bCs w:val="1"/>
                <w:color w:val="FFFFFF"/>
              </w:rPr>
              <w:t>Base Salary</w:t>
            </w:r>
          </w:p>
        </w:tc>
        <w:tc>
          <w:tcPr>
            <w:tcW w:w="580" w:type="dxa"/>
            <w:vAlign w:val="bottom"/>
            <w:tcBorders>
              <w:right w:val="single" w:sz="8" w:color="181818"/>
            </w:tcBorders>
            <w:vMerge w:val="restart"/>
          </w:tcPr>
          <w:p>
            <w:pPr>
              <w:jc w:val="right"/>
              <w:spacing w:after="0"/>
              <w:rPr>
                <w:sz w:val="20"/>
                <w:szCs w:val="20"/>
                <w:color w:val="auto"/>
              </w:rPr>
            </w:pPr>
            <w:r>
              <w:rPr>
                <w:rFonts w:ascii="Arial" w:cs="Arial" w:eastAsia="Arial" w:hAnsi="Arial"/>
                <w:sz w:val="41"/>
                <w:szCs w:val="41"/>
                <w:b w:val="1"/>
                <w:bCs w:val="1"/>
                <w:color w:val="181818"/>
              </w:rPr>
              <w:t>+</w:t>
            </w:r>
          </w:p>
        </w:tc>
        <w:tc>
          <w:tcPr>
            <w:tcW w:w="2240" w:type="dxa"/>
            <w:vAlign w:val="bottom"/>
            <w:tcBorders>
              <w:top w:val="single" w:sz="8" w:color="181818"/>
              <w:right w:val="single" w:sz="8" w:color="181818"/>
            </w:tcBorders>
            <w:shd w:val="clear" w:color="auto" w:fill="1B6F80"/>
          </w:tcPr>
          <w:p>
            <w:pPr>
              <w:jc w:val="center"/>
              <w:spacing w:after="0"/>
              <w:rPr>
                <w:sz w:val="20"/>
                <w:szCs w:val="20"/>
                <w:color w:val="auto"/>
              </w:rPr>
            </w:pPr>
            <w:r>
              <w:rPr>
                <w:rFonts w:ascii="Arial" w:cs="Arial" w:eastAsia="Arial" w:hAnsi="Arial"/>
                <w:sz w:val="23"/>
                <w:szCs w:val="23"/>
                <w:b w:val="1"/>
                <w:bCs w:val="1"/>
                <w:color w:val="FFFFFF"/>
              </w:rPr>
              <w:t>Short-Term</w:t>
            </w:r>
          </w:p>
        </w:tc>
        <w:tc>
          <w:tcPr>
            <w:tcW w:w="580" w:type="dxa"/>
            <w:vAlign w:val="bottom"/>
            <w:tcBorders>
              <w:right w:val="single" w:sz="8" w:color="181818"/>
            </w:tcBorders>
            <w:vMerge w:val="restart"/>
          </w:tcPr>
          <w:p>
            <w:pPr>
              <w:jc w:val="right"/>
              <w:spacing w:after="0"/>
              <w:rPr>
                <w:sz w:val="20"/>
                <w:szCs w:val="20"/>
                <w:color w:val="auto"/>
              </w:rPr>
            </w:pPr>
            <w:r>
              <w:rPr>
                <w:rFonts w:ascii="Arial" w:cs="Arial" w:eastAsia="Arial" w:hAnsi="Arial"/>
                <w:sz w:val="41"/>
                <w:szCs w:val="41"/>
                <w:b w:val="1"/>
                <w:bCs w:val="1"/>
                <w:color w:val="181818"/>
              </w:rPr>
              <w:t>+</w:t>
            </w:r>
          </w:p>
        </w:tc>
        <w:tc>
          <w:tcPr>
            <w:tcW w:w="2220" w:type="dxa"/>
            <w:vAlign w:val="bottom"/>
            <w:tcBorders>
              <w:top w:val="single" w:sz="8" w:color="181818"/>
              <w:right w:val="single" w:sz="8" w:color="181818"/>
            </w:tcBorders>
            <w:shd w:val="clear" w:color="auto" w:fill="AED0C7"/>
          </w:tcPr>
          <w:p>
            <w:pPr>
              <w:jc w:val="center"/>
              <w:spacing w:after="0"/>
              <w:rPr>
                <w:sz w:val="20"/>
                <w:szCs w:val="20"/>
                <w:color w:val="auto"/>
              </w:rPr>
            </w:pPr>
            <w:r>
              <w:rPr>
                <w:rFonts w:ascii="Arial" w:cs="Arial" w:eastAsia="Arial" w:hAnsi="Arial"/>
                <w:sz w:val="23"/>
                <w:szCs w:val="23"/>
                <w:b w:val="1"/>
                <w:bCs w:val="1"/>
                <w:color w:val="181818"/>
                <w:w w:val="99"/>
              </w:rPr>
              <w:t>Long-Term</w:t>
            </w:r>
          </w:p>
        </w:tc>
        <w:tc>
          <w:tcPr>
            <w:tcW w:w="600" w:type="dxa"/>
            <w:vAlign w:val="bottom"/>
            <w:tcBorders>
              <w:right w:val="single" w:sz="8" w:color="181818"/>
            </w:tcBorders>
            <w:vMerge w:val="restart"/>
          </w:tcPr>
          <w:p>
            <w:pPr>
              <w:jc w:val="right"/>
              <w:spacing w:after="0"/>
              <w:rPr>
                <w:sz w:val="20"/>
                <w:szCs w:val="20"/>
                <w:color w:val="auto"/>
              </w:rPr>
            </w:pPr>
            <w:r>
              <w:rPr>
                <w:rFonts w:ascii="Arial" w:cs="Arial" w:eastAsia="Arial" w:hAnsi="Arial"/>
                <w:sz w:val="41"/>
                <w:szCs w:val="41"/>
                <w:b w:val="1"/>
                <w:bCs w:val="1"/>
                <w:color w:val="181818"/>
              </w:rPr>
              <w:t>=</w:t>
            </w:r>
          </w:p>
        </w:tc>
        <w:tc>
          <w:tcPr>
            <w:tcW w:w="2820" w:type="dxa"/>
            <w:vAlign w:val="bottom"/>
            <w:tcBorders>
              <w:top w:val="single" w:sz="8" w:color="181818"/>
              <w:right w:val="single" w:sz="8" w:color="181818"/>
            </w:tcBorders>
            <w:vMerge w:val="restart"/>
            <w:shd w:val="clear" w:color="auto" w:fill="E5FF70"/>
          </w:tcPr>
          <w:p>
            <w:pPr>
              <w:ind w:left="280"/>
              <w:spacing w:after="0"/>
              <w:rPr>
                <w:sz w:val="20"/>
                <w:szCs w:val="20"/>
                <w:color w:val="auto"/>
              </w:rPr>
            </w:pPr>
            <w:r>
              <w:rPr>
                <w:rFonts w:ascii="Arial" w:cs="Arial" w:eastAsia="Arial" w:hAnsi="Arial"/>
                <w:sz w:val="23"/>
                <w:szCs w:val="23"/>
                <w:b w:val="1"/>
                <w:bCs w:val="1"/>
                <w:color w:val="181818"/>
              </w:rPr>
              <w:t>Total Compensation</w:t>
            </w:r>
          </w:p>
        </w:tc>
        <w:tc>
          <w:tcPr>
            <w:tcW w:w="0" w:type="dxa"/>
            <w:vAlign w:val="bottom"/>
          </w:tcPr>
          <w:p>
            <w:pPr>
              <w:spacing w:after="0"/>
              <w:rPr>
                <w:sz w:val="1"/>
                <w:szCs w:val="1"/>
                <w:color w:val="auto"/>
              </w:rPr>
            </w:pPr>
          </w:p>
        </w:tc>
      </w:tr>
      <w:tr>
        <w:trPr>
          <w:trHeight w:val="332"/>
        </w:trPr>
        <w:tc>
          <w:tcPr>
            <w:tcW w:w="2240" w:type="dxa"/>
            <w:vAlign w:val="bottom"/>
            <w:tcBorders>
              <w:left w:val="single" w:sz="8" w:color="181818"/>
              <w:bottom w:val="single" w:sz="8" w:color="09314A"/>
              <w:right w:val="single" w:sz="8" w:color="181818"/>
            </w:tcBorders>
            <w:vMerge w:val="continue"/>
            <w:shd w:val="clear" w:color="auto" w:fill="09314A"/>
          </w:tcPr>
          <w:p>
            <w:pPr>
              <w:spacing w:after="0"/>
              <w:rPr>
                <w:sz w:val="24"/>
                <w:szCs w:val="24"/>
                <w:color w:val="auto"/>
              </w:rPr>
            </w:pPr>
          </w:p>
        </w:tc>
        <w:tc>
          <w:tcPr>
            <w:tcW w:w="580" w:type="dxa"/>
            <w:vAlign w:val="bottom"/>
            <w:tcBorders>
              <w:right w:val="single" w:sz="8" w:color="181818"/>
            </w:tcBorders>
            <w:vMerge w:val="continue"/>
          </w:tcPr>
          <w:p>
            <w:pPr>
              <w:spacing w:after="0"/>
              <w:rPr>
                <w:sz w:val="24"/>
                <w:szCs w:val="24"/>
                <w:color w:val="auto"/>
              </w:rPr>
            </w:pPr>
          </w:p>
        </w:tc>
        <w:tc>
          <w:tcPr>
            <w:tcW w:w="2240" w:type="dxa"/>
            <w:vAlign w:val="bottom"/>
            <w:tcBorders>
              <w:bottom w:val="single" w:sz="8" w:color="1B6F80"/>
              <w:right w:val="single" w:sz="8" w:color="181818"/>
            </w:tcBorders>
            <w:shd w:val="clear" w:color="auto" w:fill="1B6F80"/>
          </w:tcPr>
          <w:p>
            <w:pPr>
              <w:jc w:val="center"/>
              <w:spacing w:after="0"/>
              <w:rPr>
                <w:sz w:val="20"/>
                <w:szCs w:val="20"/>
                <w:color w:val="auto"/>
              </w:rPr>
            </w:pPr>
            <w:r>
              <w:rPr>
                <w:rFonts w:ascii="Arial" w:cs="Arial" w:eastAsia="Arial" w:hAnsi="Arial"/>
                <w:sz w:val="23"/>
                <w:szCs w:val="23"/>
                <w:b w:val="1"/>
                <w:bCs w:val="1"/>
                <w:color w:val="FFFFFF"/>
              </w:rPr>
              <w:t>Incentive</w:t>
            </w:r>
          </w:p>
        </w:tc>
        <w:tc>
          <w:tcPr>
            <w:tcW w:w="580" w:type="dxa"/>
            <w:vAlign w:val="bottom"/>
            <w:tcBorders>
              <w:right w:val="single" w:sz="8" w:color="181818"/>
            </w:tcBorders>
            <w:vMerge w:val="continue"/>
          </w:tcPr>
          <w:p>
            <w:pPr>
              <w:spacing w:after="0"/>
              <w:rPr>
                <w:sz w:val="24"/>
                <w:szCs w:val="24"/>
                <w:color w:val="auto"/>
              </w:rPr>
            </w:pPr>
          </w:p>
        </w:tc>
        <w:tc>
          <w:tcPr>
            <w:tcW w:w="2220" w:type="dxa"/>
            <w:vAlign w:val="bottom"/>
            <w:tcBorders>
              <w:bottom w:val="single" w:sz="8" w:color="AED0C7"/>
              <w:right w:val="single" w:sz="8" w:color="181818"/>
            </w:tcBorders>
            <w:shd w:val="clear" w:color="auto" w:fill="AED0C7"/>
          </w:tcPr>
          <w:p>
            <w:pPr>
              <w:jc w:val="center"/>
              <w:spacing w:after="0"/>
              <w:rPr>
                <w:sz w:val="20"/>
                <w:szCs w:val="20"/>
                <w:color w:val="auto"/>
              </w:rPr>
            </w:pPr>
            <w:r>
              <w:rPr>
                <w:rFonts w:ascii="Arial" w:cs="Arial" w:eastAsia="Arial" w:hAnsi="Arial"/>
                <w:sz w:val="23"/>
                <w:szCs w:val="23"/>
                <w:b w:val="1"/>
                <w:bCs w:val="1"/>
                <w:color w:val="181818"/>
              </w:rPr>
              <w:t>Incentive</w:t>
            </w:r>
          </w:p>
        </w:tc>
        <w:tc>
          <w:tcPr>
            <w:tcW w:w="600" w:type="dxa"/>
            <w:vAlign w:val="bottom"/>
            <w:tcBorders>
              <w:right w:val="single" w:sz="8" w:color="181818"/>
            </w:tcBorders>
            <w:vMerge w:val="continue"/>
          </w:tcPr>
          <w:p>
            <w:pPr>
              <w:spacing w:after="0"/>
              <w:rPr>
                <w:sz w:val="24"/>
                <w:szCs w:val="24"/>
                <w:color w:val="auto"/>
              </w:rPr>
            </w:pPr>
          </w:p>
        </w:tc>
        <w:tc>
          <w:tcPr>
            <w:tcW w:w="2820" w:type="dxa"/>
            <w:vAlign w:val="bottom"/>
            <w:tcBorders>
              <w:bottom w:val="single" w:sz="8" w:color="E5FF70"/>
              <w:right w:val="single" w:sz="8" w:color="181818"/>
            </w:tcBorders>
            <w:vMerge w:val="continue"/>
            <w:shd w:val="clear" w:color="auto" w:fill="E5FF7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40" w:type="dxa"/>
            <w:vAlign w:val="bottom"/>
            <w:tcBorders>
              <w:left w:val="single" w:sz="8" w:color="181818"/>
              <w:right w:val="single" w:sz="8" w:color="181818"/>
            </w:tcBorders>
            <w:shd w:val="clear" w:color="auto" w:fill="181818"/>
          </w:tcPr>
          <w:p>
            <w:pPr>
              <w:spacing w:after="0" w:line="20" w:lineRule="exact"/>
              <w:rPr>
                <w:sz w:val="1"/>
                <w:szCs w:val="1"/>
                <w:color w:val="auto"/>
              </w:rPr>
            </w:pPr>
          </w:p>
        </w:tc>
        <w:tc>
          <w:tcPr>
            <w:tcW w:w="580" w:type="dxa"/>
            <w:vAlign w:val="bottom"/>
            <w:tcBorders>
              <w:right w:val="single" w:sz="8" w:color="181818"/>
            </w:tcBorders>
          </w:tcPr>
          <w:p>
            <w:pPr>
              <w:spacing w:after="0" w:line="20" w:lineRule="exact"/>
              <w:rPr>
                <w:sz w:val="1"/>
                <w:szCs w:val="1"/>
                <w:color w:val="auto"/>
              </w:rPr>
            </w:pPr>
          </w:p>
        </w:tc>
        <w:tc>
          <w:tcPr>
            <w:tcW w:w="2240" w:type="dxa"/>
            <w:vAlign w:val="bottom"/>
            <w:tcBorders>
              <w:right w:val="single" w:sz="8" w:color="181818"/>
            </w:tcBorders>
            <w:shd w:val="clear" w:color="auto" w:fill="181818"/>
          </w:tcPr>
          <w:p>
            <w:pPr>
              <w:spacing w:after="0" w:line="20" w:lineRule="exact"/>
              <w:rPr>
                <w:sz w:val="1"/>
                <w:szCs w:val="1"/>
                <w:color w:val="auto"/>
              </w:rPr>
            </w:pPr>
          </w:p>
        </w:tc>
        <w:tc>
          <w:tcPr>
            <w:tcW w:w="580" w:type="dxa"/>
            <w:vAlign w:val="bottom"/>
            <w:tcBorders>
              <w:right w:val="single" w:sz="8" w:color="181818"/>
            </w:tcBorders>
          </w:tcPr>
          <w:p>
            <w:pPr>
              <w:spacing w:after="0" w:line="20" w:lineRule="exact"/>
              <w:rPr>
                <w:sz w:val="1"/>
                <w:szCs w:val="1"/>
                <w:color w:val="auto"/>
              </w:rPr>
            </w:pPr>
          </w:p>
        </w:tc>
        <w:tc>
          <w:tcPr>
            <w:tcW w:w="2220" w:type="dxa"/>
            <w:vAlign w:val="bottom"/>
            <w:tcBorders>
              <w:right w:val="single" w:sz="8" w:color="181818"/>
            </w:tcBorders>
            <w:shd w:val="clear" w:color="auto" w:fill="181818"/>
          </w:tcPr>
          <w:p>
            <w:pPr>
              <w:spacing w:after="0" w:line="20" w:lineRule="exact"/>
              <w:rPr>
                <w:sz w:val="1"/>
                <w:szCs w:val="1"/>
                <w:color w:val="auto"/>
              </w:rPr>
            </w:pPr>
          </w:p>
        </w:tc>
        <w:tc>
          <w:tcPr>
            <w:tcW w:w="600" w:type="dxa"/>
            <w:vAlign w:val="bottom"/>
            <w:tcBorders>
              <w:right w:val="single" w:sz="8" w:color="181818"/>
            </w:tcBorders>
          </w:tcPr>
          <w:p>
            <w:pPr>
              <w:spacing w:after="0" w:line="20" w:lineRule="exact"/>
              <w:rPr>
                <w:sz w:val="1"/>
                <w:szCs w:val="1"/>
                <w:color w:val="auto"/>
              </w:rPr>
            </w:pPr>
          </w:p>
        </w:tc>
        <w:tc>
          <w:tcPr>
            <w:tcW w:w="2820" w:type="dxa"/>
            <w:vAlign w:val="bottom"/>
            <w:tcBorders>
              <w:right w:val="single" w:sz="8" w:color="181818"/>
            </w:tcBorders>
            <w:shd w:val="clear" w:color="auto" w:fill="1818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7"/>
        <w:spacing w:after="0" w:line="344" w:lineRule="auto"/>
        <w:rPr>
          <w:sz w:val="20"/>
          <w:szCs w:val="20"/>
          <w:color w:val="auto"/>
        </w:rPr>
      </w:pPr>
      <w:r>
        <w:rPr>
          <w:rFonts w:ascii="Arial" w:cs="Arial" w:eastAsia="Arial" w:hAnsi="Arial"/>
          <w:sz w:val="16"/>
          <w:szCs w:val="16"/>
          <w:color w:val="auto"/>
        </w:rPr>
        <w:t>For Fiscal 2026, a portion of each NEO’s compensation included “at-risk” compensation, or compensation tied to achieving annual performance goals and building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27940</wp:posOffset>
            </wp:positionV>
            <wp:extent cx="5537835" cy="2040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3783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Base Salary</w:t>
      </w:r>
    </w:p>
    <w:p>
      <w:pPr>
        <w:spacing w:after="0" w:line="148" w:lineRule="exact"/>
        <w:rPr>
          <w:sz w:val="20"/>
          <w:szCs w:val="20"/>
          <w:color w:val="auto"/>
        </w:rPr>
      </w:pPr>
    </w:p>
    <w:p>
      <w:pPr>
        <w:jc w:val="both"/>
        <w:ind w:left="7"/>
        <w:spacing w:after="0" w:line="306" w:lineRule="auto"/>
        <w:rPr>
          <w:sz w:val="20"/>
          <w:szCs w:val="20"/>
          <w:color w:val="auto"/>
        </w:rPr>
      </w:pPr>
      <w:r>
        <w:rPr>
          <w:rFonts w:ascii="Arial" w:cs="Arial" w:eastAsia="Arial" w:hAnsi="Arial"/>
          <w:sz w:val="16"/>
          <w:szCs w:val="16"/>
          <w:color w:val="auto"/>
        </w:rPr>
        <w:t>Base salaries are designed to provide a stable source of income for our NEOs. In general, the initial base salary of each of our NEOs is established through arms-length negotiations when the officer is hired or appointed. Our Compensation Committee reviews base salaries annually, with input from its compensation consultant. The base salaries of our executive officers are determined based on their job responsibilities, the rate of compensation paid by our peer group of companies to executive officers in the same or similar role, internal pay equity, our financial position, our business performance, and our need to retain these executives.</w:t>
      </w:r>
    </w:p>
    <w:p>
      <w:pPr>
        <w:spacing w:after="0" w:line="69" w:lineRule="exact"/>
        <w:rPr>
          <w:sz w:val="20"/>
          <w:szCs w:val="20"/>
          <w:color w:val="auto"/>
        </w:rPr>
      </w:pPr>
    </w:p>
    <w:p>
      <w:pPr>
        <w:jc w:val="both"/>
        <w:ind w:left="7"/>
        <w:spacing w:after="0" w:line="344" w:lineRule="auto"/>
        <w:rPr>
          <w:sz w:val="20"/>
          <w:szCs w:val="20"/>
          <w:color w:val="auto"/>
        </w:rPr>
      </w:pPr>
      <w:r>
        <w:rPr>
          <w:rFonts w:ascii="Arial" w:cs="Arial" w:eastAsia="Arial" w:hAnsi="Arial"/>
          <w:sz w:val="16"/>
          <w:szCs w:val="16"/>
          <w:color w:val="auto"/>
        </w:rPr>
        <w:t>In line with our Compensation Philosophy for Fiscal 2026, to provide the NEOs with target compensation approximating the median of the Peer Group and based on the additional factors discussed above, the Compensation Committee set the annual base salaries for our NEOs in Fiscal 2026 as follows.</w:t>
      </w:r>
    </w:p>
    <w:p>
      <w:pPr>
        <w:spacing w:after="0" w:line="28"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Each NEO's Fiscal 2026 base salary, as approved by the Compensation Committee, is set forth below:</w:t>
      </w:r>
    </w:p>
    <w:p>
      <w:pPr>
        <w:spacing w:after="0" w:line="163" w:lineRule="exact"/>
        <w:rPr>
          <w:sz w:val="20"/>
          <w:szCs w:val="20"/>
          <w:color w:val="auto"/>
        </w:rPr>
      </w:pPr>
    </w:p>
    <w:tbl>
      <w:tblPr>
        <w:tblLayout w:type="fixed"/>
        <w:tblInd w:w="17" w:type="dxa"/>
        <w:tblCellMar>
          <w:top w:w="0" w:type="dxa"/>
          <w:left w:w="0" w:type="dxa"/>
          <w:bottom w:w="0" w:type="dxa"/>
          <w:right w:w="0" w:type="dxa"/>
        </w:tblCellMar>
      </w:tblPr>
      <w:tr>
        <w:trPr>
          <w:trHeight w:val="201"/>
        </w:trPr>
        <w:tc>
          <w:tcPr>
            <w:tcW w:w="3520" w:type="dxa"/>
            <w:vAlign w:val="bottom"/>
            <w:tcBorders>
              <w:top w:val="single" w:sz="8" w:color="181818"/>
              <w:left w:val="single" w:sz="8" w:color="181818"/>
            </w:tcBorders>
            <w:shd w:val="clear" w:color="auto" w:fill="1B6F80"/>
          </w:tcPr>
          <w:p>
            <w:pPr>
              <w:spacing w:after="0"/>
              <w:rPr>
                <w:sz w:val="17"/>
                <w:szCs w:val="17"/>
                <w:color w:val="auto"/>
              </w:rPr>
            </w:pPr>
          </w:p>
        </w:tc>
        <w:tc>
          <w:tcPr>
            <w:tcW w:w="2980" w:type="dxa"/>
            <w:vAlign w:val="bottom"/>
            <w:tcBorders>
              <w:top w:val="single" w:sz="8" w:color="181818"/>
            </w:tcBorders>
            <w:shd w:val="clear" w:color="auto" w:fill="1B6F80"/>
          </w:tcPr>
          <w:p>
            <w:pPr>
              <w:jc w:val="right"/>
              <w:ind w:right="388"/>
              <w:spacing w:after="0"/>
              <w:rPr>
                <w:sz w:val="20"/>
                <w:szCs w:val="20"/>
                <w:color w:val="auto"/>
              </w:rPr>
            </w:pPr>
            <w:r>
              <w:rPr>
                <w:rFonts w:ascii="Arial" w:cs="Arial" w:eastAsia="Arial" w:hAnsi="Arial"/>
                <w:sz w:val="14"/>
                <w:szCs w:val="14"/>
                <w:b w:val="1"/>
                <w:bCs w:val="1"/>
                <w:color w:val="FFFFFF"/>
              </w:rPr>
              <w:t>Fiscal 2025 Base Salary</w:t>
            </w:r>
          </w:p>
        </w:tc>
        <w:tc>
          <w:tcPr>
            <w:tcW w:w="3020" w:type="dxa"/>
            <w:vAlign w:val="bottom"/>
            <w:tcBorders>
              <w:top w:val="single" w:sz="8" w:color="181818"/>
            </w:tcBorders>
            <w:shd w:val="clear" w:color="auto" w:fill="1B6F80"/>
          </w:tcPr>
          <w:p>
            <w:pPr>
              <w:jc w:val="right"/>
              <w:ind w:right="848"/>
              <w:spacing w:after="0"/>
              <w:rPr>
                <w:sz w:val="20"/>
                <w:szCs w:val="20"/>
                <w:color w:val="auto"/>
              </w:rPr>
            </w:pPr>
            <w:r>
              <w:rPr>
                <w:rFonts w:ascii="Arial" w:cs="Arial" w:eastAsia="Arial" w:hAnsi="Arial"/>
                <w:sz w:val="14"/>
                <w:szCs w:val="14"/>
                <w:b w:val="1"/>
                <w:bCs w:val="1"/>
                <w:color w:val="FFFFFF"/>
              </w:rPr>
              <w:t>Fiscal 2026 Base Salary</w:t>
            </w:r>
          </w:p>
        </w:tc>
        <w:tc>
          <w:tcPr>
            <w:tcW w:w="176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 Change</w:t>
            </w:r>
          </w:p>
        </w:tc>
      </w:tr>
      <w:tr>
        <w:trPr>
          <w:trHeight w:val="263"/>
        </w:trPr>
        <w:tc>
          <w:tcPr>
            <w:tcW w:w="3520" w:type="dxa"/>
            <w:vAlign w:val="bottom"/>
            <w:tcBorders>
              <w:left w:val="single" w:sz="8" w:color="181818"/>
              <w:bottom w:val="single" w:sz="8" w:color="1B6F80"/>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Named Executive Officer</w:t>
            </w:r>
          </w:p>
        </w:tc>
        <w:tc>
          <w:tcPr>
            <w:tcW w:w="2980" w:type="dxa"/>
            <w:vAlign w:val="bottom"/>
            <w:tcBorders>
              <w:bottom w:val="single" w:sz="8" w:color="1B6F80"/>
            </w:tcBorders>
            <w:shd w:val="clear" w:color="auto" w:fill="1B6F80"/>
          </w:tcPr>
          <w:p>
            <w:pPr>
              <w:jc w:val="right"/>
              <w:ind w:right="388"/>
              <w:spacing w:after="0"/>
              <w:rPr>
                <w:sz w:val="20"/>
                <w:szCs w:val="20"/>
                <w:color w:val="auto"/>
              </w:rPr>
            </w:pPr>
            <w:r>
              <w:rPr>
                <w:rFonts w:ascii="Arial" w:cs="Arial" w:eastAsia="Arial" w:hAnsi="Arial"/>
                <w:sz w:val="14"/>
                <w:szCs w:val="14"/>
                <w:b w:val="1"/>
                <w:bCs w:val="1"/>
                <w:color w:val="FFFFFF"/>
              </w:rPr>
              <w:t>($)</w:t>
            </w:r>
          </w:p>
        </w:tc>
        <w:tc>
          <w:tcPr>
            <w:tcW w:w="3020" w:type="dxa"/>
            <w:vAlign w:val="bottom"/>
            <w:tcBorders>
              <w:bottom w:val="single" w:sz="8" w:color="1B6F80"/>
            </w:tcBorders>
            <w:shd w:val="clear" w:color="auto" w:fill="1B6F80"/>
          </w:tcPr>
          <w:p>
            <w:pPr>
              <w:jc w:val="right"/>
              <w:ind w:right="848"/>
              <w:spacing w:after="0"/>
              <w:rPr>
                <w:sz w:val="20"/>
                <w:szCs w:val="20"/>
                <w:color w:val="auto"/>
              </w:rPr>
            </w:pPr>
            <w:r>
              <w:rPr>
                <w:rFonts w:ascii="Arial" w:cs="Arial" w:eastAsia="Arial" w:hAnsi="Arial"/>
                <w:sz w:val="14"/>
                <w:szCs w:val="14"/>
                <w:b w:val="1"/>
                <w:bCs w:val="1"/>
                <w:color w:val="FFFFFF"/>
              </w:rPr>
              <w:t>($)</w:t>
            </w:r>
          </w:p>
        </w:tc>
        <w:tc>
          <w:tcPr>
            <w:tcW w:w="1760" w:type="dxa"/>
            <w:vAlign w:val="bottom"/>
            <w:tcBorders>
              <w:bottom w:val="single" w:sz="8" w:color="1B6F80"/>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262"/>
        </w:trPr>
        <w:tc>
          <w:tcPr>
            <w:tcW w:w="3520" w:type="dxa"/>
            <w:vAlign w:val="bottom"/>
            <w:tcBorders>
              <w:top w:val="single" w:sz="8" w:color="181818"/>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Mr. Lang</w:t>
            </w:r>
          </w:p>
        </w:tc>
        <w:tc>
          <w:tcPr>
            <w:tcW w:w="2980" w:type="dxa"/>
            <w:vAlign w:val="bottom"/>
            <w:tcBorders>
              <w:top w:val="single" w:sz="8" w:color="1B6F80"/>
            </w:tcBorders>
          </w:tcPr>
          <w:p>
            <w:pPr>
              <w:jc w:val="right"/>
              <w:ind w:right="428"/>
              <w:spacing w:after="0"/>
              <w:rPr>
                <w:sz w:val="20"/>
                <w:szCs w:val="20"/>
                <w:color w:val="auto"/>
              </w:rPr>
            </w:pPr>
            <w:r>
              <w:rPr>
                <w:rFonts w:ascii="Arial" w:cs="Arial" w:eastAsia="Arial" w:hAnsi="Arial"/>
                <w:sz w:val="14"/>
                <w:szCs w:val="14"/>
                <w:color w:val="auto"/>
              </w:rPr>
              <w:t>545,000</w:t>
            </w:r>
          </w:p>
        </w:tc>
        <w:tc>
          <w:tcPr>
            <w:tcW w:w="3020" w:type="dxa"/>
            <w:vAlign w:val="bottom"/>
            <w:tcBorders>
              <w:top w:val="single" w:sz="8" w:color="1B6F80"/>
            </w:tcBorders>
          </w:tcPr>
          <w:p>
            <w:pPr>
              <w:jc w:val="right"/>
              <w:ind w:right="908"/>
              <w:spacing w:after="0"/>
              <w:rPr>
                <w:sz w:val="20"/>
                <w:szCs w:val="20"/>
                <w:color w:val="auto"/>
              </w:rPr>
            </w:pPr>
            <w:r>
              <w:rPr>
                <w:rFonts w:ascii="Arial" w:cs="Arial" w:eastAsia="Arial" w:hAnsi="Arial"/>
                <w:sz w:val="14"/>
                <w:szCs w:val="14"/>
                <w:color w:val="auto"/>
              </w:rPr>
              <w:t>564,075</w:t>
            </w:r>
          </w:p>
        </w:tc>
        <w:tc>
          <w:tcPr>
            <w:tcW w:w="1760" w:type="dxa"/>
            <w:vAlign w:val="bottom"/>
            <w:tcBorders>
              <w:top w:val="single" w:sz="8" w:color="1B6F80"/>
              <w:right w:val="single" w:sz="8" w:color="181818"/>
            </w:tcBorders>
          </w:tcPr>
          <w:p>
            <w:pPr>
              <w:jc w:val="right"/>
              <w:ind w:right="128"/>
              <w:spacing w:after="0"/>
              <w:rPr>
                <w:sz w:val="20"/>
                <w:szCs w:val="20"/>
                <w:color w:val="auto"/>
              </w:rPr>
            </w:pPr>
            <w:r>
              <w:rPr>
                <w:rFonts w:ascii="Arial" w:cs="Arial" w:eastAsia="Arial" w:hAnsi="Arial"/>
                <w:sz w:val="14"/>
                <w:szCs w:val="14"/>
                <w:color w:val="auto"/>
              </w:rPr>
              <w:t>3.50</w:t>
            </w:r>
          </w:p>
        </w:tc>
      </w:tr>
      <w:tr>
        <w:trPr>
          <w:trHeight w:val="70"/>
        </w:trPr>
        <w:tc>
          <w:tcPr>
            <w:tcW w:w="3520" w:type="dxa"/>
            <w:vAlign w:val="bottom"/>
            <w:tcBorders>
              <w:left w:val="single" w:sz="8" w:color="181818"/>
              <w:bottom w:val="single" w:sz="8" w:color="181818"/>
            </w:tcBorders>
          </w:tcPr>
          <w:p>
            <w:pPr>
              <w:spacing w:after="0"/>
              <w:rPr>
                <w:sz w:val="6"/>
                <w:szCs w:val="6"/>
                <w:color w:val="auto"/>
              </w:rPr>
            </w:pPr>
          </w:p>
        </w:tc>
        <w:tc>
          <w:tcPr>
            <w:tcW w:w="2980" w:type="dxa"/>
            <w:vAlign w:val="bottom"/>
            <w:tcBorders>
              <w:bottom w:val="single" w:sz="8" w:color="181818"/>
            </w:tcBorders>
          </w:tcPr>
          <w:p>
            <w:pPr>
              <w:spacing w:after="0"/>
              <w:rPr>
                <w:sz w:val="6"/>
                <w:szCs w:val="6"/>
                <w:color w:val="auto"/>
              </w:rPr>
            </w:pPr>
          </w:p>
        </w:tc>
        <w:tc>
          <w:tcPr>
            <w:tcW w:w="3020" w:type="dxa"/>
            <w:vAlign w:val="bottom"/>
            <w:tcBorders>
              <w:bottom w:val="single" w:sz="8" w:color="181818"/>
            </w:tcBorders>
          </w:tcPr>
          <w:p>
            <w:pPr>
              <w:spacing w:after="0"/>
              <w:rPr>
                <w:sz w:val="6"/>
                <w:szCs w:val="6"/>
                <w:color w:val="auto"/>
              </w:rPr>
            </w:pPr>
          </w:p>
        </w:tc>
        <w:tc>
          <w:tcPr>
            <w:tcW w:w="1760" w:type="dxa"/>
            <w:vAlign w:val="bottom"/>
            <w:tcBorders>
              <w:bottom w:val="single" w:sz="8" w:color="181818"/>
              <w:right w:val="single" w:sz="8" w:color="181818"/>
            </w:tcBorders>
          </w:tcPr>
          <w:p>
            <w:pPr>
              <w:spacing w:after="0"/>
              <w:rPr>
                <w:sz w:val="6"/>
                <w:szCs w:val="6"/>
                <w:color w:val="auto"/>
              </w:rPr>
            </w:pPr>
          </w:p>
        </w:tc>
      </w:tr>
      <w:tr>
        <w:trPr>
          <w:trHeight w:val="261"/>
        </w:trPr>
        <w:tc>
          <w:tcPr>
            <w:tcW w:w="352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Mr. Guttman-McCabe</w:t>
            </w:r>
          </w:p>
        </w:tc>
        <w:tc>
          <w:tcPr>
            <w:tcW w:w="2980" w:type="dxa"/>
            <w:vAlign w:val="bottom"/>
          </w:tcPr>
          <w:p>
            <w:pPr>
              <w:jc w:val="right"/>
              <w:ind w:right="428"/>
              <w:spacing w:after="0"/>
              <w:rPr>
                <w:sz w:val="20"/>
                <w:szCs w:val="20"/>
                <w:color w:val="auto"/>
              </w:rPr>
            </w:pPr>
            <w:r>
              <w:rPr>
                <w:rFonts w:ascii="Arial" w:cs="Arial" w:eastAsia="Arial" w:hAnsi="Arial"/>
                <w:sz w:val="14"/>
                <w:szCs w:val="14"/>
                <w:color w:val="auto"/>
              </w:rPr>
              <w:t>501,400</w:t>
            </w:r>
          </w:p>
        </w:tc>
        <w:tc>
          <w:tcPr>
            <w:tcW w:w="3020" w:type="dxa"/>
            <w:vAlign w:val="bottom"/>
          </w:tcPr>
          <w:p>
            <w:pPr>
              <w:jc w:val="right"/>
              <w:ind w:right="908"/>
              <w:spacing w:after="0"/>
              <w:rPr>
                <w:sz w:val="20"/>
                <w:szCs w:val="20"/>
                <w:color w:val="auto"/>
              </w:rPr>
            </w:pPr>
            <w:r>
              <w:rPr>
                <w:rFonts w:ascii="Arial" w:cs="Arial" w:eastAsia="Arial" w:hAnsi="Arial"/>
                <w:sz w:val="14"/>
                <w:szCs w:val="14"/>
                <w:color w:val="auto"/>
              </w:rPr>
              <w:t>501,400</w:t>
            </w:r>
          </w:p>
        </w:tc>
        <w:tc>
          <w:tcPr>
            <w:tcW w:w="176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w:t>
            </w:r>
          </w:p>
        </w:tc>
      </w:tr>
      <w:tr>
        <w:trPr>
          <w:trHeight w:val="70"/>
        </w:trPr>
        <w:tc>
          <w:tcPr>
            <w:tcW w:w="3520" w:type="dxa"/>
            <w:vAlign w:val="bottom"/>
            <w:tcBorders>
              <w:left w:val="single" w:sz="8" w:color="181818"/>
              <w:bottom w:val="single" w:sz="8" w:color="181818"/>
            </w:tcBorders>
          </w:tcPr>
          <w:p>
            <w:pPr>
              <w:spacing w:after="0"/>
              <w:rPr>
                <w:sz w:val="6"/>
                <w:szCs w:val="6"/>
                <w:color w:val="auto"/>
              </w:rPr>
            </w:pPr>
          </w:p>
        </w:tc>
        <w:tc>
          <w:tcPr>
            <w:tcW w:w="2980" w:type="dxa"/>
            <w:vAlign w:val="bottom"/>
            <w:tcBorders>
              <w:bottom w:val="single" w:sz="8" w:color="181818"/>
            </w:tcBorders>
          </w:tcPr>
          <w:p>
            <w:pPr>
              <w:spacing w:after="0"/>
              <w:rPr>
                <w:sz w:val="6"/>
                <w:szCs w:val="6"/>
                <w:color w:val="auto"/>
              </w:rPr>
            </w:pPr>
          </w:p>
        </w:tc>
        <w:tc>
          <w:tcPr>
            <w:tcW w:w="3020" w:type="dxa"/>
            <w:vAlign w:val="bottom"/>
            <w:tcBorders>
              <w:bottom w:val="single" w:sz="8" w:color="181818"/>
            </w:tcBorders>
          </w:tcPr>
          <w:p>
            <w:pPr>
              <w:spacing w:after="0"/>
              <w:rPr>
                <w:sz w:val="6"/>
                <w:szCs w:val="6"/>
                <w:color w:val="auto"/>
              </w:rPr>
            </w:pPr>
          </w:p>
        </w:tc>
        <w:tc>
          <w:tcPr>
            <w:tcW w:w="1760" w:type="dxa"/>
            <w:vAlign w:val="bottom"/>
            <w:tcBorders>
              <w:bottom w:val="single" w:sz="8" w:color="181818"/>
              <w:right w:val="single" w:sz="8" w:color="181818"/>
            </w:tcBorders>
          </w:tcPr>
          <w:p>
            <w:pPr>
              <w:spacing w:after="0"/>
              <w:rPr>
                <w:sz w:val="6"/>
                <w:szCs w:val="6"/>
                <w:color w:val="auto"/>
              </w:rPr>
            </w:pPr>
          </w:p>
        </w:tc>
      </w:tr>
      <w:tr>
        <w:trPr>
          <w:trHeight w:val="325"/>
        </w:trPr>
        <w:tc>
          <w:tcPr>
            <w:tcW w:w="352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b w:val="1"/>
                <w:bCs w:val="1"/>
                <w:color w:val="181818"/>
              </w:rPr>
              <w:t xml:space="preserve">Ms. Martin </w:t>
            </w:r>
            <w:r>
              <w:rPr>
                <w:rFonts w:ascii="Arial" w:cs="Arial" w:eastAsia="Arial" w:hAnsi="Arial"/>
                <w:sz w:val="18"/>
                <w:szCs w:val="18"/>
                <w:b w:val="1"/>
                <w:bCs w:val="1"/>
                <w:color w:val="181818"/>
                <w:vertAlign w:val="superscript"/>
              </w:rPr>
              <w:t>(1)</w:t>
            </w:r>
          </w:p>
        </w:tc>
        <w:tc>
          <w:tcPr>
            <w:tcW w:w="2980" w:type="dxa"/>
            <w:vAlign w:val="bottom"/>
            <w:tcBorders>
              <w:bottom w:val="single" w:sz="8" w:color="181818"/>
            </w:tcBorders>
          </w:tcPr>
          <w:p>
            <w:pPr>
              <w:jc w:val="right"/>
              <w:ind w:right="428"/>
              <w:spacing w:after="0"/>
              <w:rPr>
                <w:sz w:val="20"/>
                <w:szCs w:val="20"/>
                <w:color w:val="auto"/>
              </w:rPr>
            </w:pPr>
            <w:r>
              <w:rPr>
                <w:rFonts w:ascii="Arial" w:cs="Arial" w:eastAsia="Arial" w:hAnsi="Arial"/>
                <w:sz w:val="14"/>
                <w:szCs w:val="14"/>
                <w:color w:val="auto"/>
              </w:rPr>
              <w:t>—</w:t>
            </w:r>
          </w:p>
        </w:tc>
        <w:tc>
          <w:tcPr>
            <w:tcW w:w="3020" w:type="dxa"/>
            <w:vAlign w:val="bottom"/>
            <w:tcBorders>
              <w:bottom w:val="single" w:sz="8" w:color="181818"/>
            </w:tcBorders>
          </w:tcPr>
          <w:p>
            <w:pPr>
              <w:jc w:val="right"/>
              <w:ind w:right="908"/>
              <w:spacing w:after="0"/>
              <w:rPr>
                <w:sz w:val="20"/>
                <w:szCs w:val="20"/>
                <w:color w:val="auto"/>
              </w:rPr>
            </w:pPr>
            <w:r>
              <w:rPr>
                <w:rFonts w:ascii="Arial" w:cs="Arial" w:eastAsia="Arial" w:hAnsi="Arial"/>
                <w:sz w:val="14"/>
                <w:szCs w:val="14"/>
                <w:color w:val="auto"/>
              </w:rPr>
              <w:t>414,000</w:t>
            </w:r>
          </w:p>
        </w:tc>
        <w:tc>
          <w:tcPr>
            <w:tcW w:w="1760" w:type="dxa"/>
            <w:vAlign w:val="bottom"/>
            <w:tcBorders>
              <w:bottom w:val="single" w:sz="8" w:color="181818"/>
              <w:right w:val="single" w:sz="8" w:color="181818"/>
            </w:tcBorders>
          </w:tcPr>
          <w:p>
            <w:pPr>
              <w:jc w:val="right"/>
              <w:ind w:right="128"/>
              <w:spacing w:after="0"/>
              <w:rPr>
                <w:sz w:val="20"/>
                <w:szCs w:val="20"/>
                <w:color w:val="auto"/>
              </w:rPr>
            </w:pPr>
            <w:r>
              <w:rPr>
                <w:rFonts w:ascii="Arial" w:cs="Arial" w:eastAsia="Arial" w:hAnsi="Arial"/>
                <w:sz w:val="14"/>
                <w:szCs w:val="14"/>
                <w:color w:val="auto"/>
              </w:rPr>
              <w:t>—</w:t>
            </w:r>
          </w:p>
        </w:tc>
      </w:tr>
      <w:tr>
        <w:trPr>
          <w:trHeight w:val="331"/>
        </w:trPr>
        <w:tc>
          <w:tcPr>
            <w:tcW w:w="352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b w:val="1"/>
                <w:bCs w:val="1"/>
                <w:color w:val="181818"/>
              </w:rPr>
              <w:t xml:space="preserve">Mr. Gerbrandt </w:t>
            </w:r>
            <w:r>
              <w:rPr>
                <w:rFonts w:ascii="Arial" w:cs="Arial" w:eastAsia="Arial" w:hAnsi="Arial"/>
                <w:sz w:val="18"/>
                <w:szCs w:val="18"/>
                <w:b w:val="1"/>
                <w:bCs w:val="1"/>
                <w:color w:val="181818"/>
                <w:vertAlign w:val="superscript"/>
              </w:rPr>
              <w:t>(2)</w:t>
            </w:r>
          </w:p>
        </w:tc>
        <w:tc>
          <w:tcPr>
            <w:tcW w:w="2980" w:type="dxa"/>
            <w:vAlign w:val="bottom"/>
            <w:tcBorders>
              <w:bottom w:val="single" w:sz="8" w:color="181818"/>
            </w:tcBorders>
          </w:tcPr>
          <w:p>
            <w:pPr>
              <w:jc w:val="right"/>
              <w:ind w:right="428"/>
              <w:spacing w:after="0"/>
              <w:rPr>
                <w:sz w:val="20"/>
                <w:szCs w:val="20"/>
                <w:color w:val="auto"/>
              </w:rPr>
            </w:pPr>
            <w:r>
              <w:rPr>
                <w:rFonts w:ascii="Arial" w:cs="Arial" w:eastAsia="Arial" w:hAnsi="Arial"/>
                <w:sz w:val="14"/>
                <w:szCs w:val="14"/>
                <w:color w:val="auto"/>
              </w:rPr>
              <w:t>414,200</w:t>
            </w:r>
          </w:p>
        </w:tc>
        <w:tc>
          <w:tcPr>
            <w:tcW w:w="3020" w:type="dxa"/>
            <w:vAlign w:val="bottom"/>
            <w:tcBorders>
              <w:bottom w:val="single" w:sz="8" w:color="181818"/>
            </w:tcBorders>
          </w:tcPr>
          <w:p>
            <w:pPr>
              <w:jc w:val="right"/>
              <w:ind w:right="908"/>
              <w:spacing w:after="0"/>
              <w:rPr>
                <w:sz w:val="20"/>
                <w:szCs w:val="20"/>
                <w:color w:val="auto"/>
              </w:rPr>
            </w:pPr>
            <w:r>
              <w:rPr>
                <w:rFonts w:ascii="Arial" w:cs="Arial" w:eastAsia="Arial" w:hAnsi="Arial"/>
                <w:sz w:val="14"/>
                <w:szCs w:val="14"/>
                <w:color w:val="auto"/>
              </w:rPr>
              <w:t>414,200</w:t>
            </w:r>
          </w:p>
        </w:tc>
        <w:tc>
          <w:tcPr>
            <w:tcW w:w="1760" w:type="dxa"/>
            <w:vAlign w:val="bottom"/>
            <w:tcBorders>
              <w:bottom w:val="single" w:sz="8" w:color="181818"/>
              <w:right w:val="single" w:sz="8" w:color="181818"/>
            </w:tcBorders>
          </w:tcPr>
          <w:p>
            <w:pPr>
              <w:jc w:val="right"/>
              <w:ind w:right="128"/>
              <w:spacing w:after="0"/>
              <w:rPr>
                <w:sz w:val="20"/>
                <w:szCs w:val="20"/>
                <w:color w:val="auto"/>
              </w:rPr>
            </w:pPr>
            <w:r>
              <w:rPr>
                <w:rFonts w:ascii="Arial" w:cs="Arial" w:eastAsia="Arial" w:hAnsi="Arial"/>
                <w:sz w:val="14"/>
                <w:szCs w:val="14"/>
                <w:color w:val="auto"/>
              </w:rPr>
              <w:t>—</w:t>
            </w:r>
          </w:p>
        </w:tc>
      </w:tr>
    </w:tbl>
    <w:p>
      <w:pPr>
        <w:spacing w:after="0" w:line="149" w:lineRule="exact"/>
        <w:rPr>
          <w:sz w:val="20"/>
          <w:szCs w:val="20"/>
          <w:color w:val="auto"/>
        </w:rPr>
      </w:pPr>
    </w:p>
    <w:p>
      <w:pPr>
        <w:ind w:left="307" w:hanging="307"/>
        <w:spacing w:after="0"/>
        <w:tabs>
          <w:tab w:leader="none" w:pos="307" w:val="left"/>
        </w:tabs>
        <w:numPr>
          <w:ilvl w:val="0"/>
          <w:numId w:val="40"/>
        </w:numPr>
        <w:rPr>
          <w:rFonts w:ascii="Arial" w:cs="Arial" w:eastAsia="Arial" w:hAnsi="Arial"/>
          <w:sz w:val="14"/>
          <w:szCs w:val="14"/>
          <w:b w:val="1"/>
          <w:bCs w:val="1"/>
          <w:color w:val="181818"/>
        </w:rPr>
      </w:pPr>
      <w:r>
        <w:rPr>
          <w:rFonts w:ascii="Arial" w:cs="Arial" w:eastAsia="Arial" w:hAnsi="Arial"/>
          <w:sz w:val="14"/>
          <w:szCs w:val="14"/>
          <w:color w:val="auto"/>
        </w:rPr>
        <w:t>Ms. Martin was appointed Chief Marketing Officer and Chief of Staff effective September 8th, 2025.</w:t>
      </w:r>
    </w:p>
    <w:p>
      <w:pPr>
        <w:spacing w:after="0" w:line="82" w:lineRule="exact"/>
        <w:rPr>
          <w:rFonts w:ascii="Arial" w:cs="Arial" w:eastAsia="Arial" w:hAnsi="Arial"/>
          <w:sz w:val="14"/>
          <w:szCs w:val="14"/>
          <w:b w:val="1"/>
          <w:bCs w:val="1"/>
          <w:color w:val="181818"/>
        </w:rPr>
      </w:pPr>
    </w:p>
    <w:p>
      <w:pPr>
        <w:ind w:left="287" w:hanging="287"/>
        <w:spacing w:after="0"/>
        <w:tabs>
          <w:tab w:leader="none" w:pos="287" w:val="left"/>
        </w:tabs>
        <w:numPr>
          <w:ilvl w:val="0"/>
          <w:numId w:val="40"/>
        </w:numPr>
        <w:rPr>
          <w:rFonts w:ascii="Arial" w:cs="Arial" w:eastAsia="Arial" w:hAnsi="Arial"/>
          <w:sz w:val="14"/>
          <w:szCs w:val="14"/>
          <w:b w:val="1"/>
          <w:bCs w:val="1"/>
          <w:color w:val="181818"/>
        </w:rPr>
      </w:pPr>
      <w:r>
        <w:rPr>
          <w:rFonts w:ascii="Arial" w:cs="Arial" w:eastAsia="Arial" w:hAnsi="Arial"/>
          <w:sz w:val="14"/>
          <w:szCs w:val="14"/>
          <w:color w:val="auto"/>
        </w:rPr>
        <w:t>Mr. Gerbrandt separated from the Company effective January 9th,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480695</wp:posOffset>
            </wp:positionV>
            <wp:extent cx="71577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1831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Short-Term Incentive Program</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Through our short-term annual cash incentive program (the “Short-Term Incentive Program”), a portion of each NEO’s compensation is tied to achieving our annual performance goals. The Short-Term Incentive Program is designed to focus, incentivize and reward our executives for achieving key operational performance indicators with the intent of increasing stockholder value. Each year, our CEO leads the development of the proposed performance goals for the Short-Term Incentive Program. Once developed, the goals are presented to the Compensation Committee for review, evaluation, and approval to ensure consistency with our Compensation Philosophy. The Compensation Committee also approves a percentage allocation to the performance components to determine how each executive officer’s bonus will be calculated at the end of the fiscal year. The target bonus amount for each NEO under the Short-Term Incentive Program is based on a percentage of the NEO's base salary.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Fiscal 2026, the Compensation Committee set the following target bonus amounts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157720" cy="17576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175768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60" w:type="dxa"/>
            <w:vAlign w:val="bottom"/>
            <w:shd w:val="clear" w:color="auto" w:fill="1B6F80"/>
          </w:tcPr>
          <w:p>
            <w:pPr>
              <w:spacing w:after="0"/>
              <w:rPr>
                <w:sz w:val="17"/>
                <w:szCs w:val="17"/>
                <w:color w:val="auto"/>
              </w:rPr>
            </w:pPr>
          </w:p>
        </w:tc>
        <w:tc>
          <w:tcPr>
            <w:tcW w:w="3500" w:type="dxa"/>
            <w:vAlign w:val="bottom"/>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Target Bonus</w:t>
            </w:r>
          </w:p>
        </w:tc>
      </w:tr>
      <w:tr>
        <w:trPr>
          <w:trHeight w:val="218"/>
        </w:trPr>
        <w:tc>
          <w:tcPr>
            <w:tcW w:w="7760" w:type="dxa"/>
            <w:vAlign w:val="bottom"/>
            <w:shd w:val="clear" w:color="auto" w:fill="1B6F80"/>
          </w:tcPr>
          <w:p>
            <w:pPr>
              <w:ind w:left="100"/>
              <w:spacing w:after="0"/>
              <w:rPr>
                <w:sz w:val="20"/>
                <w:szCs w:val="20"/>
                <w:color w:val="auto"/>
              </w:rPr>
            </w:pPr>
            <w:r>
              <w:rPr>
                <w:rFonts w:ascii="Arial" w:cs="Arial" w:eastAsia="Arial" w:hAnsi="Arial"/>
                <w:sz w:val="14"/>
                <w:szCs w:val="14"/>
                <w:b w:val="1"/>
                <w:bCs w:val="1"/>
                <w:color w:val="FFFFFF"/>
              </w:rPr>
              <w:t>Executives</w:t>
            </w:r>
          </w:p>
        </w:tc>
        <w:tc>
          <w:tcPr>
            <w:tcW w:w="3500" w:type="dxa"/>
            <w:vAlign w:val="bottom"/>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(as a % of base Salary)</w:t>
            </w:r>
          </w:p>
        </w:tc>
      </w:tr>
      <w:tr>
        <w:trPr>
          <w:trHeight w:val="54"/>
        </w:trPr>
        <w:tc>
          <w:tcPr>
            <w:tcW w:w="7760" w:type="dxa"/>
            <w:vAlign w:val="bottom"/>
            <w:shd w:val="clear" w:color="auto" w:fill="1B6F80"/>
          </w:tcPr>
          <w:p>
            <w:pPr>
              <w:spacing w:after="0"/>
              <w:rPr>
                <w:sz w:val="4"/>
                <w:szCs w:val="4"/>
                <w:color w:val="auto"/>
              </w:rPr>
            </w:pPr>
          </w:p>
        </w:tc>
        <w:tc>
          <w:tcPr>
            <w:tcW w:w="3500" w:type="dxa"/>
            <w:vAlign w:val="bottom"/>
          </w:tcPr>
          <w:p>
            <w:pPr>
              <w:spacing w:after="0"/>
              <w:rPr>
                <w:sz w:val="4"/>
                <w:szCs w:val="4"/>
                <w:color w:val="auto"/>
              </w:rPr>
            </w:pPr>
          </w:p>
        </w:tc>
      </w:tr>
    </w:tbl>
    <w:p>
      <w:pPr>
        <w:spacing w:after="0" w:line="3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81818"/>
        </w:rPr>
        <w:t>Scott A. Lang</w:t>
      </w:r>
    </w:p>
    <w:p>
      <w:pPr>
        <w:ind w:left="10840"/>
        <w:spacing w:after="0" w:line="187" w:lineRule="auto"/>
        <w:rPr>
          <w:sz w:val="20"/>
          <w:szCs w:val="20"/>
          <w:color w:val="auto"/>
        </w:rPr>
      </w:pPr>
      <w:r>
        <w:rPr>
          <w:rFonts w:ascii="Arial" w:cs="Arial" w:eastAsia="Arial" w:hAnsi="Arial"/>
          <w:sz w:val="12"/>
          <w:szCs w:val="12"/>
          <w:color w:val="auto"/>
        </w:rPr>
        <w:t>100</w:t>
      </w:r>
    </w:p>
    <w:p>
      <w:pPr>
        <w:ind w:left="100"/>
        <w:spacing w:after="0"/>
        <w:rPr>
          <w:sz w:val="20"/>
          <w:szCs w:val="20"/>
          <w:color w:val="auto"/>
        </w:rPr>
      </w:pPr>
      <w:r>
        <w:rPr>
          <w:rFonts w:ascii="Arial" w:cs="Arial" w:eastAsia="Arial" w:hAnsi="Arial"/>
          <w:sz w:val="14"/>
          <w:szCs w:val="14"/>
          <w:color w:val="auto"/>
        </w:rPr>
        <w:t>President and CEO</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81818"/>
        </w:rPr>
        <w:t>Christopher Guttman-McCabe</w:t>
      </w:r>
    </w:p>
    <w:p>
      <w:pPr>
        <w:ind w:left="10920"/>
        <w:spacing w:after="0" w:line="187" w:lineRule="auto"/>
        <w:rPr>
          <w:sz w:val="20"/>
          <w:szCs w:val="20"/>
          <w:color w:val="auto"/>
        </w:rPr>
      </w:pPr>
      <w:r>
        <w:rPr>
          <w:rFonts w:ascii="Arial" w:cs="Arial" w:eastAsia="Arial" w:hAnsi="Arial"/>
          <w:sz w:val="12"/>
          <w:szCs w:val="12"/>
          <w:color w:val="auto"/>
        </w:rPr>
        <w:t>75</w:t>
      </w:r>
    </w:p>
    <w:p>
      <w:pPr>
        <w:ind w:left="100"/>
        <w:spacing w:after="0"/>
        <w:rPr>
          <w:sz w:val="20"/>
          <w:szCs w:val="20"/>
          <w:color w:val="auto"/>
        </w:rPr>
      </w:pPr>
      <w:r>
        <w:rPr>
          <w:rFonts w:ascii="Arial" w:cs="Arial" w:eastAsia="Arial" w:hAnsi="Arial"/>
          <w:sz w:val="14"/>
          <w:szCs w:val="14"/>
          <w:color w:val="auto"/>
        </w:rPr>
        <w:t>Chief Regulatory and Communications Officer</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81818"/>
        </w:rPr>
        <w:t>Heather Martin</w:t>
      </w:r>
    </w:p>
    <w:p>
      <w:pPr>
        <w:ind w:left="10920"/>
        <w:spacing w:after="0" w:line="181" w:lineRule="auto"/>
        <w:rPr>
          <w:sz w:val="20"/>
          <w:szCs w:val="20"/>
          <w:color w:val="auto"/>
        </w:rPr>
      </w:pPr>
      <w:r>
        <w:rPr>
          <w:rFonts w:ascii="Arial" w:cs="Arial" w:eastAsia="Arial" w:hAnsi="Arial"/>
          <w:sz w:val="14"/>
          <w:szCs w:val="14"/>
          <w:color w:val="auto"/>
        </w:rPr>
        <w:t>60</w:t>
      </w:r>
    </w:p>
    <w:p>
      <w:pPr>
        <w:ind w:left="100"/>
        <w:spacing w:after="0"/>
        <w:rPr>
          <w:sz w:val="20"/>
          <w:szCs w:val="20"/>
          <w:color w:val="auto"/>
        </w:rPr>
      </w:pPr>
      <w:r>
        <w:rPr>
          <w:rFonts w:ascii="Arial" w:cs="Arial" w:eastAsia="Arial" w:hAnsi="Arial"/>
          <w:sz w:val="14"/>
          <w:szCs w:val="14"/>
          <w:color w:val="auto"/>
        </w:rPr>
        <w:t>Chief Marketing Officer and Chief of Staff</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81818"/>
        </w:rPr>
        <w:t>Ryan L. Gerbrandt</w:t>
      </w:r>
    </w:p>
    <w:p>
      <w:pPr>
        <w:ind w:left="10920"/>
        <w:spacing w:after="0" w:line="187" w:lineRule="auto"/>
        <w:rPr>
          <w:sz w:val="20"/>
          <w:szCs w:val="20"/>
          <w:color w:val="auto"/>
        </w:rPr>
      </w:pPr>
      <w:r>
        <w:rPr>
          <w:rFonts w:ascii="Arial" w:cs="Arial" w:eastAsia="Arial" w:hAnsi="Arial"/>
          <w:sz w:val="12"/>
          <w:szCs w:val="12"/>
          <w:color w:val="auto"/>
        </w:rPr>
        <w:t>60</w:t>
      </w:r>
    </w:p>
    <w:p>
      <w:pPr>
        <w:ind w:left="100"/>
        <w:spacing w:after="0"/>
        <w:rPr>
          <w:sz w:val="20"/>
          <w:szCs w:val="20"/>
          <w:color w:val="auto"/>
        </w:rPr>
      </w:pPr>
      <w:r>
        <w:rPr>
          <w:rFonts w:ascii="Arial" w:cs="Arial" w:eastAsia="Arial" w:hAnsi="Arial"/>
          <w:sz w:val="14"/>
          <w:szCs w:val="14"/>
          <w:color w:val="auto"/>
        </w:rPr>
        <w:t>Chief Operating Officer</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2026 Short-Term Incentive Program Design and Outcomes</w:t>
      </w:r>
    </w:p>
    <w:p>
      <w:pPr>
        <w:spacing w:after="0" w:line="13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Fiscal 2026, the Compensation Committee designed the Short-Term Incentive Program to focus the efforts of our executive officers on the Company’s achievement of the following performance objectives: (i) total customer proceeds contracted during Fiscal 2026 (“Customer Proceeds”); (ii) launching a new product offering with Fiscal 2026 revenue (“Product Revenue”); (iii) Fiscal 2026 free cash flow (“Free Cash Flow”); (iv) furthering the 5 x 5 MHz expansion process ("5 x 5 Regulatory Process"), as defined below; and (v) individual performance ("Individual Performance"). The Compensation Committee assigned the following target weighting for these performance objectives:</w:t>
      </w:r>
    </w:p>
    <w:p>
      <w:pPr>
        <w:spacing w:after="0" w:line="8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060" w:type="dxa"/>
            <w:vAlign w:val="bottom"/>
            <w:tcBorders>
              <w:top w:val="single" w:sz="8" w:color="181818"/>
              <w:lef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Customer Proceeds</w:t>
            </w:r>
          </w:p>
        </w:tc>
        <w:tc>
          <w:tcPr>
            <w:tcW w:w="2080" w:type="dxa"/>
            <w:vAlign w:val="bottom"/>
            <w:tcBorders>
              <w:top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Product Revenue</w:t>
            </w:r>
          </w:p>
        </w:tc>
        <w:tc>
          <w:tcPr>
            <w:tcW w:w="1980" w:type="dxa"/>
            <w:vAlign w:val="bottom"/>
            <w:tcBorders>
              <w:top w:val="single" w:sz="8" w:color="181818"/>
            </w:tcBorders>
            <w:shd w:val="clear" w:color="auto" w:fill="1B6F80"/>
          </w:tcPr>
          <w:p>
            <w:pPr>
              <w:ind w:left="460"/>
              <w:spacing w:after="0"/>
              <w:rPr>
                <w:sz w:val="20"/>
                <w:szCs w:val="20"/>
                <w:color w:val="auto"/>
              </w:rPr>
            </w:pPr>
            <w:r>
              <w:rPr>
                <w:rFonts w:ascii="Arial" w:cs="Arial" w:eastAsia="Arial" w:hAnsi="Arial"/>
                <w:sz w:val="14"/>
                <w:szCs w:val="14"/>
                <w:b w:val="1"/>
                <w:bCs w:val="1"/>
                <w:color w:val="FFFFFF"/>
              </w:rPr>
              <w:t>Free Cash Flow</w:t>
            </w:r>
          </w:p>
        </w:tc>
        <w:tc>
          <w:tcPr>
            <w:tcW w:w="2620" w:type="dxa"/>
            <w:vAlign w:val="bottom"/>
            <w:tcBorders>
              <w:top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5 x 5 Regulatory Process</w:t>
            </w:r>
          </w:p>
        </w:tc>
        <w:tc>
          <w:tcPr>
            <w:tcW w:w="2540" w:type="dxa"/>
            <w:vAlign w:val="bottom"/>
            <w:tcBorders>
              <w:top w:val="single" w:sz="8" w:color="181818"/>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Individual Performance</w:t>
            </w:r>
          </w:p>
        </w:tc>
      </w:tr>
      <w:tr>
        <w:trPr>
          <w:trHeight w:val="70"/>
        </w:trPr>
        <w:tc>
          <w:tcPr>
            <w:tcW w:w="2060" w:type="dxa"/>
            <w:vAlign w:val="bottom"/>
            <w:tcBorders>
              <w:left w:val="single" w:sz="8" w:color="181818"/>
            </w:tcBorders>
            <w:shd w:val="clear" w:color="auto" w:fill="1B6F80"/>
          </w:tcPr>
          <w:p>
            <w:pPr>
              <w:spacing w:after="0"/>
              <w:rPr>
                <w:sz w:val="6"/>
                <w:szCs w:val="6"/>
                <w:color w:val="auto"/>
              </w:rPr>
            </w:pPr>
          </w:p>
        </w:tc>
        <w:tc>
          <w:tcPr>
            <w:tcW w:w="2080" w:type="dxa"/>
            <w:vAlign w:val="bottom"/>
            <w:shd w:val="clear" w:color="auto" w:fill="1B6F80"/>
          </w:tcPr>
          <w:p>
            <w:pPr>
              <w:spacing w:after="0"/>
              <w:rPr>
                <w:sz w:val="6"/>
                <w:szCs w:val="6"/>
                <w:color w:val="auto"/>
              </w:rPr>
            </w:pPr>
          </w:p>
        </w:tc>
        <w:tc>
          <w:tcPr>
            <w:tcW w:w="1980" w:type="dxa"/>
            <w:vAlign w:val="bottom"/>
            <w:shd w:val="clear" w:color="auto" w:fill="1B6F80"/>
          </w:tcPr>
          <w:p>
            <w:pPr>
              <w:spacing w:after="0"/>
              <w:rPr>
                <w:sz w:val="6"/>
                <w:szCs w:val="6"/>
                <w:color w:val="auto"/>
              </w:rPr>
            </w:pPr>
          </w:p>
        </w:tc>
        <w:tc>
          <w:tcPr>
            <w:tcW w:w="2620" w:type="dxa"/>
            <w:vAlign w:val="bottom"/>
            <w:shd w:val="clear" w:color="auto" w:fill="1B6F80"/>
          </w:tcPr>
          <w:p>
            <w:pPr>
              <w:spacing w:after="0"/>
              <w:rPr>
                <w:sz w:val="6"/>
                <w:szCs w:val="6"/>
                <w:color w:val="auto"/>
              </w:rPr>
            </w:pPr>
          </w:p>
        </w:tc>
        <w:tc>
          <w:tcPr>
            <w:tcW w:w="2540" w:type="dxa"/>
            <w:vAlign w:val="bottom"/>
            <w:tcBorders>
              <w:right w:val="single" w:sz="8" w:color="181818"/>
            </w:tcBorders>
            <w:shd w:val="clear" w:color="auto" w:fill="1B6F80"/>
          </w:tcPr>
          <w:p>
            <w:pPr>
              <w:spacing w:after="0"/>
              <w:rPr>
                <w:sz w:val="6"/>
                <w:szCs w:val="6"/>
                <w:color w:val="auto"/>
              </w:rPr>
            </w:pPr>
          </w:p>
        </w:tc>
      </w:tr>
      <w:tr>
        <w:trPr>
          <w:trHeight w:val="262"/>
        </w:trPr>
        <w:tc>
          <w:tcPr>
            <w:tcW w:w="2060" w:type="dxa"/>
            <w:vAlign w:val="bottom"/>
            <w:tcBorders>
              <w:left w:val="single" w:sz="8" w:color="181818"/>
            </w:tcBorders>
          </w:tcPr>
          <w:p>
            <w:pPr>
              <w:jc w:val="center"/>
              <w:spacing w:after="0"/>
              <w:rPr>
                <w:sz w:val="20"/>
                <w:szCs w:val="20"/>
                <w:color w:val="auto"/>
              </w:rPr>
            </w:pPr>
            <w:r>
              <w:rPr>
                <w:rFonts w:ascii="Arial" w:cs="Arial" w:eastAsia="Arial" w:hAnsi="Arial"/>
                <w:sz w:val="14"/>
                <w:szCs w:val="14"/>
                <w:color w:val="auto"/>
              </w:rPr>
              <w:t>(60% Weighting)</w:t>
            </w:r>
          </w:p>
        </w:tc>
        <w:tc>
          <w:tcPr>
            <w:tcW w:w="2080" w:type="dxa"/>
            <w:vAlign w:val="bottom"/>
          </w:tcPr>
          <w:p>
            <w:pPr>
              <w:jc w:val="center"/>
              <w:spacing w:after="0"/>
              <w:rPr>
                <w:sz w:val="20"/>
                <w:szCs w:val="20"/>
                <w:color w:val="auto"/>
              </w:rPr>
            </w:pPr>
            <w:r>
              <w:rPr>
                <w:rFonts w:ascii="Arial" w:cs="Arial" w:eastAsia="Arial" w:hAnsi="Arial"/>
                <w:sz w:val="14"/>
                <w:szCs w:val="14"/>
                <w:color w:val="auto"/>
              </w:rPr>
              <w:t>(10% Weighting)</w:t>
            </w:r>
          </w:p>
        </w:tc>
        <w:tc>
          <w:tcPr>
            <w:tcW w:w="1980" w:type="dxa"/>
            <w:vAlign w:val="bottom"/>
          </w:tcPr>
          <w:p>
            <w:pPr>
              <w:ind w:left="460"/>
              <w:spacing w:after="0"/>
              <w:rPr>
                <w:sz w:val="20"/>
                <w:szCs w:val="20"/>
                <w:color w:val="auto"/>
              </w:rPr>
            </w:pPr>
            <w:r>
              <w:rPr>
                <w:rFonts w:ascii="Arial" w:cs="Arial" w:eastAsia="Arial" w:hAnsi="Arial"/>
                <w:sz w:val="14"/>
                <w:szCs w:val="14"/>
                <w:color w:val="auto"/>
              </w:rPr>
              <w:t>(10% Weighting)</w:t>
            </w:r>
          </w:p>
        </w:tc>
        <w:tc>
          <w:tcPr>
            <w:tcW w:w="2620" w:type="dxa"/>
            <w:vAlign w:val="bottom"/>
          </w:tcPr>
          <w:p>
            <w:pPr>
              <w:jc w:val="center"/>
              <w:spacing w:after="0"/>
              <w:rPr>
                <w:sz w:val="20"/>
                <w:szCs w:val="20"/>
                <w:color w:val="auto"/>
              </w:rPr>
            </w:pPr>
            <w:r>
              <w:rPr>
                <w:rFonts w:ascii="Arial" w:cs="Arial" w:eastAsia="Arial" w:hAnsi="Arial"/>
                <w:sz w:val="14"/>
                <w:szCs w:val="14"/>
                <w:color w:val="auto"/>
              </w:rPr>
              <w:t>(10% Weighting)</w:t>
            </w:r>
          </w:p>
        </w:tc>
        <w:tc>
          <w:tcPr>
            <w:tcW w:w="2540" w:type="dxa"/>
            <w:vAlign w:val="bottom"/>
            <w:tcBorders>
              <w:right w:val="single" w:sz="8" w:color="181818"/>
            </w:tcBorders>
          </w:tcPr>
          <w:p>
            <w:pPr>
              <w:jc w:val="center"/>
              <w:ind w:right="8"/>
              <w:spacing w:after="0"/>
              <w:rPr>
                <w:sz w:val="20"/>
                <w:szCs w:val="20"/>
                <w:color w:val="auto"/>
              </w:rPr>
            </w:pPr>
            <w:r>
              <w:rPr>
                <w:rFonts w:ascii="Arial" w:cs="Arial" w:eastAsia="Arial" w:hAnsi="Arial"/>
                <w:sz w:val="14"/>
                <w:szCs w:val="14"/>
                <w:color w:val="auto"/>
              </w:rPr>
              <w:t>(10% Weighting)</w:t>
            </w:r>
          </w:p>
        </w:tc>
      </w:tr>
      <w:tr>
        <w:trPr>
          <w:trHeight w:val="76"/>
        </w:trPr>
        <w:tc>
          <w:tcPr>
            <w:tcW w:w="2060" w:type="dxa"/>
            <w:vAlign w:val="bottom"/>
            <w:tcBorders>
              <w:left w:val="single" w:sz="8" w:color="181818"/>
              <w:bottom w:val="single" w:sz="8" w:color="181818"/>
            </w:tcBorders>
          </w:tcPr>
          <w:p>
            <w:pPr>
              <w:spacing w:after="0"/>
              <w:rPr>
                <w:sz w:val="6"/>
                <w:szCs w:val="6"/>
                <w:color w:val="auto"/>
              </w:rPr>
            </w:pPr>
          </w:p>
        </w:tc>
        <w:tc>
          <w:tcPr>
            <w:tcW w:w="2080" w:type="dxa"/>
            <w:vAlign w:val="bottom"/>
            <w:tcBorders>
              <w:bottom w:val="single" w:sz="8" w:color="181818"/>
            </w:tcBorders>
          </w:tcPr>
          <w:p>
            <w:pPr>
              <w:spacing w:after="0"/>
              <w:rPr>
                <w:sz w:val="6"/>
                <w:szCs w:val="6"/>
                <w:color w:val="auto"/>
              </w:rPr>
            </w:pPr>
          </w:p>
        </w:tc>
        <w:tc>
          <w:tcPr>
            <w:tcW w:w="1980" w:type="dxa"/>
            <w:vAlign w:val="bottom"/>
            <w:tcBorders>
              <w:bottom w:val="single" w:sz="8" w:color="181818"/>
            </w:tcBorders>
          </w:tcPr>
          <w:p>
            <w:pPr>
              <w:spacing w:after="0"/>
              <w:rPr>
                <w:sz w:val="6"/>
                <w:szCs w:val="6"/>
                <w:color w:val="auto"/>
              </w:rPr>
            </w:pPr>
          </w:p>
        </w:tc>
        <w:tc>
          <w:tcPr>
            <w:tcW w:w="2620" w:type="dxa"/>
            <w:vAlign w:val="bottom"/>
            <w:tcBorders>
              <w:bottom w:val="single" w:sz="8" w:color="181818"/>
            </w:tcBorders>
          </w:tcPr>
          <w:p>
            <w:pPr>
              <w:spacing w:after="0"/>
              <w:rPr>
                <w:sz w:val="6"/>
                <w:szCs w:val="6"/>
                <w:color w:val="auto"/>
              </w:rPr>
            </w:pPr>
          </w:p>
        </w:tc>
        <w:tc>
          <w:tcPr>
            <w:tcW w:w="2540" w:type="dxa"/>
            <w:vAlign w:val="bottom"/>
            <w:tcBorders>
              <w:bottom w:val="single" w:sz="8" w:color="181818"/>
              <w:right w:val="single" w:sz="8" w:color="181818"/>
            </w:tcBorders>
          </w:tcPr>
          <w:p>
            <w:pPr>
              <w:spacing w:after="0"/>
              <w:rPr>
                <w:sz w:val="6"/>
                <w:szCs w:val="6"/>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5 x 5 Regulatory Process</w:t>
      </w:r>
    </w:p>
    <w:p>
      <w:pPr>
        <w:spacing w:after="0" w:line="10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On February 18, 2026, the 2026 Report and Order was adopted unanimously by the FCC to “address the critical demand and growing need for private broadband networks in the 900 MHz band, allowing users to leverage broadband capacity for more advanced and robust networks.” In the 2026 Report and Order, the FCC reconfigured the 900 MHz band to allow a 10 MHz broadband segment consisting of two 5 MHz broadband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577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36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40" w:name="page41"/>
    <w:bookmarkEnd w:id="40"/>
    <w:p>
      <w:pPr>
        <w:ind w:left="900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7"/>
        <w:spacing w:after="0" w:line="305" w:lineRule="auto"/>
        <w:rPr>
          <w:sz w:val="20"/>
          <w:szCs w:val="20"/>
          <w:color w:val="auto"/>
        </w:rPr>
      </w:pPr>
      <w:r>
        <w:rPr>
          <w:rFonts w:ascii="Arial" w:cs="Arial" w:eastAsia="Arial" w:hAnsi="Arial"/>
          <w:sz w:val="16"/>
          <w:szCs w:val="16"/>
          <w:color w:val="auto"/>
        </w:rPr>
        <w:t>For the 2026 Short-Term Incentive Program, the Compensation Committee set the target for the performance objectives at performance levels that would be challenging to achieve and would require outstanding performance by the Company and strong execution and leadership by our NEOs. The Compensation Committee has negative and positive discretion to determine the actual payouts under the 2026 Short-Term Incentive Program based on its consideration of the Company’s overall performance and each individual executive officer’s performance and contributions during the fiscal year. The Compensation Committee set a minimum performance threshold and a maximum payout of the target bonus award for a particular performance objective to the extent the applicable performance objective is exceeded. The Compensation Committee assigned the following minimum and maximum payouts for the performance objectives:</w:t>
      </w:r>
    </w:p>
    <w:p>
      <w:pPr>
        <w:spacing w:after="0" w:line="310" w:lineRule="exact"/>
        <w:rPr>
          <w:sz w:val="20"/>
          <w:szCs w:val="20"/>
          <w:color w:val="auto"/>
        </w:rPr>
      </w:pPr>
    </w:p>
    <w:tbl>
      <w:tblPr>
        <w:tblLayout w:type="fixed"/>
        <w:tblInd w:w="17" w:type="dxa"/>
        <w:tblCellMar>
          <w:top w:w="0" w:type="dxa"/>
          <w:left w:w="0" w:type="dxa"/>
          <w:bottom w:w="0" w:type="dxa"/>
          <w:right w:w="0" w:type="dxa"/>
        </w:tblCellMar>
      </w:tblPr>
      <w:tr>
        <w:trPr>
          <w:trHeight w:val="263"/>
        </w:trPr>
        <w:tc>
          <w:tcPr>
            <w:tcW w:w="2480" w:type="dxa"/>
            <w:vAlign w:val="bottom"/>
            <w:tcBorders>
              <w:top w:val="single" w:sz="8" w:color="181818"/>
              <w:left w:val="single" w:sz="8" w:color="181818"/>
              <w:bottom w:val="single" w:sz="8" w:color="1B6F80"/>
            </w:tcBorders>
            <w:shd w:val="clear" w:color="auto" w:fill="1B6F80"/>
          </w:tcPr>
          <w:p>
            <w:pPr>
              <w:spacing w:after="0"/>
              <w:rPr>
                <w:sz w:val="22"/>
                <w:szCs w:val="22"/>
                <w:color w:val="auto"/>
              </w:rPr>
            </w:pPr>
          </w:p>
        </w:tc>
        <w:tc>
          <w:tcPr>
            <w:tcW w:w="1660" w:type="dxa"/>
            <w:vAlign w:val="bottom"/>
            <w:tcBorders>
              <w:top w:val="single" w:sz="8" w:color="181818"/>
              <w:bottom w:val="single" w:sz="8" w:color="1B6F80"/>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Customer Proceeds</w:t>
            </w:r>
          </w:p>
        </w:tc>
        <w:tc>
          <w:tcPr>
            <w:tcW w:w="1400" w:type="dxa"/>
            <w:vAlign w:val="bottom"/>
            <w:tcBorders>
              <w:top w:val="single" w:sz="8" w:color="181818"/>
              <w:bottom w:val="single" w:sz="8" w:color="1B6F80"/>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Product Revenue</w:t>
            </w:r>
          </w:p>
        </w:tc>
        <w:tc>
          <w:tcPr>
            <w:tcW w:w="1280" w:type="dxa"/>
            <w:vAlign w:val="bottom"/>
            <w:tcBorders>
              <w:top w:val="single" w:sz="8" w:color="181818"/>
              <w:bottom w:val="single" w:sz="8" w:color="1B6F80"/>
            </w:tcBorders>
            <w:shd w:val="clear" w:color="auto" w:fill="1B6F80"/>
          </w:tcPr>
          <w:p>
            <w:pPr>
              <w:ind w:left="120"/>
              <w:spacing w:after="0"/>
              <w:rPr>
                <w:sz w:val="20"/>
                <w:szCs w:val="20"/>
                <w:color w:val="auto"/>
              </w:rPr>
            </w:pPr>
            <w:r>
              <w:rPr>
                <w:rFonts w:ascii="Arial" w:cs="Arial" w:eastAsia="Arial" w:hAnsi="Arial"/>
                <w:sz w:val="14"/>
                <w:szCs w:val="14"/>
                <w:b w:val="1"/>
                <w:bCs w:val="1"/>
                <w:color w:val="FFFFFF"/>
              </w:rPr>
              <w:t>Free Cash Flow</w:t>
            </w:r>
          </w:p>
        </w:tc>
        <w:tc>
          <w:tcPr>
            <w:tcW w:w="2500" w:type="dxa"/>
            <w:vAlign w:val="bottom"/>
            <w:tcBorders>
              <w:top w:val="single" w:sz="8" w:color="181818"/>
              <w:bottom w:val="single" w:sz="8" w:color="1B6F80"/>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5 x 5 Regulatory Process</w:t>
            </w:r>
          </w:p>
        </w:tc>
        <w:tc>
          <w:tcPr>
            <w:tcW w:w="1960" w:type="dxa"/>
            <w:vAlign w:val="bottom"/>
            <w:tcBorders>
              <w:top w:val="single" w:sz="8" w:color="181818"/>
              <w:bottom w:val="single" w:sz="8" w:color="1B6F80"/>
              <w:right w:val="single" w:sz="8" w:color="181818"/>
            </w:tcBorders>
            <w:shd w:val="clear" w:color="auto" w:fill="1B6F80"/>
          </w:tcPr>
          <w:p>
            <w:pPr>
              <w:jc w:val="center"/>
              <w:ind w:right="8"/>
              <w:spacing w:after="0"/>
              <w:rPr>
                <w:sz w:val="20"/>
                <w:szCs w:val="20"/>
                <w:color w:val="auto"/>
              </w:rPr>
            </w:pPr>
            <w:r>
              <w:rPr>
                <w:rFonts w:ascii="Arial" w:cs="Arial" w:eastAsia="Arial" w:hAnsi="Arial"/>
                <w:sz w:val="14"/>
                <w:szCs w:val="14"/>
                <w:b w:val="1"/>
                <w:bCs w:val="1"/>
                <w:color w:val="FFFFFF"/>
              </w:rPr>
              <w:t>Individual Performance</w:t>
            </w:r>
          </w:p>
        </w:tc>
      </w:tr>
      <w:tr>
        <w:trPr>
          <w:trHeight w:val="243"/>
        </w:trPr>
        <w:tc>
          <w:tcPr>
            <w:tcW w:w="2480" w:type="dxa"/>
            <w:vAlign w:val="bottom"/>
            <w:tcBorders>
              <w:left w:val="single" w:sz="8" w:color="181818"/>
            </w:tcBorders>
          </w:tcPr>
          <w:p>
            <w:pPr>
              <w:spacing w:after="0"/>
              <w:rPr>
                <w:sz w:val="21"/>
                <w:szCs w:val="21"/>
                <w:color w:val="auto"/>
              </w:rPr>
            </w:pPr>
          </w:p>
        </w:tc>
        <w:tc>
          <w:tcPr>
            <w:tcW w:w="16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rPr>
              <w:t>Report &amp; Order (R&amp;O) issued by the</w:t>
            </w:r>
          </w:p>
        </w:tc>
        <w:tc>
          <w:tcPr>
            <w:tcW w:w="1960" w:type="dxa"/>
            <w:vAlign w:val="bottom"/>
            <w:tcBorders>
              <w:right w:val="single" w:sz="8" w:color="181818"/>
            </w:tcBorders>
          </w:tcPr>
          <w:p>
            <w:pPr>
              <w:spacing w:after="0"/>
              <w:rPr>
                <w:sz w:val="21"/>
                <w:szCs w:val="21"/>
                <w:color w:val="auto"/>
              </w:rPr>
            </w:pPr>
          </w:p>
        </w:tc>
      </w:tr>
      <w:tr>
        <w:trPr>
          <w:trHeight w:val="175"/>
        </w:trPr>
        <w:tc>
          <w:tcPr>
            <w:tcW w:w="2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STI Performance Targets</w:t>
            </w:r>
          </w:p>
        </w:tc>
        <w:tc>
          <w:tcPr>
            <w:tcW w:w="1660" w:type="dxa"/>
            <w:vAlign w:val="bottom"/>
          </w:tcPr>
          <w:p>
            <w:pPr>
              <w:jc w:val="center"/>
              <w:spacing w:after="0"/>
              <w:rPr>
                <w:sz w:val="20"/>
                <w:szCs w:val="20"/>
                <w:color w:val="auto"/>
              </w:rPr>
            </w:pPr>
            <w:r>
              <w:rPr>
                <w:rFonts w:ascii="Arial" w:cs="Arial" w:eastAsia="Arial" w:hAnsi="Arial"/>
                <w:sz w:val="14"/>
                <w:szCs w:val="14"/>
                <w:color w:val="auto"/>
              </w:rPr>
              <w:t>$155M</w:t>
            </w:r>
          </w:p>
        </w:tc>
        <w:tc>
          <w:tcPr>
            <w:tcW w:w="1400" w:type="dxa"/>
            <w:vAlign w:val="bottom"/>
          </w:tcPr>
          <w:p>
            <w:pPr>
              <w:jc w:val="center"/>
              <w:spacing w:after="0"/>
              <w:rPr>
                <w:sz w:val="20"/>
                <w:szCs w:val="20"/>
                <w:color w:val="auto"/>
              </w:rPr>
            </w:pPr>
            <w:r>
              <w:rPr>
                <w:rFonts w:ascii="Arial" w:cs="Arial" w:eastAsia="Arial" w:hAnsi="Arial"/>
                <w:sz w:val="14"/>
                <w:szCs w:val="14"/>
                <w:color w:val="auto"/>
              </w:rPr>
              <w:t>100%</w:t>
            </w:r>
          </w:p>
        </w:tc>
        <w:tc>
          <w:tcPr>
            <w:tcW w:w="1280" w:type="dxa"/>
            <w:vAlign w:val="bottom"/>
          </w:tcPr>
          <w:p>
            <w:pPr>
              <w:jc w:val="center"/>
              <w:spacing w:after="0"/>
              <w:rPr>
                <w:sz w:val="20"/>
                <w:szCs w:val="20"/>
                <w:color w:val="auto"/>
              </w:rPr>
            </w:pPr>
            <w:r>
              <w:rPr>
                <w:rFonts w:ascii="Arial" w:cs="Arial" w:eastAsia="Arial" w:hAnsi="Arial"/>
                <w:sz w:val="14"/>
                <w:szCs w:val="14"/>
                <w:color w:val="auto"/>
              </w:rPr>
              <w:t>$35M</w:t>
            </w:r>
          </w:p>
        </w:tc>
        <w:tc>
          <w:tcPr>
            <w:tcW w:w="2500" w:type="dxa"/>
            <w:vAlign w:val="bottom"/>
          </w:tcPr>
          <w:p>
            <w:pPr>
              <w:jc w:val="center"/>
              <w:spacing w:after="0"/>
              <w:rPr>
                <w:sz w:val="20"/>
                <w:szCs w:val="20"/>
                <w:color w:val="auto"/>
              </w:rPr>
            </w:pPr>
            <w:r>
              <w:rPr>
                <w:rFonts w:ascii="Arial" w:cs="Arial" w:eastAsia="Arial" w:hAnsi="Arial"/>
                <w:sz w:val="14"/>
                <w:szCs w:val="14"/>
                <w:color w:val="auto"/>
              </w:rPr>
              <w:t>FCC or significant progress toward</w:t>
            </w:r>
          </w:p>
        </w:tc>
        <w:tc>
          <w:tcPr>
            <w:tcW w:w="1960" w:type="dxa"/>
            <w:vAlign w:val="bottom"/>
            <w:tcBorders>
              <w:right w:val="single" w:sz="8" w:color="181818"/>
            </w:tcBorders>
          </w:tcPr>
          <w:p>
            <w:pPr>
              <w:jc w:val="center"/>
              <w:ind w:right="28"/>
              <w:spacing w:after="0"/>
              <w:rPr>
                <w:sz w:val="20"/>
                <w:szCs w:val="20"/>
                <w:color w:val="auto"/>
              </w:rPr>
            </w:pPr>
            <w:r>
              <w:rPr>
                <w:rFonts w:ascii="Arial" w:cs="Arial" w:eastAsia="Arial" w:hAnsi="Arial"/>
                <w:sz w:val="14"/>
                <w:szCs w:val="14"/>
                <w:color w:val="auto"/>
              </w:rPr>
              <w:t>Individually Based Metrics</w:t>
            </w:r>
          </w:p>
        </w:tc>
      </w:tr>
      <w:tr>
        <w:trPr>
          <w:trHeight w:val="194"/>
        </w:trPr>
        <w:tc>
          <w:tcPr>
            <w:tcW w:w="2480" w:type="dxa"/>
            <w:vAlign w:val="bottom"/>
            <w:tcBorders>
              <w:left w:val="single" w:sz="8" w:color="181818"/>
            </w:tcBorders>
          </w:tcPr>
          <w:p>
            <w:pPr>
              <w:spacing w:after="0"/>
              <w:rPr>
                <w:sz w:val="16"/>
                <w:szCs w:val="16"/>
                <w:color w:val="auto"/>
              </w:rPr>
            </w:pP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rPr>
              <w:t>R&amp;O issuance</w:t>
            </w:r>
          </w:p>
        </w:tc>
        <w:tc>
          <w:tcPr>
            <w:tcW w:w="1960" w:type="dxa"/>
            <w:vAlign w:val="bottom"/>
            <w:tcBorders>
              <w:right w:val="single" w:sz="8" w:color="181818"/>
            </w:tcBorders>
          </w:tcPr>
          <w:p>
            <w:pPr>
              <w:spacing w:after="0"/>
              <w:rPr>
                <w:sz w:val="16"/>
                <w:szCs w:val="16"/>
                <w:color w:val="auto"/>
              </w:rPr>
            </w:pPr>
          </w:p>
        </w:tc>
      </w:tr>
      <w:tr>
        <w:trPr>
          <w:trHeight w:val="75"/>
        </w:trPr>
        <w:tc>
          <w:tcPr>
            <w:tcW w:w="2480" w:type="dxa"/>
            <w:vAlign w:val="bottom"/>
            <w:tcBorders>
              <w:left w:val="single" w:sz="8" w:color="181818"/>
              <w:bottom w:val="single" w:sz="8" w:color="181818"/>
            </w:tcBorders>
          </w:tcPr>
          <w:p>
            <w:pPr>
              <w:spacing w:after="0"/>
              <w:rPr>
                <w:sz w:val="6"/>
                <w:szCs w:val="6"/>
                <w:color w:val="auto"/>
              </w:rPr>
            </w:pPr>
          </w:p>
        </w:tc>
        <w:tc>
          <w:tcPr>
            <w:tcW w:w="166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1280" w:type="dxa"/>
            <w:vAlign w:val="bottom"/>
            <w:tcBorders>
              <w:bottom w:val="single" w:sz="8" w:color="181818"/>
            </w:tcBorders>
          </w:tcPr>
          <w:p>
            <w:pPr>
              <w:spacing w:after="0"/>
              <w:rPr>
                <w:sz w:val="6"/>
                <w:szCs w:val="6"/>
                <w:color w:val="auto"/>
              </w:rPr>
            </w:pPr>
          </w:p>
        </w:tc>
        <w:tc>
          <w:tcPr>
            <w:tcW w:w="2500" w:type="dxa"/>
            <w:vAlign w:val="bottom"/>
            <w:tcBorders>
              <w:bottom w:val="single" w:sz="8" w:color="181818"/>
            </w:tcBorders>
          </w:tcPr>
          <w:p>
            <w:pPr>
              <w:spacing w:after="0"/>
              <w:rPr>
                <w:sz w:val="6"/>
                <w:szCs w:val="6"/>
                <w:color w:val="auto"/>
              </w:rPr>
            </w:pPr>
          </w:p>
        </w:tc>
        <w:tc>
          <w:tcPr>
            <w:tcW w:w="1960" w:type="dxa"/>
            <w:vAlign w:val="bottom"/>
            <w:tcBorders>
              <w:bottom w:val="single" w:sz="8" w:color="181818"/>
              <w:right w:val="single" w:sz="8" w:color="181818"/>
            </w:tcBorders>
          </w:tcPr>
          <w:p>
            <w:pPr>
              <w:spacing w:after="0"/>
              <w:rPr>
                <w:sz w:val="6"/>
                <w:szCs w:val="6"/>
                <w:color w:val="auto"/>
              </w:rPr>
            </w:pPr>
          </w:p>
        </w:tc>
      </w:tr>
      <w:tr>
        <w:trPr>
          <w:trHeight w:val="237"/>
        </w:trPr>
        <w:tc>
          <w:tcPr>
            <w:tcW w:w="2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Minimum performance thresholds</w:t>
            </w: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960" w:type="dxa"/>
            <w:vAlign w:val="bottom"/>
            <w:tcBorders>
              <w:right w:val="single" w:sz="8" w:color="181818"/>
            </w:tcBorders>
          </w:tcPr>
          <w:p>
            <w:pPr>
              <w:spacing w:after="0"/>
              <w:rPr>
                <w:sz w:val="20"/>
                <w:szCs w:val="20"/>
                <w:color w:val="auto"/>
              </w:rPr>
            </w:pPr>
          </w:p>
        </w:tc>
      </w:tr>
      <w:tr>
        <w:trPr>
          <w:trHeight w:val="162"/>
        </w:trPr>
        <w:tc>
          <w:tcPr>
            <w:tcW w:w="2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required for any bonus payout per</w:t>
            </w:r>
          </w:p>
        </w:tc>
        <w:tc>
          <w:tcPr>
            <w:tcW w:w="1660" w:type="dxa"/>
            <w:vAlign w:val="bottom"/>
          </w:tcPr>
          <w:p>
            <w:pPr>
              <w:jc w:val="right"/>
              <w:ind w:right="608"/>
              <w:spacing w:after="0"/>
              <w:rPr>
                <w:sz w:val="20"/>
                <w:szCs w:val="20"/>
                <w:color w:val="auto"/>
              </w:rPr>
            </w:pPr>
            <w:r>
              <w:rPr>
                <w:rFonts w:ascii="Arial" w:cs="Arial" w:eastAsia="Arial" w:hAnsi="Arial"/>
                <w:sz w:val="14"/>
                <w:szCs w:val="14"/>
                <w:color w:val="auto"/>
              </w:rPr>
              <w:t>&gt;0%</w:t>
            </w:r>
          </w:p>
        </w:tc>
        <w:tc>
          <w:tcPr>
            <w:tcW w:w="1400" w:type="dxa"/>
            <w:vAlign w:val="bottom"/>
          </w:tcPr>
          <w:p>
            <w:pPr>
              <w:jc w:val="center"/>
              <w:spacing w:after="0"/>
              <w:rPr>
                <w:sz w:val="20"/>
                <w:szCs w:val="20"/>
                <w:color w:val="auto"/>
              </w:rPr>
            </w:pPr>
            <w:r>
              <w:rPr>
                <w:rFonts w:ascii="Arial" w:cs="Arial" w:eastAsia="Arial" w:hAnsi="Arial"/>
                <w:sz w:val="14"/>
                <w:szCs w:val="14"/>
                <w:color w:val="auto"/>
              </w:rPr>
              <w:t>100%</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75%</w:t>
            </w:r>
          </w:p>
        </w:tc>
        <w:tc>
          <w:tcPr>
            <w:tcW w:w="2500" w:type="dxa"/>
            <w:vAlign w:val="bottom"/>
          </w:tcPr>
          <w:p>
            <w:pPr>
              <w:jc w:val="right"/>
              <w:ind w:right="1028"/>
              <w:spacing w:after="0"/>
              <w:rPr>
                <w:sz w:val="20"/>
                <w:szCs w:val="20"/>
                <w:color w:val="auto"/>
              </w:rPr>
            </w:pPr>
            <w:r>
              <w:rPr>
                <w:rFonts w:ascii="Arial" w:cs="Arial" w:eastAsia="Arial" w:hAnsi="Arial"/>
                <w:sz w:val="14"/>
                <w:szCs w:val="14"/>
                <w:color w:val="auto"/>
              </w:rPr>
              <w:t>75%</w:t>
            </w:r>
          </w:p>
        </w:tc>
        <w:tc>
          <w:tcPr>
            <w:tcW w:w="1960" w:type="dxa"/>
            <w:vAlign w:val="bottom"/>
            <w:tcBorders>
              <w:right w:val="single" w:sz="8" w:color="181818"/>
            </w:tcBorders>
          </w:tcPr>
          <w:p>
            <w:pPr>
              <w:jc w:val="right"/>
              <w:ind w:right="808"/>
              <w:spacing w:after="0"/>
              <w:rPr>
                <w:sz w:val="20"/>
                <w:szCs w:val="20"/>
                <w:color w:val="auto"/>
              </w:rPr>
            </w:pPr>
            <w:r>
              <w:rPr>
                <w:rFonts w:ascii="Arial" w:cs="Arial" w:eastAsia="Arial" w:hAnsi="Arial"/>
                <w:sz w:val="14"/>
                <w:szCs w:val="14"/>
                <w:color w:val="auto"/>
              </w:rPr>
              <w:t>90%</w:t>
            </w:r>
          </w:p>
        </w:tc>
      </w:tr>
      <w:tr>
        <w:trPr>
          <w:trHeight w:val="194"/>
        </w:trPr>
        <w:tc>
          <w:tcPr>
            <w:tcW w:w="2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performance objective*</w:t>
            </w: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960" w:type="dxa"/>
            <w:vAlign w:val="bottom"/>
            <w:tcBorders>
              <w:right w:val="single" w:sz="8" w:color="181818"/>
            </w:tcBorders>
          </w:tcPr>
          <w:p>
            <w:pPr>
              <w:spacing w:after="0"/>
              <w:rPr>
                <w:sz w:val="16"/>
                <w:szCs w:val="16"/>
                <w:color w:val="auto"/>
              </w:rPr>
            </w:pPr>
          </w:p>
        </w:tc>
      </w:tr>
      <w:tr>
        <w:trPr>
          <w:trHeight w:val="75"/>
        </w:trPr>
        <w:tc>
          <w:tcPr>
            <w:tcW w:w="2480" w:type="dxa"/>
            <w:vAlign w:val="bottom"/>
            <w:tcBorders>
              <w:left w:val="single" w:sz="8" w:color="181818"/>
              <w:bottom w:val="single" w:sz="8" w:color="181818"/>
            </w:tcBorders>
          </w:tcPr>
          <w:p>
            <w:pPr>
              <w:spacing w:after="0"/>
              <w:rPr>
                <w:sz w:val="6"/>
                <w:szCs w:val="6"/>
                <w:color w:val="auto"/>
              </w:rPr>
            </w:pPr>
          </w:p>
        </w:tc>
        <w:tc>
          <w:tcPr>
            <w:tcW w:w="166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1280" w:type="dxa"/>
            <w:vAlign w:val="bottom"/>
            <w:tcBorders>
              <w:bottom w:val="single" w:sz="8" w:color="181818"/>
            </w:tcBorders>
          </w:tcPr>
          <w:p>
            <w:pPr>
              <w:spacing w:after="0"/>
              <w:rPr>
                <w:sz w:val="6"/>
                <w:szCs w:val="6"/>
                <w:color w:val="auto"/>
              </w:rPr>
            </w:pPr>
          </w:p>
        </w:tc>
        <w:tc>
          <w:tcPr>
            <w:tcW w:w="2500" w:type="dxa"/>
            <w:vAlign w:val="bottom"/>
            <w:tcBorders>
              <w:bottom w:val="single" w:sz="8" w:color="181818"/>
            </w:tcBorders>
          </w:tcPr>
          <w:p>
            <w:pPr>
              <w:spacing w:after="0"/>
              <w:rPr>
                <w:sz w:val="6"/>
                <w:szCs w:val="6"/>
                <w:color w:val="auto"/>
              </w:rPr>
            </w:pPr>
          </w:p>
        </w:tc>
        <w:tc>
          <w:tcPr>
            <w:tcW w:w="1960" w:type="dxa"/>
            <w:vAlign w:val="bottom"/>
            <w:tcBorders>
              <w:bottom w:val="single" w:sz="8" w:color="181818"/>
              <w:right w:val="single" w:sz="8" w:color="181818"/>
            </w:tcBorders>
          </w:tcPr>
          <w:p>
            <w:pPr>
              <w:spacing w:after="0"/>
              <w:rPr>
                <w:sz w:val="6"/>
                <w:szCs w:val="6"/>
                <w:color w:val="auto"/>
              </w:rPr>
            </w:pPr>
          </w:p>
        </w:tc>
      </w:tr>
      <w:tr>
        <w:trPr>
          <w:trHeight w:val="237"/>
        </w:trPr>
        <w:tc>
          <w:tcPr>
            <w:tcW w:w="2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Maximum percentage of allocated</w:t>
            </w: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960" w:type="dxa"/>
            <w:vAlign w:val="bottom"/>
            <w:tcBorders>
              <w:right w:val="single" w:sz="8" w:color="181818"/>
            </w:tcBorders>
          </w:tcPr>
          <w:p>
            <w:pPr>
              <w:spacing w:after="0"/>
              <w:rPr>
                <w:sz w:val="20"/>
                <w:szCs w:val="20"/>
                <w:color w:val="auto"/>
              </w:rPr>
            </w:pPr>
          </w:p>
        </w:tc>
      </w:tr>
      <w:tr>
        <w:trPr>
          <w:trHeight w:val="176"/>
        </w:trPr>
        <w:tc>
          <w:tcPr>
            <w:tcW w:w="2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target bonus that can be paid out per</w:t>
            </w:r>
          </w:p>
        </w:tc>
        <w:tc>
          <w:tcPr>
            <w:tcW w:w="1660" w:type="dxa"/>
            <w:vAlign w:val="bottom"/>
          </w:tcPr>
          <w:p>
            <w:pPr>
              <w:jc w:val="center"/>
              <w:spacing w:after="0"/>
              <w:rPr>
                <w:sz w:val="20"/>
                <w:szCs w:val="20"/>
                <w:color w:val="auto"/>
              </w:rPr>
            </w:pPr>
            <w:r>
              <w:rPr>
                <w:rFonts w:ascii="Arial" w:cs="Arial" w:eastAsia="Arial" w:hAnsi="Arial"/>
                <w:sz w:val="14"/>
                <w:szCs w:val="14"/>
                <w:color w:val="auto"/>
              </w:rPr>
              <w:t>200% (300% for CEO)</w:t>
            </w:r>
          </w:p>
        </w:tc>
        <w:tc>
          <w:tcPr>
            <w:tcW w:w="1400" w:type="dxa"/>
            <w:vAlign w:val="bottom"/>
          </w:tcPr>
          <w:p>
            <w:pPr>
              <w:jc w:val="center"/>
              <w:spacing w:after="0"/>
              <w:rPr>
                <w:sz w:val="20"/>
                <w:szCs w:val="20"/>
                <w:color w:val="auto"/>
              </w:rPr>
            </w:pPr>
            <w:r>
              <w:rPr>
                <w:rFonts w:ascii="Arial" w:cs="Arial" w:eastAsia="Arial" w:hAnsi="Arial"/>
                <w:sz w:val="14"/>
                <w:szCs w:val="14"/>
                <w:color w:val="auto"/>
              </w:rPr>
              <w:t>100%</w:t>
            </w:r>
          </w:p>
        </w:tc>
        <w:tc>
          <w:tcPr>
            <w:tcW w:w="1280" w:type="dxa"/>
            <w:vAlign w:val="bottom"/>
          </w:tcPr>
          <w:p>
            <w:pPr>
              <w:jc w:val="center"/>
              <w:spacing w:after="0"/>
              <w:rPr>
                <w:sz w:val="20"/>
                <w:szCs w:val="20"/>
                <w:color w:val="auto"/>
              </w:rPr>
            </w:pPr>
            <w:r>
              <w:rPr>
                <w:rFonts w:ascii="Arial" w:cs="Arial" w:eastAsia="Arial" w:hAnsi="Arial"/>
                <w:sz w:val="14"/>
                <w:szCs w:val="14"/>
                <w:color w:val="auto"/>
              </w:rPr>
              <w:t>125%</w:t>
            </w:r>
          </w:p>
        </w:tc>
        <w:tc>
          <w:tcPr>
            <w:tcW w:w="2500" w:type="dxa"/>
            <w:vAlign w:val="bottom"/>
          </w:tcPr>
          <w:p>
            <w:pPr>
              <w:jc w:val="right"/>
              <w:ind w:right="988"/>
              <w:spacing w:after="0"/>
              <w:rPr>
                <w:sz w:val="20"/>
                <w:szCs w:val="20"/>
                <w:color w:val="auto"/>
              </w:rPr>
            </w:pPr>
            <w:r>
              <w:rPr>
                <w:rFonts w:ascii="Arial" w:cs="Arial" w:eastAsia="Arial" w:hAnsi="Arial"/>
                <w:sz w:val="14"/>
                <w:szCs w:val="14"/>
                <w:color w:val="auto"/>
              </w:rPr>
              <w:t>100%</w:t>
            </w:r>
          </w:p>
        </w:tc>
        <w:tc>
          <w:tcPr>
            <w:tcW w:w="1960" w:type="dxa"/>
            <w:vAlign w:val="bottom"/>
            <w:tcBorders>
              <w:right w:val="single" w:sz="8" w:color="181818"/>
            </w:tcBorders>
          </w:tcPr>
          <w:p>
            <w:pPr>
              <w:jc w:val="right"/>
              <w:ind w:right="768"/>
              <w:spacing w:after="0"/>
              <w:rPr>
                <w:sz w:val="20"/>
                <w:szCs w:val="20"/>
                <w:color w:val="auto"/>
              </w:rPr>
            </w:pPr>
            <w:r>
              <w:rPr>
                <w:rFonts w:ascii="Arial" w:cs="Arial" w:eastAsia="Arial" w:hAnsi="Arial"/>
                <w:sz w:val="14"/>
                <w:szCs w:val="14"/>
                <w:color w:val="auto"/>
              </w:rPr>
              <w:t>100%</w:t>
            </w:r>
          </w:p>
        </w:tc>
      </w:tr>
      <w:tr>
        <w:trPr>
          <w:trHeight w:val="194"/>
        </w:trPr>
        <w:tc>
          <w:tcPr>
            <w:tcW w:w="2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performance objective*</w:t>
            </w: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960" w:type="dxa"/>
            <w:vAlign w:val="bottom"/>
            <w:tcBorders>
              <w:right w:val="single" w:sz="8" w:color="181818"/>
            </w:tcBorders>
          </w:tcPr>
          <w:p>
            <w:pPr>
              <w:spacing w:after="0"/>
              <w:rPr>
                <w:sz w:val="16"/>
                <w:szCs w:val="16"/>
                <w:color w:val="auto"/>
              </w:rPr>
            </w:pPr>
          </w:p>
        </w:tc>
      </w:tr>
      <w:tr>
        <w:trPr>
          <w:trHeight w:val="76"/>
        </w:trPr>
        <w:tc>
          <w:tcPr>
            <w:tcW w:w="2480" w:type="dxa"/>
            <w:vAlign w:val="bottom"/>
            <w:tcBorders>
              <w:left w:val="single" w:sz="8" w:color="181818"/>
              <w:bottom w:val="single" w:sz="8" w:color="181818"/>
            </w:tcBorders>
          </w:tcPr>
          <w:p>
            <w:pPr>
              <w:spacing w:after="0"/>
              <w:rPr>
                <w:sz w:val="6"/>
                <w:szCs w:val="6"/>
                <w:color w:val="auto"/>
              </w:rPr>
            </w:pPr>
          </w:p>
        </w:tc>
        <w:tc>
          <w:tcPr>
            <w:tcW w:w="166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1280" w:type="dxa"/>
            <w:vAlign w:val="bottom"/>
            <w:tcBorders>
              <w:bottom w:val="single" w:sz="8" w:color="181818"/>
            </w:tcBorders>
          </w:tcPr>
          <w:p>
            <w:pPr>
              <w:spacing w:after="0"/>
              <w:rPr>
                <w:sz w:val="6"/>
                <w:szCs w:val="6"/>
                <w:color w:val="auto"/>
              </w:rPr>
            </w:pPr>
          </w:p>
        </w:tc>
        <w:tc>
          <w:tcPr>
            <w:tcW w:w="2500" w:type="dxa"/>
            <w:vAlign w:val="bottom"/>
            <w:tcBorders>
              <w:bottom w:val="single" w:sz="8" w:color="181818"/>
            </w:tcBorders>
          </w:tcPr>
          <w:p>
            <w:pPr>
              <w:spacing w:after="0"/>
              <w:rPr>
                <w:sz w:val="6"/>
                <w:szCs w:val="6"/>
                <w:color w:val="auto"/>
              </w:rPr>
            </w:pPr>
          </w:p>
        </w:tc>
        <w:tc>
          <w:tcPr>
            <w:tcW w:w="1960" w:type="dxa"/>
            <w:vAlign w:val="bottom"/>
            <w:tcBorders>
              <w:bottom w:val="single" w:sz="8" w:color="181818"/>
              <w:right w:val="single" w:sz="8" w:color="181818"/>
            </w:tcBorders>
          </w:tcPr>
          <w:p>
            <w:pPr>
              <w:spacing w:after="0"/>
              <w:rPr>
                <w:sz w:val="6"/>
                <w:szCs w:val="6"/>
                <w:color w:val="auto"/>
              </w:rPr>
            </w:pPr>
          </w:p>
        </w:tc>
      </w:tr>
    </w:tbl>
    <w:p>
      <w:pPr>
        <w:spacing w:after="0" w:line="149" w:lineRule="exact"/>
        <w:rPr>
          <w:sz w:val="20"/>
          <w:szCs w:val="20"/>
          <w:color w:val="auto"/>
        </w:rPr>
      </w:pPr>
    </w:p>
    <w:p>
      <w:pPr>
        <w:ind w:left="327" w:right="280" w:hanging="327"/>
        <w:spacing w:after="0" w:line="311" w:lineRule="auto"/>
        <w:tabs>
          <w:tab w:leader="none" w:pos="216"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The allocated target bonus for each performance objective, by percentage, is the ‘weighting’ specified above for each objective in the immediately preceding STI Program Design table.</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Short-Term Incentive Payout</w:t>
      </w:r>
    </w:p>
    <w:p>
      <w:pPr>
        <w:spacing w:after="0" w:line="148" w:lineRule="exact"/>
        <w:rPr>
          <w:sz w:val="20"/>
          <w:szCs w:val="20"/>
          <w:color w:val="auto"/>
        </w:rPr>
      </w:pPr>
    </w:p>
    <w:p>
      <w:pPr>
        <w:ind w:left="7"/>
        <w:spacing w:after="0" w:line="344" w:lineRule="auto"/>
        <w:rPr>
          <w:sz w:val="20"/>
          <w:szCs w:val="20"/>
          <w:color w:val="auto"/>
        </w:rPr>
      </w:pPr>
      <w:r>
        <w:rPr>
          <w:rFonts w:ascii="Arial" w:cs="Arial" w:eastAsia="Arial" w:hAnsi="Arial"/>
          <w:sz w:val="16"/>
          <w:szCs w:val="16"/>
          <w:color w:val="auto"/>
        </w:rPr>
        <w:t>The Compensation Committee determined that as of the end of Fiscal 2026, the following results and payout with respect to each performance objective were achieved:</w:t>
      </w:r>
    </w:p>
    <w:p>
      <w:pPr>
        <w:spacing w:after="0" w:line="38" w:lineRule="exact"/>
        <w:rPr>
          <w:sz w:val="20"/>
          <w:szCs w:val="20"/>
          <w:color w:val="auto"/>
        </w:rPr>
      </w:pPr>
    </w:p>
    <w:tbl>
      <w:tblPr>
        <w:tblLayout w:type="fixed"/>
        <w:tblInd w:w="17" w:type="dxa"/>
        <w:tblCellMar>
          <w:top w:w="0" w:type="dxa"/>
          <w:left w:w="0" w:type="dxa"/>
          <w:bottom w:w="0" w:type="dxa"/>
          <w:right w:w="0" w:type="dxa"/>
        </w:tblCellMar>
      </w:tblPr>
      <w:tr>
        <w:trPr>
          <w:trHeight w:val="228"/>
        </w:trPr>
        <w:tc>
          <w:tcPr>
            <w:tcW w:w="2480" w:type="dxa"/>
            <w:vAlign w:val="bottom"/>
            <w:tcBorders>
              <w:top w:val="single" w:sz="8" w:color="181818"/>
              <w:left w:val="single" w:sz="8" w:color="181818"/>
            </w:tcBorders>
            <w:shd w:val="clear" w:color="auto" w:fill="1B6F80"/>
          </w:tcPr>
          <w:p>
            <w:pPr>
              <w:spacing w:after="0"/>
              <w:rPr>
                <w:sz w:val="19"/>
                <w:szCs w:val="19"/>
                <w:color w:val="auto"/>
              </w:rPr>
            </w:pPr>
          </w:p>
        </w:tc>
        <w:tc>
          <w:tcPr>
            <w:tcW w:w="1600" w:type="dxa"/>
            <w:vAlign w:val="bottom"/>
            <w:tcBorders>
              <w:top w:val="single" w:sz="8" w:color="181818"/>
            </w:tcBorders>
            <w:shd w:val="clear" w:color="auto" w:fill="1B6F80"/>
          </w:tcPr>
          <w:p>
            <w:pPr>
              <w:jc w:val="center"/>
              <w:ind w:right="8"/>
              <w:spacing w:after="0"/>
              <w:rPr>
                <w:sz w:val="20"/>
                <w:szCs w:val="20"/>
                <w:color w:val="auto"/>
              </w:rPr>
            </w:pPr>
            <w:r>
              <w:rPr>
                <w:rFonts w:ascii="Arial" w:cs="Arial" w:eastAsia="Arial" w:hAnsi="Arial"/>
                <w:sz w:val="14"/>
                <w:szCs w:val="14"/>
                <w:b w:val="1"/>
                <w:bCs w:val="1"/>
                <w:color w:val="FFFFFF"/>
              </w:rPr>
              <w:t>Customer Proceeds</w:t>
            </w:r>
          </w:p>
        </w:tc>
        <w:tc>
          <w:tcPr>
            <w:tcW w:w="1540" w:type="dxa"/>
            <w:vAlign w:val="bottom"/>
            <w:tcBorders>
              <w:top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Product Revenue</w:t>
            </w:r>
          </w:p>
        </w:tc>
        <w:tc>
          <w:tcPr>
            <w:tcW w:w="1400" w:type="dxa"/>
            <w:vAlign w:val="bottom"/>
            <w:tcBorders>
              <w:top w:val="single" w:sz="8" w:color="181818"/>
            </w:tcBorders>
            <w:shd w:val="clear" w:color="auto" w:fill="1B6F80"/>
          </w:tcPr>
          <w:p>
            <w:pPr>
              <w:jc w:val="center"/>
              <w:ind w:left="28"/>
              <w:spacing w:after="0"/>
              <w:rPr>
                <w:sz w:val="20"/>
                <w:szCs w:val="20"/>
                <w:color w:val="auto"/>
              </w:rPr>
            </w:pPr>
            <w:r>
              <w:rPr>
                <w:rFonts w:ascii="Arial" w:cs="Arial" w:eastAsia="Arial" w:hAnsi="Arial"/>
                <w:sz w:val="14"/>
                <w:szCs w:val="14"/>
                <w:b w:val="1"/>
                <w:bCs w:val="1"/>
                <w:color w:val="FFFFFF"/>
              </w:rPr>
              <w:t>Free Cash Flow</w:t>
            </w:r>
          </w:p>
        </w:tc>
        <w:tc>
          <w:tcPr>
            <w:tcW w:w="2180" w:type="dxa"/>
            <w:vAlign w:val="bottom"/>
            <w:tcBorders>
              <w:top w:val="single" w:sz="8" w:color="181818"/>
            </w:tcBorders>
            <w:shd w:val="clear" w:color="auto" w:fill="1B6F80"/>
          </w:tcPr>
          <w:p>
            <w:pPr>
              <w:jc w:val="center"/>
              <w:ind w:left="28"/>
              <w:spacing w:after="0"/>
              <w:rPr>
                <w:sz w:val="20"/>
                <w:szCs w:val="20"/>
                <w:color w:val="auto"/>
              </w:rPr>
            </w:pPr>
            <w:r>
              <w:rPr>
                <w:rFonts w:ascii="Arial" w:cs="Arial" w:eastAsia="Arial" w:hAnsi="Arial"/>
                <w:sz w:val="14"/>
                <w:szCs w:val="14"/>
                <w:b w:val="1"/>
                <w:bCs w:val="1"/>
                <w:color w:val="FFFFFF"/>
              </w:rPr>
              <w:t>5 x 5 Regulatory Process</w:t>
            </w:r>
          </w:p>
        </w:tc>
        <w:tc>
          <w:tcPr>
            <w:tcW w:w="2080" w:type="dxa"/>
            <w:vAlign w:val="bottom"/>
            <w:tcBorders>
              <w:top w:val="single" w:sz="8" w:color="181818"/>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Individual Performance</w:t>
            </w:r>
          </w:p>
        </w:tc>
        <w:tc>
          <w:tcPr>
            <w:tcW w:w="0" w:type="dxa"/>
            <w:vAlign w:val="bottom"/>
          </w:tcPr>
          <w:p>
            <w:pPr>
              <w:spacing w:after="0"/>
              <w:rPr>
                <w:sz w:val="1"/>
                <w:szCs w:val="1"/>
                <w:color w:val="auto"/>
              </w:rPr>
            </w:pPr>
          </w:p>
        </w:tc>
      </w:tr>
      <w:tr>
        <w:trPr>
          <w:trHeight w:val="70"/>
        </w:trPr>
        <w:tc>
          <w:tcPr>
            <w:tcW w:w="2480" w:type="dxa"/>
            <w:vAlign w:val="bottom"/>
            <w:tcBorders>
              <w:left w:val="single" w:sz="8" w:color="181818"/>
            </w:tcBorders>
            <w:shd w:val="clear" w:color="auto" w:fill="1B6F80"/>
          </w:tcPr>
          <w:p>
            <w:pPr>
              <w:spacing w:after="0"/>
              <w:rPr>
                <w:sz w:val="6"/>
                <w:szCs w:val="6"/>
                <w:color w:val="auto"/>
              </w:rPr>
            </w:pPr>
          </w:p>
        </w:tc>
        <w:tc>
          <w:tcPr>
            <w:tcW w:w="1600" w:type="dxa"/>
            <w:vAlign w:val="bottom"/>
            <w:shd w:val="clear" w:color="auto" w:fill="1B6F80"/>
          </w:tcPr>
          <w:p>
            <w:pPr>
              <w:spacing w:after="0"/>
              <w:rPr>
                <w:sz w:val="6"/>
                <w:szCs w:val="6"/>
                <w:color w:val="auto"/>
              </w:rPr>
            </w:pPr>
          </w:p>
        </w:tc>
        <w:tc>
          <w:tcPr>
            <w:tcW w:w="1540" w:type="dxa"/>
            <w:vAlign w:val="bottom"/>
            <w:shd w:val="clear" w:color="auto" w:fill="1B6F80"/>
          </w:tcPr>
          <w:p>
            <w:pPr>
              <w:spacing w:after="0"/>
              <w:rPr>
                <w:sz w:val="6"/>
                <w:szCs w:val="6"/>
                <w:color w:val="auto"/>
              </w:rPr>
            </w:pPr>
          </w:p>
        </w:tc>
        <w:tc>
          <w:tcPr>
            <w:tcW w:w="1400" w:type="dxa"/>
            <w:vAlign w:val="bottom"/>
            <w:shd w:val="clear" w:color="auto" w:fill="1B6F80"/>
          </w:tcPr>
          <w:p>
            <w:pPr>
              <w:spacing w:after="0"/>
              <w:rPr>
                <w:sz w:val="6"/>
                <w:szCs w:val="6"/>
                <w:color w:val="auto"/>
              </w:rPr>
            </w:pPr>
          </w:p>
        </w:tc>
        <w:tc>
          <w:tcPr>
            <w:tcW w:w="2180" w:type="dxa"/>
            <w:vAlign w:val="bottom"/>
            <w:shd w:val="clear" w:color="auto" w:fill="1B6F80"/>
          </w:tcPr>
          <w:p>
            <w:pPr>
              <w:spacing w:after="0"/>
              <w:rPr>
                <w:sz w:val="6"/>
                <w:szCs w:val="6"/>
                <w:color w:val="auto"/>
              </w:rPr>
            </w:pPr>
          </w:p>
        </w:tc>
        <w:tc>
          <w:tcPr>
            <w:tcW w:w="2080" w:type="dxa"/>
            <w:vAlign w:val="bottom"/>
            <w:tcBorders>
              <w:right w:val="single" w:sz="8" w:color="181818"/>
            </w:tcBorders>
            <w:shd w:val="clear" w:color="auto" w:fill="1B6F80"/>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Performance objective results</w:t>
            </w:r>
          </w:p>
        </w:tc>
        <w:tc>
          <w:tcPr>
            <w:tcW w:w="1600" w:type="dxa"/>
            <w:vAlign w:val="bottom"/>
            <w:vMerge w:val="restart"/>
          </w:tcPr>
          <w:p>
            <w:pPr>
              <w:jc w:val="center"/>
              <w:ind w:right="8"/>
              <w:spacing w:after="0"/>
              <w:rPr>
                <w:sz w:val="20"/>
                <w:szCs w:val="20"/>
                <w:color w:val="auto"/>
              </w:rPr>
            </w:pPr>
            <w:r>
              <w:rPr>
                <w:rFonts w:ascii="Arial" w:cs="Arial" w:eastAsia="Arial" w:hAnsi="Arial"/>
                <w:sz w:val="14"/>
                <w:szCs w:val="14"/>
                <w:color w:val="auto"/>
              </w:rPr>
              <w:t>$24M of $155M</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 of $1</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rPr>
              <w:t>$52M of $35M</w:t>
            </w:r>
          </w:p>
        </w:tc>
        <w:tc>
          <w:tcPr>
            <w:tcW w:w="2180" w:type="dxa"/>
            <w:vAlign w:val="bottom"/>
          </w:tcPr>
          <w:p>
            <w:pPr>
              <w:jc w:val="center"/>
              <w:ind w:left="8"/>
              <w:spacing w:after="0"/>
              <w:rPr>
                <w:sz w:val="20"/>
                <w:szCs w:val="20"/>
                <w:color w:val="auto"/>
              </w:rPr>
            </w:pPr>
            <w:r>
              <w:rPr>
                <w:rFonts w:ascii="Arial" w:cs="Arial" w:eastAsia="Arial" w:hAnsi="Arial"/>
                <w:sz w:val="14"/>
                <w:szCs w:val="14"/>
                <w:color w:val="auto"/>
              </w:rPr>
              <w:t>Report and Order Issued by the</w:t>
            </w:r>
          </w:p>
        </w:tc>
        <w:tc>
          <w:tcPr>
            <w:tcW w:w="2080" w:type="dxa"/>
            <w:vAlign w:val="bottom"/>
            <w:tcBorders>
              <w:right w:val="single" w:sz="8" w:color="181818"/>
            </w:tcBorders>
          </w:tcPr>
          <w:p>
            <w:pPr>
              <w:jc w:val="center"/>
              <w:spacing w:after="0"/>
              <w:rPr>
                <w:sz w:val="20"/>
                <w:szCs w:val="20"/>
                <w:color w:val="auto"/>
              </w:rPr>
            </w:pPr>
            <w:r>
              <w:rPr>
                <w:rFonts w:ascii="Arial" w:cs="Arial" w:eastAsia="Arial" w:hAnsi="Arial"/>
                <w:sz w:val="14"/>
                <w:szCs w:val="14"/>
                <w:color w:val="auto"/>
              </w:rPr>
              <w:t>Individual Performance Metrics</w:t>
            </w:r>
          </w:p>
        </w:tc>
        <w:tc>
          <w:tcPr>
            <w:tcW w:w="0" w:type="dxa"/>
            <w:vAlign w:val="bottom"/>
          </w:tcPr>
          <w:p>
            <w:pPr>
              <w:spacing w:after="0"/>
              <w:rPr>
                <w:sz w:val="1"/>
                <w:szCs w:val="1"/>
                <w:color w:val="auto"/>
              </w:rPr>
            </w:pPr>
          </w:p>
        </w:tc>
      </w:tr>
      <w:tr>
        <w:trPr>
          <w:trHeight w:val="113"/>
        </w:trPr>
        <w:tc>
          <w:tcPr>
            <w:tcW w:w="248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achieved</w:t>
            </w:r>
          </w:p>
        </w:tc>
        <w:tc>
          <w:tcPr>
            <w:tcW w:w="16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2180" w:type="dxa"/>
            <w:vAlign w:val="bottom"/>
            <w:vMerge w:val="restart"/>
          </w:tcPr>
          <w:p>
            <w:pPr>
              <w:jc w:val="center"/>
              <w:ind w:left="8"/>
              <w:spacing w:after="0"/>
              <w:rPr>
                <w:sz w:val="20"/>
                <w:szCs w:val="20"/>
                <w:color w:val="auto"/>
              </w:rPr>
            </w:pPr>
            <w:r>
              <w:rPr>
                <w:rFonts w:ascii="Arial" w:cs="Arial" w:eastAsia="Arial" w:hAnsi="Arial"/>
                <w:sz w:val="14"/>
                <w:szCs w:val="14"/>
                <w:color w:val="auto"/>
              </w:rPr>
              <w:t>FCC on 2/18/26</w:t>
            </w:r>
          </w:p>
        </w:tc>
        <w:tc>
          <w:tcPr>
            <w:tcW w:w="2080" w:type="dxa"/>
            <w:vAlign w:val="bottom"/>
            <w:tcBorders>
              <w:right w:val="single" w:sz="8" w:color="181818"/>
            </w:tcBorders>
            <w:vMerge w:val="restart"/>
          </w:tcPr>
          <w:p>
            <w:pPr>
              <w:jc w:val="center"/>
              <w:spacing w:after="0"/>
              <w:rPr>
                <w:sz w:val="20"/>
                <w:szCs w:val="20"/>
                <w:color w:val="auto"/>
              </w:rPr>
            </w:pPr>
            <w:r>
              <w:rPr>
                <w:rFonts w:ascii="Arial" w:cs="Arial" w:eastAsia="Arial" w:hAnsi="Arial"/>
                <w:sz w:val="14"/>
                <w:szCs w:val="14"/>
                <w:color w:val="auto"/>
              </w:rPr>
              <w:t>Met or Exceeded</w:t>
            </w:r>
          </w:p>
        </w:tc>
        <w:tc>
          <w:tcPr>
            <w:tcW w:w="0" w:type="dxa"/>
            <w:vAlign w:val="bottom"/>
          </w:tcPr>
          <w:p>
            <w:pPr>
              <w:spacing w:after="0"/>
              <w:rPr>
                <w:sz w:val="1"/>
                <w:szCs w:val="1"/>
                <w:color w:val="auto"/>
              </w:rPr>
            </w:pPr>
          </w:p>
        </w:tc>
      </w:tr>
      <w:tr>
        <w:trPr>
          <w:trHeight w:val="81"/>
        </w:trPr>
        <w:tc>
          <w:tcPr>
            <w:tcW w:w="2480" w:type="dxa"/>
            <w:vAlign w:val="bottom"/>
            <w:tcBorders>
              <w:left w:val="single" w:sz="8" w:color="181818"/>
            </w:tcBorders>
            <w:vMerge w:val="continue"/>
          </w:tcPr>
          <w:p>
            <w:pPr>
              <w:spacing w:after="0"/>
              <w:rPr>
                <w:sz w:val="7"/>
                <w:szCs w:val="7"/>
                <w:color w:val="auto"/>
              </w:rPr>
            </w:pPr>
          </w:p>
        </w:tc>
        <w:tc>
          <w:tcPr>
            <w:tcW w:w="16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2080" w:type="dxa"/>
            <w:vAlign w:val="bottom"/>
            <w:tcBorders>
              <w:right w:val="single" w:sz="8" w:color="18181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480" w:type="dxa"/>
            <w:vAlign w:val="bottom"/>
            <w:tcBorders>
              <w:left w:val="single" w:sz="8" w:color="181818"/>
              <w:bottom w:val="single" w:sz="8" w:color="181818"/>
            </w:tcBorders>
          </w:tcPr>
          <w:p>
            <w:pPr>
              <w:spacing w:after="0"/>
              <w:rPr>
                <w:sz w:val="6"/>
                <w:szCs w:val="6"/>
                <w:color w:val="auto"/>
              </w:rPr>
            </w:pPr>
          </w:p>
        </w:tc>
        <w:tc>
          <w:tcPr>
            <w:tcW w:w="1600" w:type="dxa"/>
            <w:vAlign w:val="bottom"/>
            <w:tcBorders>
              <w:bottom w:val="single" w:sz="8" w:color="181818"/>
            </w:tcBorders>
          </w:tcPr>
          <w:p>
            <w:pPr>
              <w:spacing w:after="0"/>
              <w:rPr>
                <w:sz w:val="6"/>
                <w:szCs w:val="6"/>
                <w:color w:val="auto"/>
              </w:rPr>
            </w:pPr>
          </w:p>
        </w:tc>
        <w:tc>
          <w:tcPr>
            <w:tcW w:w="154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2180" w:type="dxa"/>
            <w:vAlign w:val="bottom"/>
            <w:tcBorders>
              <w:bottom w:val="single" w:sz="8" w:color="181818"/>
            </w:tcBorders>
          </w:tcPr>
          <w:p>
            <w:pPr>
              <w:spacing w:after="0"/>
              <w:rPr>
                <w:sz w:val="6"/>
                <w:szCs w:val="6"/>
                <w:color w:val="auto"/>
              </w:rPr>
            </w:pPr>
          </w:p>
        </w:tc>
        <w:tc>
          <w:tcPr>
            <w:tcW w:w="208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Percentage of payout per</w:t>
            </w:r>
          </w:p>
        </w:tc>
        <w:tc>
          <w:tcPr>
            <w:tcW w:w="1600" w:type="dxa"/>
            <w:vAlign w:val="bottom"/>
            <w:vMerge w:val="restart"/>
          </w:tcPr>
          <w:p>
            <w:pPr>
              <w:jc w:val="center"/>
              <w:ind w:right="8"/>
              <w:spacing w:after="0"/>
              <w:rPr>
                <w:sz w:val="20"/>
                <w:szCs w:val="20"/>
                <w:color w:val="auto"/>
              </w:rPr>
            </w:pPr>
            <w:r>
              <w:rPr>
                <w:rFonts w:ascii="Arial" w:cs="Arial" w:eastAsia="Arial" w:hAnsi="Arial"/>
                <w:sz w:val="14"/>
                <w:szCs w:val="14"/>
                <w:color w:val="auto"/>
                <w:w w:val="99"/>
              </w:rPr>
              <w:t>15%</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center"/>
              <w:ind w:left="28"/>
              <w:spacing w:after="0"/>
              <w:rPr>
                <w:sz w:val="20"/>
                <w:szCs w:val="20"/>
                <w:color w:val="auto"/>
              </w:rPr>
            </w:pPr>
            <w:r>
              <w:rPr>
                <w:rFonts w:ascii="Arial" w:cs="Arial" w:eastAsia="Arial" w:hAnsi="Arial"/>
                <w:sz w:val="14"/>
                <w:szCs w:val="14"/>
                <w:color w:val="auto"/>
              </w:rPr>
              <w:t>125%</w:t>
            </w:r>
          </w:p>
        </w:tc>
        <w:tc>
          <w:tcPr>
            <w:tcW w:w="2180" w:type="dxa"/>
            <w:vAlign w:val="bottom"/>
            <w:vMerge w:val="restart"/>
          </w:tcPr>
          <w:p>
            <w:pPr>
              <w:jc w:val="center"/>
              <w:ind w:left="28"/>
              <w:spacing w:after="0"/>
              <w:rPr>
                <w:sz w:val="20"/>
                <w:szCs w:val="20"/>
                <w:color w:val="auto"/>
              </w:rPr>
            </w:pPr>
            <w:r>
              <w:rPr>
                <w:rFonts w:ascii="Arial" w:cs="Arial" w:eastAsia="Arial" w:hAnsi="Arial"/>
                <w:sz w:val="14"/>
                <w:szCs w:val="14"/>
                <w:color w:val="auto"/>
              </w:rPr>
              <w:t>100%</w:t>
            </w:r>
          </w:p>
        </w:tc>
        <w:tc>
          <w:tcPr>
            <w:tcW w:w="2080" w:type="dxa"/>
            <w:vAlign w:val="bottom"/>
            <w:tcBorders>
              <w:right w:val="single" w:sz="8" w:color="181818"/>
            </w:tcBorders>
            <w:vMerge w:val="restart"/>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00"/>
        </w:trPr>
        <w:tc>
          <w:tcPr>
            <w:tcW w:w="248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performance objective earned</w:t>
            </w:r>
          </w:p>
        </w:tc>
        <w:tc>
          <w:tcPr>
            <w:tcW w:w="160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180" w:type="dxa"/>
            <w:vAlign w:val="bottom"/>
            <w:vMerge w:val="continue"/>
          </w:tcPr>
          <w:p>
            <w:pPr>
              <w:spacing w:after="0"/>
              <w:rPr>
                <w:sz w:val="8"/>
                <w:szCs w:val="8"/>
                <w:color w:val="auto"/>
              </w:rPr>
            </w:pPr>
          </w:p>
        </w:tc>
        <w:tc>
          <w:tcPr>
            <w:tcW w:w="2080" w:type="dxa"/>
            <w:vAlign w:val="bottom"/>
            <w:tcBorders>
              <w:right w:val="single" w:sz="8" w:color="18181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80" w:type="dxa"/>
            <w:vAlign w:val="bottom"/>
            <w:tcBorders>
              <w:left w:val="single" w:sz="8" w:color="181818"/>
            </w:tcBorders>
            <w:vMerge w:val="continue"/>
          </w:tcPr>
          <w:p>
            <w:pPr>
              <w:spacing w:after="0"/>
              <w:rPr>
                <w:sz w:val="8"/>
                <w:szCs w:val="8"/>
                <w:color w:val="auto"/>
              </w:rPr>
            </w:pPr>
          </w:p>
        </w:tc>
        <w:tc>
          <w:tcPr>
            <w:tcW w:w="16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80" w:type="dxa"/>
            <w:vAlign w:val="bottom"/>
            <w:tcBorders>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480" w:type="dxa"/>
            <w:vAlign w:val="bottom"/>
            <w:tcBorders>
              <w:left w:val="single" w:sz="8" w:color="181818"/>
              <w:bottom w:val="single" w:sz="8" w:color="181818"/>
            </w:tcBorders>
          </w:tcPr>
          <w:p>
            <w:pPr>
              <w:spacing w:after="0"/>
              <w:rPr>
                <w:sz w:val="5"/>
                <w:szCs w:val="5"/>
                <w:color w:val="auto"/>
              </w:rPr>
            </w:pPr>
          </w:p>
        </w:tc>
        <w:tc>
          <w:tcPr>
            <w:tcW w:w="1600" w:type="dxa"/>
            <w:vAlign w:val="bottom"/>
            <w:tcBorders>
              <w:bottom w:val="single" w:sz="8" w:color="181818"/>
            </w:tcBorders>
          </w:tcPr>
          <w:p>
            <w:pPr>
              <w:spacing w:after="0"/>
              <w:rPr>
                <w:sz w:val="5"/>
                <w:szCs w:val="5"/>
                <w:color w:val="auto"/>
              </w:rPr>
            </w:pPr>
          </w:p>
        </w:tc>
        <w:tc>
          <w:tcPr>
            <w:tcW w:w="1540" w:type="dxa"/>
            <w:vAlign w:val="bottom"/>
            <w:tcBorders>
              <w:bottom w:val="single" w:sz="8" w:color="181818"/>
            </w:tcBorders>
          </w:tcPr>
          <w:p>
            <w:pPr>
              <w:spacing w:after="0"/>
              <w:rPr>
                <w:sz w:val="5"/>
                <w:szCs w:val="5"/>
                <w:color w:val="auto"/>
              </w:rPr>
            </w:pPr>
          </w:p>
        </w:tc>
        <w:tc>
          <w:tcPr>
            <w:tcW w:w="1400" w:type="dxa"/>
            <w:vAlign w:val="bottom"/>
            <w:tcBorders>
              <w:bottom w:val="single" w:sz="8" w:color="181818"/>
            </w:tcBorders>
          </w:tcPr>
          <w:p>
            <w:pPr>
              <w:spacing w:after="0"/>
              <w:rPr>
                <w:sz w:val="5"/>
                <w:szCs w:val="5"/>
                <w:color w:val="auto"/>
              </w:rPr>
            </w:pPr>
          </w:p>
        </w:tc>
        <w:tc>
          <w:tcPr>
            <w:tcW w:w="2180" w:type="dxa"/>
            <w:vAlign w:val="bottom"/>
            <w:tcBorders>
              <w:bottom w:val="single" w:sz="8" w:color="181818"/>
            </w:tcBorders>
          </w:tcPr>
          <w:p>
            <w:pPr>
              <w:spacing w:after="0"/>
              <w:rPr>
                <w:sz w:val="5"/>
                <w:szCs w:val="5"/>
                <w:color w:val="auto"/>
              </w:rPr>
            </w:pPr>
          </w:p>
        </w:tc>
        <w:tc>
          <w:tcPr>
            <w:tcW w:w="2080" w:type="dxa"/>
            <w:vAlign w:val="bottom"/>
            <w:tcBorders>
              <w:bottom w:val="single" w:sz="8" w:color="181818"/>
              <w:right w:val="single" w:sz="8" w:color="181818"/>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7"/>
        <w:spacing w:after="0"/>
        <w:rPr>
          <w:sz w:val="20"/>
          <w:szCs w:val="20"/>
          <w:color w:val="auto"/>
        </w:rPr>
      </w:pPr>
      <w:r>
        <w:rPr>
          <w:rFonts w:ascii="Arial" w:cs="Arial" w:eastAsia="Arial" w:hAnsi="Arial"/>
          <w:sz w:val="16"/>
          <w:szCs w:val="16"/>
          <w:color w:val="auto"/>
        </w:rPr>
        <w:t>As a result, the following weighted percentages of Target bonuses were earned for each performance objective, for a total payout of 42% of Target:</w:t>
      </w:r>
    </w:p>
    <w:p>
      <w:pPr>
        <w:spacing w:after="0" w:line="165" w:lineRule="exact"/>
        <w:rPr>
          <w:sz w:val="20"/>
          <w:szCs w:val="20"/>
          <w:color w:val="auto"/>
        </w:rPr>
      </w:pPr>
    </w:p>
    <w:tbl>
      <w:tblPr>
        <w:tblLayout w:type="fixed"/>
        <w:tblInd w:w="17" w:type="dxa"/>
        <w:tblCellMar>
          <w:top w:w="0" w:type="dxa"/>
          <w:left w:w="0" w:type="dxa"/>
          <w:bottom w:w="0" w:type="dxa"/>
          <w:right w:w="0" w:type="dxa"/>
        </w:tblCellMar>
      </w:tblPr>
      <w:tr>
        <w:trPr>
          <w:trHeight w:val="228"/>
        </w:trPr>
        <w:tc>
          <w:tcPr>
            <w:tcW w:w="1880" w:type="dxa"/>
            <w:vAlign w:val="bottom"/>
            <w:tcBorders>
              <w:top w:val="single" w:sz="8" w:color="181818"/>
              <w:lef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Customer Proceeds</w:t>
            </w:r>
          </w:p>
        </w:tc>
        <w:tc>
          <w:tcPr>
            <w:tcW w:w="1640" w:type="dxa"/>
            <w:vAlign w:val="bottom"/>
            <w:tcBorders>
              <w:top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Product Revenue</w:t>
            </w:r>
          </w:p>
        </w:tc>
        <w:tc>
          <w:tcPr>
            <w:tcW w:w="1520" w:type="dxa"/>
            <w:vAlign w:val="bottom"/>
            <w:tcBorders>
              <w:top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Free Cash Flow</w:t>
            </w:r>
          </w:p>
        </w:tc>
        <w:tc>
          <w:tcPr>
            <w:tcW w:w="2180" w:type="dxa"/>
            <w:vAlign w:val="bottom"/>
            <w:tcBorders>
              <w:top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5 x 5 Regulatory Process</w:t>
            </w:r>
          </w:p>
        </w:tc>
        <w:tc>
          <w:tcPr>
            <w:tcW w:w="2080" w:type="dxa"/>
            <w:vAlign w:val="bottom"/>
            <w:tcBorders>
              <w:top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Individual Performance</w:t>
            </w:r>
          </w:p>
        </w:tc>
        <w:tc>
          <w:tcPr>
            <w:tcW w:w="1980" w:type="dxa"/>
            <w:vAlign w:val="bottom"/>
            <w:tcBorders>
              <w:top w:val="single" w:sz="8" w:color="181818"/>
              <w:right w:val="single" w:sz="8" w:color="181818"/>
            </w:tcBorders>
            <w:shd w:val="clear" w:color="auto" w:fill="1B6F80"/>
          </w:tcPr>
          <w:p>
            <w:pPr>
              <w:jc w:val="center"/>
              <w:spacing w:after="0"/>
              <w:rPr>
                <w:sz w:val="20"/>
                <w:szCs w:val="20"/>
                <w:color w:val="auto"/>
              </w:rPr>
            </w:pPr>
            <w:r>
              <w:rPr>
                <w:rFonts w:ascii="Arial" w:cs="Arial" w:eastAsia="Arial" w:hAnsi="Arial"/>
                <w:sz w:val="14"/>
                <w:szCs w:val="14"/>
                <w:b w:val="1"/>
                <w:bCs w:val="1"/>
                <w:color w:val="FFFFFF"/>
              </w:rPr>
              <w:t>Total % of STI Earned</w:t>
            </w:r>
          </w:p>
        </w:tc>
      </w:tr>
      <w:tr>
        <w:trPr>
          <w:trHeight w:val="69"/>
        </w:trPr>
        <w:tc>
          <w:tcPr>
            <w:tcW w:w="1880" w:type="dxa"/>
            <w:vAlign w:val="bottom"/>
            <w:tcBorders>
              <w:left w:val="single" w:sz="8" w:color="181818"/>
            </w:tcBorders>
            <w:shd w:val="clear" w:color="auto" w:fill="1B6F80"/>
          </w:tcPr>
          <w:p>
            <w:pPr>
              <w:spacing w:after="0"/>
              <w:rPr>
                <w:sz w:val="6"/>
                <w:szCs w:val="6"/>
                <w:color w:val="auto"/>
              </w:rPr>
            </w:pPr>
          </w:p>
        </w:tc>
        <w:tc>
          <w:tcPr>
            <w:tcW w:w="1640" w:type="dxa"/>
            <w:vAlign w:val="bottom"/>
            <w:shd w:val="clear" w:color="auto" w:fill="1B6F80"/>
          </w:tcPr>
          <w:p>
            <w:pPr>
              <w:spacing w:after="0"/>
              <w:rPr>
                <w:sz w:val="6"/>
                <w:szCs w:val="6"/>
                <w:color w:val="auto"/>
              </w:rPr>
            </w:pPr>
          </w:p>
        </w:tc>
        <w:tc>
          <w:tcPr>
            <w:tcW w:w="1520" w:type="dxa"/>
            <w:vAlign w:val="bottom"/>
            <w:shd w:val="clear" w:color="auto" w:fill="1B6F80"/>
          </w:tcPr>
          <w:p>
            <w:pPr>
              <w:spacing w:after="0"/>
              <w:rPr>
                <w:sz w:val="6"/>
                <w:szCs w:val="6"/>
                <w:color w:val="auto"/>
              </w:rPr>
            </w:pPr>
          </w:p>
        </w:tc>
        <w:tc>
          <w:tcPr>
            <w:tcW w:w="2180" w:type="dxa"/>
            <w:vAlign w:val="bottom"/>
            <w:shd w:val="clear" w:color="auto" w:fill="1B6F80"/>
          </w:tcPr>
          <w:p>
            <w:pPr>
              <w:spacing w:after="0"/>
              <w:rPr>
                <w:sz w:val="6"/>
                <w:szCs w:val="6"/>
                <w:color w:val="auto"/>
              </w:rPr>
            </w:pPr>
          </w:p>
        </w:tc>
        <w:tc>
          <w:tcPr>
            <w:tcW w:w="2080" w:type="dxa"/>
            <w:vAlign w:val="bottom"/>
            <w:shd w:val="clear" w:color="auto" w:fill="1B6F80"/>
          </w:tcPr>
          <w:p>
            <w:pPr>
              <w:spacing w:after="0"/>
              <w:rPr>
                <w:sz w:val="6"/>
                <w:szCs w:val="6"/>
                <w:color w:val="auto"/>
              </w:rPr>
            </w:pPr>
          </w:p>
        </w:tc>
        <w:tc>
          <w:tcPr>
            <w:tcW w:w="1980" w:type="dxa"/>
            <w:vAlign w:val="bottom"/>
            <w:tcBorders>
              <w:right w:val="single" w:sz="8" w:color="181818"/>
            </w:tcBorders>
            <w:shd w:val="clear" w:color="auto" w:fill="1B6F80"/>
          </w:tcPr>
          <w:p>
            <w:pPr>
              <w:spacing w:after="0"/>
              <w:rPr>
                <w:sz w:val="6"/>
                <w:szCs w:val="6"/>
                <w:color w:val="auto"/>
              </w:rPr>
            </w:pPr>
          </w:p>
        </w:tc>
      </w:tr>
      <w:tr>
        <w:trPr>
          <w:trHeight w:val="262"/>
        </w:trPr>
        <w:tc>
          <w:tcPr>
            <w:tcW w:w="1880" w:type="dxa"/>
            <w:vAlign w:val="bottom"/>
            <w:tcBorders>
              <w:left w:val="single" w:sz="8" w:color="181818"/>
            </w:tcBorders>
          </w:tcPr>
          <w:p>
            <w:pPr>
              <w:jc w:val="right"/>
              <w:ind w:right="768"/>
              <w:spacing w:after="0"/>
              <w:rPr>
                <w:sz w:val="20"/>
                <w:szCs w:val="20"/>
                <w:color w:val="auto"/>
              </w:rPr>
            </w:pPr>
            <w:r>
              <w:rPr>
                <w:rFonts w:ascii="Arial" w:cs="Arial" w:eastAsia="Arial" w:hAnsi="Arial"/>
                <w:sz w:val="14"/>
                <w:szCs w:val="14"/>
                <w:color w:val="auto"/>
              </w:rPr>
              <w:t>9%</w:t>
            </w:r>
          </w:p>
        </w:tc>
        <w:tc>
          <w:tcPr>
            <w:tcW w:w="164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520" w:type="dxa"/>
            <w:vAlign w:val="bottom"/>
          </w:tcPr>
          <w:p>
            <w:pPr>
              <w:jc w:val="right"/>
              <w:ind w:right="528"/>
              <w:spacing w:after="0"/>
              <w:rPr>
                <w:sz w:val="20"/>
                <w:szCs w:val="20"/>
                <w:color w:val="auto"/>
              </w:rPr>
            </w:pPr>
            <w:r>
              <w:rPr>
                <w:rFonts w:ascii="Arial" w:cs="Arial" w:eastAsia="Arial" w:hAnsi="Arial"/>
                <w:sz w:val="14"/>
                <w:szCs w:val="14"/>
                <w:color w:val="auto"/>
              </w:rPr>
              <w:t>13%</w:t>
            </w:r>
          </w:p>
        </w:tc>
        <w:tc>
          <w:tcPr>
            <w:tcW w:w="2180" w:type="dxa"/>
            <w:vAlign w:val="bottom"/>
          </w:tcPr>
          <w:p>
            <w:pPr>
              <w:jc w:val="right"/>
              <w:ind w:right="868"/>
              <w:spacing w:after="0"/>
              <w:rPr>
                <w:sz w:val="20"/>
                <w:szCs w:val="20"/>
                <w:color w:val="auto"/>
              </w:rPr>
            </w:pPr>
            <w:r>
              <w:rPr>
                <w:rFonts w:ascii="Arial" w:cs="Arial" w:eastAsia="Arial" w:hAnsi="Arial"/>
                <w:sz w:val="14"/>
                <w:szCs w:val="14"/>
                <w:color w:val="auto"/>
              </w:rPr>
              <w:t>10%</w:t>
            </w:r>
          </w:p>
        </w:tc>
        <w:tc>
          <w:tcPr>
            <w:tcW w:w="2080" w:type="dxa"/>
            <w:vAlign w:val="bottom"/>
          </w:tcPr>
          <w:p>
            <w:pPr>
              <w:jc w:val="right"/>
              <w:ind w:right="828"/>
              <w:spacing w:after="0"/>
              <w:rPr>
                <w:sz w:val="20"/>
                <w:szCs w:val="20"/>
                <w:color w:val="auto"/>
              </w:rPr>
            </w:pPr>
            <w:r>
              <w:rPr>
                <w:rFonts w:ascii="Arial" w:cs="Arial" w:eastAsia="Arial" w:hAnsi="Arial"/>
                <w:sz w:val="14"/>
                <w:szCs w:val="14"/>
                <w:color w:val="auto"/>
              </w:rPr>
              <w:t>10%</w:t>
            </w:r>
          </w:p>
        </w:tc>
        <w:tc>
          <w:tcPr>
            <w:tcW w:w="1980" w:type="dxa"/>
            <w:vAlign w:val="bottom"/>
            <w:tcBorders>
              <w:right w:val="single" w:sz="8" w:color="181818"/>
            </w:tcBorders>
          </w:tcPr>
          <w:p>
            <w:pPr>
              <w:jc w:val="right"/>
              <w:ind w:right="788"/>
              <w:spacing w:after="0"/>
              <w:rPr>
                <w:sz w:val="20"/>
                <w:szCs w:val="20"/>
                <w:color w:val="auto"/>
              </w:rPr>
            </w:pPr>
            <w:r>
              <w:rPr>
                <w:rFonts w:ascii="Arial" w:cs="Arial" w:eastAsia="Arial" w:hAnsi="Arial"/>
                <w:sz w:val="14"/>
                <w:szCs w:val="14"/>
                <w:color w:val="auto"/>
              </w:rPr>
              <w:t>42%</w:t>
            </w:r>
          </w:p>
        </w:tc>
      </w:tr>
      <w:tr>
        <w:trPr>
          <w:trHeight w:val="62"/>
        </w:trPr>
        <w:tc>
          <w:tcPr>
            <w:tcW w:w="1880" w:type="dxa"/>
            <w:vAlign w:val="bottom"/>
            <w:tcBorders>
              <w:left w:val="single" w:sz="8" w:color="181818"/>
              <w:bottom w:val="single" w:sz="8" w:color="181818"/>
            </w:tcBorders>
          </w:tcPr>
          <w:p>
            <w:pPr>
              <w:spacing w:after="0"/>
              <w:rPr>
                <w:sz w:val="5"/>
                <w:szCs w:val="5"/>
                <w:color w:val="auto"/>
              </w:rPr>
            </w:pPr>
          </w:p>
        </w:tc>
        <w:tc>
          <w:tcPr>
            <w:tcW w:w="1640" w:type="dxa"/>
            <w:vAlign w:val="bottom"/>
            <w:tcBorders>
              <w:bottom w:val="single" w:sz="8" w:color="181818"/>
            </w:tcBorders>
          </w:tcPr>
          <w:p>
            <w:pPr>
              <w:spacing w:after="0"/>
              <w:rPr>
                <w:sz w:val="5"/>
                <w:szCs w:val="5"/>
                <w:color w:val="auto"/>
              </w:rPr>
            </w:pPr>
          </w:p>
        </w:tc>
        <w:tc>
          <w:tcPr>
            <w:tcW w:w="1520" w:type="dxa"/>
            <w:vAlign w:val="bottom"/>
            <w:tcBorders>
              <w:bottom w:val="single" w:sz="8" w:color="181818"/>
            </w:tcBorders>
          </w:tcPr>
          <w:p>
            <w:pPr>
              <w:spacing w:after="0"/>
              <w:rPr>
                <w:sz w:val="5"/>
                <w:szCs w:val="5"/>
                <w:color w:val="auto"/>
              </w:rPr>
            </w:pPr>
          </w:p>
        </w:tc>
        <w:tc>
          <w:tcPr>
            <w:tcW w:w="2180" w:type="dxa"/>
            <w:vAlign w:val="bottom"/>
            <w:tcBorders>
              <w:bottom w:val="single" w:sz="8" w:color="181818"/>
            </w:tcBorders>
          </w:tcPr>
          <w:p>
            <w:pPr>
              <w:spacing w:after="0"/>
              <w:rPr>
                <w:sz w:val="5"/>
                <w:szCs w:val="5"/>
                <w:color w:val="auto"/>
              </w:rPr>
            </w:pPr>
          </w:p>
        </w:tc>
        <w:tc>
          <w:tcPr>
            <w:tcW w:w="2080" w:type="dxa"/>
            <w:vAlign w:val="bottom"/>
            <w:tcBorders>
              <w:bottom w:val="single" w:sz="8" w:color="181818"/>
            </w:tcBorders>
          </w:tcPr>
          <w:p>
            <w:pPr>
              <w:spacing w:after="0"/>
              <w:rPr>
                <w:sz w:val="5"/>
                <w:szCs w:val="5"/>
                <w:color w:val="auto"/>
              </w:rPr>
            </w:pPr>
          </w:p>
        </w:tc>
        <w:tc>
          <w:tcPr>
            <w:tcW w:w="1980" w:type="dxa"/>
            <w:vAlign w:val="bottom"/>
            <w:tcBorders>
              <w:bottom w:val="single" w:sz="8" w:color="181818"/>
              <w:right w:val="single" w:sz="8" w:color="18181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523240</wp:posOffset>
            </wp:positionV>
            <wp:extent cx="71577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41" w:name="page42"/>
    <w:bookmarkEnd w:id="41"/>
    <w:p>
      <w:pPr>
        <w:ind w:left="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603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0325"/>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
        <w:spacing w:after="0" w:line="341" w:lineRule="auto"/>
        <w:rPr>
          <w:sz w:val="20"/>
          <w:szCs w:val="20"/>
          <w:color w:val="auto"/>
        </w:rPr>
      </w:pPr>
      <w:r>
        <w:rPr>
          <w:rFonts w:ascii="Arial" w:cs="Arial" w:eastAsia="Arial" w:hAnsi="Arial"/>
          <w:sz w:val="16"/>
          <w:szCs w:val="16"/>
          <w:i w:val="1"/>
          <w:iCs w:val="1"/>
          <w:color w:val="auto"/>
        </w:rPr>
        <w:t>For Fiscal 2026, the cash payouts earned by our NEOs (excluding Ryan Gerbrandt) under the previously established terms of the 2025 Short-Term Incentive Program are set forth below.</w:t>
      </w:r>
    </w:p>
    <w:p>
      <w:pPr>
        <w:spacing w:after="0" w:line="54" w:lineRule="exact"/>
        <w:rPr>
          <w:sz w:val="20"/>
          <w:szCs w:val="20"/>
          <w:color w:val="auto"/>
        </w:rPr>
      </w:pPr>
    </w:p>
    <w:tbl>
      <w:tblPr>
        <w:tblLayout w:type="fixed"/>
        <w:tblInd w:w="17" w:type="dxa"/>
        <w:tblCellMar>
          <w:top w:w="0" w:type="dxa"/>
          <w:left w:w="0" w:type="dxa"/>
          <w:bottom w:w="0" w:type="dxa"/>
          <w:right w:w="0" w:type="dxa"/>
        </w:tblCellMar>
      </w:tblPr>
      <w:tr>
        <w:trPr>
          <w:trHeight w:val="187"/>
        </w:trPr>
        <w:tc>
          <w:tcPr>
            <w:tcW w:w="6740" w:type="dxa"/>
            <w:vAlign w:val="bottom"/>
            <w:tcBorders>
              <w:top w:val="single" w:sz="8" w:color="181818"/>
              <w:left w:val="single" w:sz="8" w:color="181818"/>
            </w:tcBorders>
            <w:shd w:val="clear" w:color="auto" w:fill="1B6F80"/>
          </w:tcPr>
          <w:p>
            <w:pPr>
              <w:spacing w:after="0"/>
              <w:rPr>
                <w:sz w:val="16"/>
                <w:szCs w:val="16"/>
                <w:color w:val="auto"/>
              </w:rPr>
            </w:pPr>
          </w:p>
        </w:tc>
        <w:tc>
          <w:tcPr>
            <w:tcW w:w="2960" w:type="dxa"/>
            <w:vAlign w:val="bottom"/>
            <w:tcBorders>
              <w:top w:val="single" w:sz="8" w:color="181818"/>
            </w:tcBorders>
            <w:shd w:val="clear" w:color="auto" w:fill="1B6F80"/>
          </w:tcPr>
          <w:p>
            <w:pPr>
              <w:jc w:val="right"/>
              <w:ind w:right="688"/>
              <w:spacing w:after="0"/>
              <w:rPr>
                <w:sz w:val="20"/>
                <w:szCs w:val="20"/>
                <w:color w:val="auto"/>
              </w:rPr>
            </w:pPr>
            <w:r>
              <w:rPr>
                <w:rFonts w:ascii="Arial" w:cs="Arial" w:eastAsia="Arial" w:hAnsi="Arial"/>
                <w:sz w:val="14"/>
                <w:szCs w:val="14"/>
                <w:b w:val="1"/>
                <w:bCs w:val="1"/>
                <w:color w:val="FFFFFF"/>
              </w:rPr>
              <w:t>Earned Payout</w:t>
            </w:r>
          </w:p>
        </w:tc>
        <w:tc>
          <w:tcPr>
            <w:tcW w:w="158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202"/>
        </w:trPr>
        <w:tc>
          <w:tcPr>
            <w:tcW w:w="6740" w:type="dxa"/>
            <w:vAlign w:val="bottom"/>
            <w:tcBorders>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Executives*</w:t>
            </w:r>
          </w:p>
        </w:tc>
        <w:tc>
          <w:tcPr>
            <w:tcW w:w="2960" w:type="dxa"/>
            <w:vAlign w:val="bottom"/>
            <w:shd w:val="clear" w:color="auto" w:fill="1B6F80"/>
          </w:tcPr>
          <w:p>
            <w:pPr>
              <w:jc w:val="right"/>
              <w:ind w:right="688"/>
              <w:spacing w:after="0"/>
              <w:rPr>
                <w:sz w:val="20"/>
                <w:szCs w:val="20"/>
                <w:color w:val="auto"/>
              </w:rPr>
            </w:pPr>
            <w:r>
              <w:rPr>
                <w:rFonts w:ascii="Arial" w:cs="Arial" w:eastAsia="Arial" w:hAnsi="Arial"/>
                <w:sz w:val="14"/>
                <w:szCs w:val="14"/>
                <w:b w:val="1"/>
                <w:bCs w:val="1"/>
                <w:color w:val="FFFFFF"/>
              </w:rPr>
              <w:t>(% of Target)</w:t>
            </w:r>
          </w:p>
        </w:tc>
        <w:tc>
          <w:tcPr>
            <w:tcW w:w="158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70"/>
        </w:trPr>
        <w:tc>
          <w:tcPr>
            <w:tcW w:w="6740" w:type="dxa"/>
            <w:vAlign w:val="bottom"/>
            <w:tcBorders>
              <w:left w:val="single" w:sz="8" w:color="181818"/>
            </w:tcBorders>
            <w:shd w:val="clear" w:color="auto" w:fill="1B6F80"/>
          </w:tcPr>
          <w:p>
            <w:pPr>
              <w:spacing w:after="0"/>
              <w:rPr>
                <w:sz w:val="6"/>
                <w:szCs w:val="6"/>
                <w:color w:val="auto"/>
              </w:rPr>
            </w:pPr>
          </w:p>
        </w:tc>
        <w:tc>
          <w:tcPr>
            <w:tcW w:w="2960" w:type="dxa"/>
            <w:vAlign w:val="bottom"/>
            <w:shd w:val="clear" w:color="auto" w:fill="1B6F80"/>
          </w:tcPr>
          <w:p>
            <w:pPr>
              <w:spacing w:after="0"/>
              <w:rPr>
                <w:sz w:val="6"/>
                <w:szCs w:val="6"/>
                <w:color w:val="auto"/>
              </w:rPr>
            </w:pPr>
          </w:p>
        </w:tc>
        <w:tc>
          <w:tcPr>
            <w:tcW w:w="1580" w:type="dxa"/>
            <w:vAlign w:val="bottom"/>
            <w:tcBorders>
              <w:right w:val="single" w:sz="8" w:color="181818"/>
            </w:tcBorders>
            <w:shd w:val="clear" w:color="auto" w:fill="1B6F80"/>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674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Scott A. Lang</w:t>
            </w:r>
          </w:p>
        </w:tc>
        <w:tc>
          <w:tcPr>
            <w:tcW w:w="2960" w:type="dxa"/>
            <w:vAlign w:val="bottom"/>
            <w:vMerge w:val="restart"/>
          </w:tcPr>
          <w:p>
            <w:pPr>
              <w:jc w:val="right"/>
              <w:ind w:right="748"/>
              <w:spacing w:after="0"/>
              <w:rPr>
                <w:sz w:val="20"/>
                <w:szCs w:val="20"/>
                <w:color w:val="auto"/>
              </w:rPr>
            </w:pPr>
            <w:r>
              <w:rPr>
                <w:rFonts w:ascii="Arial" w:cs="Arial" w:eastAsia="Arial" w:hAnsi="Arial"/>
                <w:sz w:val="14"/>
                <w:szCs w:val="14"/>
                <w:color w:val="auto"/>
              </w:rPr>
              <w:t>42</w:t>
            </w:r>
          </w:p>
        </w:tc>
        <w:tc>
          <w:tcPr>
            <w:tcW w:w="1580" w:type="dxa"/>
            <w:vAlign w:val="bottom"/>
            <w:tcBorders>
              <w:right w:val="single" w:sz="8" w:color="181818"/>
            </w:tcBorders>
            <w:vMerge w:val="restart"/>
          </w:tcPr>
          <w:p>
            <w:pPr>
              <w:jc w:val="right"/>
              <w:ind w:right="108"/>
              <w:spacing w:after="0"/>
              <w:rPr>
                <w:sz w:val="20"/>
                <w:szCs w:val="20"/>
                <w:color w:val="auto"/>
              </w:rPr>
            </w:pPr>
            <w:r>
              <w:rPr>
                <w:rFonts w:ascii="Arial" w:cs="Arial" w:eastAsia="Arial" w:hAnsi="Arial"/>
                <w:sz w:val="14"/>
                <w:szCs w:val="14"/>
                <w:color w:val="auto"/>
              </w:rPr>
              <w:t>236,912</w:t>
            </w:r>
          </w:p>
        </w:tc>
        <w:tc>
          <w:tcPr>
            <w:tcW w:w="0" w:type="dxa"/>
            <w:vAlign w:val="bottom"/>
          </w:tcPr>
          <w:p>
            <w:pPr>
              <w:spacing w:after="0"/>
              <w:rPr>
                <w:sz w:val="1"/>
                <w:szCs w:val="1"/>
                <w:color w:val="auto"/>
              </w:rPr>
            </w:pPr>
          </w:p>
        </w:tc>
      </w:tr>
      <w:tr>
        <w:trPr>
          <w:trHeight w:val="116"/>
        </w:trPr>
        <w:tc>
          <w:tcPr>
            <w:tcW w:w="674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President and CEO</w:t>
            </w:r>
          </w:p>
        </w:tc>
        <w:tc>
          <w:tcPr>
            <w:tcW w:w="2960" w:type="dxa"/>
            <w:vAlign w:val="bottom"/>
            <w:vMerge w:val="continue"/>
          </w:tcPr>
          <w:p>
            <w:pPr>
              <w:spacing w:after="0"/>
              <w:rPr>
                <w:sz w:val="10"/>
                <w:szCs w:val="10"/>
                <w:color w:val="auto"/>
              </w:rPr>
            </w:pPr>
          </w:p>
        </w:tc>
        <w:tc>
          <w:tcPr>
            <w:tcW w:w="1580" w:type="dxa"/>
            <w:vAlign w:val="bottom"/>
            <w:tcBorders>
              <w:right w:val="single" w:sz="8" w:color="181818"/>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40" w:type="dxa"/>
            <w:vAlign w:val="bottom"/>
            <w:tcBorders>
              <w:left w:val="single" w:sz="8" w:color="181818"/>
            </w:tcBorders>
            <w:vMerge w:val="continue"/>
          </w:tcPr>
          <w:p>
            <w:pPr>
              <w:spacing w:after="0"/>
              <w:rPr>
                <w:sz w:val="9"/>
                <w:szCs w:val="9"/>
                <w:color w:val="auto"/>
              </w:rPr>
            </w:pPr>
          </w:p>
        </w:tc>
        <w:tc>
          <w:tcPr>
            <w:tcW w:w="2960" w:type="dxa"/>
            <w:vAlign w:val="bottom"/>
          </w:tcPr>
          <w:p>
            <w:pPr>
              <w:spacing w:after="0"/>
              <w:rPr>
                <w:sz w:val="9"/>
                <w:szCs w:val="9"/>
                <w:color w:val="auto"/>
              </w:rPr>
            </w:pPr>
          </w:p>
        </w:tc>
        <w:tc>
          <w:tcPr>
            <w:tcW w:w="1580" w:type="dxa"/>
            <w:vAlign w:val="bottom"/>
            <w:tcBorders>
              <w:right w:val="single" w:sz="8" w:color="181818"/>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740" w:type="dxa"/>
            <w:vAlign w:val="bottom"/>
            <w:tcBorders>
              <w:left w:val="single" w:sz="8" w:color="181818"/>
              <w:bottom w:val="single" w:sz="8" w:color="181818"/>
            </w:tcBorders>
          </w:tcPr>
          <w:p>
            <w:pPr>
              <w:spacing w:after="0"/>
              <w:rPr>
                <w:sz w:val="6"/>
                <w:szCs w:val="6"/>
                <w:color w:val="auto"/>
              </w:rPr>
            </w:pPr>
          </w:p>
        </w:tc>
        <w:tc>
          <w:tcPr>
            <w:tcW w:w="2960" w:type="dxa"/>
            <w:vAlign w:val="bottom"/>
            <w:tcBorders>
              <w:bottom w:val="single" w:sz="8" w:color="181818"/>
            </w:tcBorders>
          </w:tcPr>
          <w:p>
            <w:pPr>
              <w:spacing w:after="0"/>
              <w:rPr>
                <w:sz w:val="6"/>
                <w:szCs w:val="6"/>
                <w:color w:val="auto"/>
              </w:rPr>
            </w:pPr>
          </w:p>
        </w:tc>
        <w:tc>
          <w:tcPr>
            <w:tcW w:w="158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74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Christopher Guttman-McCabe</w:t>
            </w:r>
          </w:p>
        </w:tc>
        <w:tc>
          <w:tcPr>
            <w:tcW w:w="2960" w:type="dxa"/>
            <w:vAlign w:val="bottom"/>
            <w:vMerge w:val="restart"/>
          </w:tcPr>
          <w:p>
            <w:pPr>
              <w:jc w:val="right"/>
              <w:ind w:right="748"/>
              <w:spacing w:after="0"/>
              <w:rPr>
                <w:sz w:val="20"/>
                <w:szCs w:val="20"/>
                <w:color w:val="auto"/>
              </w:rPr>
            </w:pPr>
            <w:r>
              <w:rPr>
                <w:rFonts w:ascii="Arial" w:cs="Arial" w:eastAsia="Arial" w:hAnsi="Arial"/>
                <w:sz w:val="14"/>
                <w:szCs w:val="14"/>
                <w:color w:val="auto"/>
              </w:rPr>
              <w:t>100</w:t>
            </w:r>
          </w:p>
        </w:tc>
        <w:tc>
          <w:tcPr>
            <w:tcW w:w="1580" w:type="dxa"/>
            <w:vAlign w:val="bottom"/>
            <w:tcBorders>
              <w:right w:val="single" w:sz="8" w:color="181818"/>
            </w:tcBorders>
            <w:vMerge w:val="restart"/>
          </w:tcPr>
          <w:p>
            <w:pPr>
              <w:jc w:val="right"/>
              <w:ind w:right="68"/>
              <w:spacing w:after="0"/>
              <w:rPr>
                <w:sz w:val="20"/>
                <w:szCs w:val="20"/>
                <w:color w:val="auto"/>
              </w:rPr>
            </w:pPr>
            <w:r>
              <w:rPr>
                <w:rFonts w:ascii="Arial" w:cs="Arial" w:eastAsia="Arial" w:hAnsi="Arial"/>
                <w:sz w:val="14"/>
                <w:szCs w:val="14"/>
                <w:color w:val="auto"/>
              </w:rPr>
              <w:t xml:space="preserve">376,050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59"/>
        </w:trPr>
        <w:tc>
          <w:tcPr>
            <w:tcW w:w="674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Chief Regulatory and Communications Officer</w:t>
            </w:r>
          </w:p>
        </w:tc>
        <w:tc>
          <w:tcPr>
            <w:tcW w:w="2960" w:type="dxa"/>
            <w:vAlign w:val="bottom"/>
            <w:vMerge w:val="continue"/>
          </w:tcPr>
          <w:p>
            <w:pPr>
              <w:spacing w:after="0"/>
              <w:rPr>
                <w:sz w:val="13"/>
                <w:szCs w:val="13"/>
                <w:color w:val="auto"/>
              </w:rPr>
            </w:pPr>
          </w:p>
        </w:tc>
        <w:tc>
          <w:tcPr>
            <w:tcW w:w="1580" w:type="dxa"/>
            <w:vAlign w:val="bottom"/>
            <w:tcBorders>
              <w:right w:val="single" w:sz="8" w:color="181818"/>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6740" w:type="dxa"/>
            <w:vAlign w:val="bottom"/>
            <w:tcBorders>
              <w:left w:val="single" w:sz="8" w:color="181818"/>
            </w:tcBorders>
            <w:vMerge w:val="continue"/>
          </w:tcPr>
          <w:p>
            <w:pPr>
              <w:spacing w:after="0"/>
              <w:rPr>
                <w:sz w:val="5"/>
                <w:szCs w:val="5"/>
                <w:color w:val="auto"/>
              </w:rPr>
            </w:pPr>
          </w:p>
        </w:tc>
        <w:tc>
          <w:tcPr>
            <w:tcW w:w="2960" w:type="dxa"/>
            <w:vAlign w:val="bottom"/>
          </w:tcPr>
          <w:p>
            <w:pPr>
              <w:spacing w:after="0"/>
              <w:rPr>
                <w:sz w:val="5"/>
                <w:szCs w:val="5"/>
                <w:color w:val="auto"/>
              </w:rPr>
            </w:pPr>
          </w:p>
        </w:tc>
        <w:tc>
          <w:tcPr>
            <w:tcW w:w="1580" w:type="dxa"/>
            <w:vAlign w:val="bottom"/>
            <w:tcBorders>
              <w:right w:val="single" w:sz="8" w:color="181818"/>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740" w:type="dxa"/>
            <w:vAlign w:val="bottom"/>
            <w:tcBorders>
              <w:left w:val="single" w:sz="8" w:color="181818"/>
              <w:bottom w:val="single" w:sz="8" w:color="181818"/>
            </w:tcBorders>
          </w:tcPr>
          <w:p>
            <w:pPr>
              <w:spacing w:after="0"/>
              <w:rPr>
                <w:sz w:val="5"/>
                <w:szCs w:val="5"/>
                <w:color w:val="auto"/>
              </w:rPr>
            </w:pPr>
          </w:p>
        </w:tc>
        <w:tc>
          <w:tcPr>
            <w:tcW w:w="2960" w:type="dxa"/>
            <w:vAlign w:val="bottom"/>
            <w:tcBorders>
              <w:bottom w:val="single" w:sz="8" w:color="181818"/>
            </w:tcBorders>
          </w:tcPr>
          <w:p>
            <w:pPr>
              <w:spacing w:after="0"/>
              <w:rPr>
                <w:sz w:val="5"/>
                <w:szCs w:val="5"/>
                <w:color w:val="auto"/>
              </w:rPr>
            </w:pPr>
          </w:p>
        </w:tc>
        <w:tc>
          <w:tcPr>
            <w:tcW w:w="1580" w:type="dxa"/>
            <w:vAlign w:val="bottom"/>
            <w:tcBorders>
              <w:bottom w:val="single" w:sz="8" w:color="181818"/>
              <w:right w:val="single" w:sz="8" w:color="181818"/>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674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Heather Martin</w:t>
            </w:r>
          </w:p>
        </w:tc>
        <w:tc>
          <w:tcPr>
            <w:tcW w:w="2960" w:type="dxa"/>
            <w:vAlign w:val="bottom"/>
            <w:vMerge w:val="restart"/>
          </w:tcPr>
          <w:p>
            <w:pPr>
              <w:jc w:val="right"/>
              <w:ind w:right="748"/>
              <w:spacing w:after="0"/>
              <w:rPr>
                <w:sz w:val="20"/>
                <w:szCs w:val="20"/>
                <w:color w:val="auto"/>
              </w:rPr>
            </w:pPr>
            <w:r>
              <w:rPr>
                <w:rFonts w:ascii="Arial" w:cs="Arial" w:eastAsia="Arial" w:hAnsi="Arial"/>
                <w:sz w:val="14"/>
                <w:szCs w:val="14"/>
                <w:color w:val="auto"/>
              </w:rPr>
              <w:t>42</w:t>
            </w:r>
          </w:p>
        </w:tc>
        <w:tc>
          <w:tcPr>
            <w:tcW w:w="1580" w:type="dxa"/>
            <w:vAlign w:val="bottom"/>
            <w:tcBorders>
              <w:right w:val="single" w:sz="8" w:color="181818"/>
            </w:tcBorders>
            <w:vMerge w:val="restart"/>
          </w:tcPr>
          <w:p>
            <w:pPr>
              <w:jc w:val="right"/>
              <w:ind w:right="68"/>
              <w:spacing w:after="0"/>
              <w:rPr>
                <w:sz w:val="20"/>
                <w:szCs w:val="20"/>
                <w:color w:val="auto"/>
              </w:rPr>
            </w:pPr>
            <w:r>
              <w:rPr>
                <w:rFonts w:ascii="Arial" w:cs="Arial" w:eastAsia="Arial" w:hAnsi="Arial"/>
                <w:sz w:val="14"/>
                <w:szCs w:val="14"/>
                <w:color w:val="auto"/>
              </w:rPr>
              <w:t xml:space="preserve">60,858 </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173"/>
        </w:trPr>
        <w:tc>
          <w:tcPr>
            <w:tcW w:w="674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Chief Marketing Officer and Chief of Staff</w:t>
            </w:r>
          </w:p>
        </w:tc>
        <w:tc>
          <w:tcPr>
            <w:tcW w:w="2960" w:type="dxa"/>
            <w:vAlign w:val="bottom"/>
            <w:vMerge w:val="continue"/>
          </w:tcPr>
          <w:p>
            <w:pPr>
              <w:spacing w:after="0"/>
              <w:rPr>
                <w:sz w:val="15"/>
                <w:szCs w:val="15"/>
                <w:color w:val="auto"/>
              </w:rPr>
            </w:pPr>
          </w:p>
        </w:tc>
        <w:tc>
          <w:tcPr>
            <w:tcW w:w="1580" w:type="dxa"/>
            <w:vAlign w:val="bottom"/>
            <w:tcBorders>
              <w:right w:val="single" w:sz="8" w:color="181818"/>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740" w:type="dxa"/>
            <w:vAlign w:val="bottom"/>
            <w:tcBorders>
              <w:left w:val="single" w:sz="8" w:color="181818"/>
            </w:tcBorders>
            <w:vMerge w:val="continue"/>
          </w:tcPr>
          <w:p>
            <w:pPr>
              <w:spacing w:after="0"/>
              <w:rPr>
                <w:sz w:val="4"/>
                <w:szCs w:val="4"/>
                <w:color w:val="auto"/>
              </w:rPr>
            </w:pPr>
          </w:p>
        </w:tc>
        <w:tc>
          <w:tcPr>
            <w:tcW w:w="2960" w:type="dxa"/>
            <w:vAlign w:val="bottom"/>
          </w:tcPr>
          <w:p>
            <w:pPr>
              <w:spacing w:after="0"/>
              <w:rPr>
                <w:sz w:val="4"/>
                <w:szCs w:val="4"/>
                <w:color w:val="auto"/>
              </w:rPr>
            </w:pPr>
          </w:p>
        </w:tc>
        <w:tc>
          <w:tcPr>
            <w:tcW w:w="1580" w:type="dxa"/>
            <w:vAlign w:val="bottom"/>
            <w:tcBorders>
              <w:right w:val="single" w:sz="8" w:color="181818"/>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740" w:type="dxa"/>
            <w:vAlign w:val="bottom"/>
            <w:tcBorders>
              <w:left w:val="single" w:sz="8" w:color="181818"/>
              <w:bottom w:val="single" w:sz="8" w:color="181818"/>
            </w:tcBorders>
          </w:tcPr>
          <w:p>
            <w:pPr>
              <w:spacing w:after="0"/>
              <w:rPr>
                <w:sz w:val="6"/>
                <w:szCs w:val="6"/>
                <w:color w:val="auto"/>
              </w:rPr>
            </w:pPr>
          </w:p>
        </w:tc>
        <w:tc>
          <w:tcPr>
            <w:tcW w:w="2960" w:type="dxa"/>
            <w:vAlign w:val="bottom"/>
            <w:tcBorders>
              <w:bottom w:val="single" w:sz="8" w:color="181818"/>
            </w:tcBorders>
          </w:tcPr>
          <w:p>
            <w:pPr>
              <w:spacing w:after="0"/>
              <w:rPr>
                <w:sz w:val="6"/>
                <w:szCs w:val="6"/>
                <w:color w:val="auto"/>
              </w:rPr>
            </w:pPr>
          </w:p>
        </w:tc>
        <w:tc>
          <w:tcPr>
            <w:tcW w:w="158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07" w:hanging="307"/>
        <w:spacing w:after="0"/>
        <w:tabs>
          <w:tab w:leader="none" w:pos="307" w:val="left"/>
        </w:tabs>
        <w:numPr>
          <w:ilvl w:val="0"/>
          <w:numId w:val="42"/>
        </w:numPr>
        <w:rPr>
          <w:rFonts w:ascii="Arial" w:cs="Arial" w:eastAsia="Arial" w:hAnsi="Arial"/>
          <w:sz w:val="14"/>
          <w:szCs w:val="14"/>
          <w:b w:val="1"/>
          <w:bCs w:val="1"/>
          <w:color w:val="auto"/>
        </w:rPr>
      </w:pPr>
      <w:r>
        <w:rPr>
          <w:rFonts w:ascii="Arial" w:cs="Arial" w:eastAsia="Arial" w:hAnsi="Arial"/>
          <w:sz w:val="14"/>
          <w:szCs w:val="14"/>
          <w:color w:val="auto"/>
        </w:rPr>
        <w:t>Mr. Gerbrandt received 100% of his prorated 2026 target bonus in connection with his separation from the Company.</w:t>
      </w:r>
    </w:p>
    <w:p>
      <w:pPr>
        <w:spacing w:after="0" w:line="96" w:lineRule="exact"/>
        <w:rPr>
          <w:sz w:val="20"/>
          <w:szCs w:val="20"/>
          <w:color w:val="auto"/>
        </w:rPr>
      </w:pPr>
    </w:p>
    <w:p>
      <w:pPr>
        <w:ind w:left="327" w:right="140" w:hanging="327"/>
        <w:spacing w:after="0" w:line="311" w:lineRule="auto"/>
        <w:tabs>
          <w:tab w:leader="none" w:pos="315" w:val="left"/>
        </w:tabs>
        <w:numPr>
          <w:ilvl w:val="0"/>
          <w:numId w:val="43"/>
        </w:numPr>
        <w:rPr>
          <w:rFonts w:ascii="Arial" w:cs="Arial" w:eastAsia="Arial" w:hAnsi="Arial"/>
          <w:sz w:val="14"/>
          <w:szCs w:val="14"/>
          <w:b w:val="1"/>
          <w:bCs w:val="1"/>
          <w:color w:val="181818"/>
        </w:rPr>
      </w:pPr>
      <w:r>
        <w:rPr>
          <w:rFonts w:ascii="Arial" w:cs="Arial" w:eastAsia="Arial" w:hAnsi="Arial"/>
          <w:sz w:val="14"/>
          <w:szCs w:val="14"/>
          <w:color w:val="auto"/>
        </w:rPr>
        <w:t>Considering Mr. Guttman-McCabe's performance in connection with securing the 2026 5x5 Report and Order, his total short-term incentive bonus payment was calculated at 100% of target.</w:t>
      </w:r>
    </w:p>
    <w:p>
      <w:pPr>
        <w:spacing w:after="0" w:line="14" w:lineRule="exact"/>
        <w:rPr>
          <w:rFonts w:ascii="Arial" w:cs="Arial" w:eastAsia="Arial" w:hAnsi="Arial"/>
          <w:sz w:val="14"/>
          <w:szCs w:val="14"/>
          <w:b w:val="1"/>
          <w:bCs w:val="1"/>
          <w:color w:val="181818"/>
        </w:rPr>
      </w:pPr>
    </w:p>
    <w:p>
      <w:pPr>
        <w:ind w:left="287" w:hanging="287"/>
        <w:spacing w:after="0"/>
        <w:tabs>
          <w:tab w:leader="none" w:pos="287" w:val="left"/>
        </w:tabs>
        <w:numPr>
          <w:ilvl w:val="0"/>
          <w:numId w:val="43"/>
        </w:numPr>
        <w:rPr>
          <w:rFonts w:ascii="Arial" w:cs="Arial" w:eastAsia="Arial" w:hAnsi="Arial"/>
          <w:sz w:val="14"/>
          <w:szCs w:val="14"/>
          <w:b w:val="1"/>
          <w:bCs w:val="1"/>
          <w:color w:val="181818"/>
        </w:rPr>
      </w:pPr>
      <w:r>
        <w:rPr>
          <w:rFonts w:ascii="Arial" w:cs="Arial" w:eastAsia="Arial" w:hAnsi="Arial"/>
          <w:sz w:val="14"/>
          <w:szCs w:val="14"/>
          <w:color w:val="auto"/>
        </w:rPr>
        <w:t>Ms. Martin's total short-term incentive bonus payment was pro-rated based on her employment during for Fiscal 2026.</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Long-Term Incentive ("LTI") Equity Compensation</w:t>
      </w:r>
    </w:p>
    <w:p>
      <w:pPr>
        <w:spacing w:after="0" w:line="148" w:lineRule="exact"/>
        <w:rPr>
          <w:sz w:val="20"/>
          <w:szCs w:val="20"/>
          <w:color w:val="auto"/>
        </w:rPr>
      </w:pPr>
    </w:p>
    <w:p>
      <w:pPr>
        <w:jc w:val="both"/>
        <w:ind w:left="7"/>
        <w:spacing w:after="0" w:line="308" w:lineRule="auto"/>
        <w:rPr>
          <w:sz w:val="20"/>
          <w:szCs w:val="20"/>
          <w:color w:val="auto"/>
        </w:rPr>
      </w:pPr>
      <w:r>
        <w:rPr>
          <w:rFonts w:ascii="Arial" w:cs="Arial" w:eastAsia="Arial" w:hAnsi="Arial"/>
          <w:sz w:val="16"/>
          <w:szCs w:val="16"/>
          <w:color w:val="auto"/>
        </w:rPr>
        <w:t>Long-term equity incentives represent the third and largest component of the executive compensation program. The long-term incentive opportunity is designed to motivate and reward executive officers to achieve multiyear strategic goals and deliver sustained long-term value to stockholders. Our Compensation Committee has found these equity types to be effective in aligning the interests of management, including our NEOs, to company financial and business performance and the creation of overall stockholder value and to appropriately reward executives for growing our business.</w:t>
      </w:r>
    </w:p>
    <w:p>
      <w:pPr>
        <w:spacing w:after="0" w:line="68" w:lineRule="exact"/>
        <w:rPr>
          <w:sz w:val="20"/>
          <w:szCs w:val="20"/>
          <w:color w:val="auto"/>
        </w:rPr>
      </w:pPr>
    </w:p>
    <w:p>
      <w:pPr>
        <w:jc w:val="both"/>
        <w:ind w:left="7"/>
        <w:spacing w:after="0" w:line="303" w:lineRule="auto"/>
        <w:rPr>
          <w:sz w:val="20"/>
          <w:szCs w:val="20"/>
          <w:color w:val="auto"/>
        </w:rPr>
      </w:pPr>
      <w:r>
        <w:rPr>
          <w:rFonts w:ascii="Arial" w:cs="Arial" w:eastAsia="Arial" w:hAnsi="Arial"/>
          <w:sz w:val="16"/>
          <w:szCs w:val="16"/>
          <w:color w:val="auto"/>
        </w:rPr>
        <w:t>Our equity incentive plan authorizes our Compensation Committee to issue time-based and performance-based equity awards. For Fiscal 2026, our Compensation Committee decided to issue time-based stock options to align the interests of executives with our stockholders, better align compensation with performance, promote retention, and reinforce an ownership culture and a commitment to the Company. Our Compensation Committee believes granting time-based stock options is appropriate at our current stage of growth. As we continue to grow and explore opportunities to expand our customer base, setting longer-term performance goals becomes challenging. Our Compensation Committee believes time-based stock options are inherently performance-oriented and reflect strong alignment between the interests of our senior-most executives and the interests of our stockholders. Executives with time-based stock options will only realize value on such awards if the share price of our common stock appreciates over the grant date exercise price of such stock options, with greater value resulting as the fair market value of our common stock increases.</w:t>
      </w:r>
    </w:p>
    <w:p>
      <w:pPr>
        <w:spacing w:after="0" w:line="7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The equity awards granted in Fiscal 2026 to NEOs were as follows:</w:t>
      </w:r>
    </w:p>
    <w:p>
      <w:pPr>
        <w:spacing w:after="0" w:line="150" w:lineRule="exact"/>
        <w:rPr>
          <w:sz w:val="20"/>
          <w:szCs w:val="20"/>
          <w:color w:val="auto"/>
        </w:rPr>
      </w:pPr>
    </w:p>
    <w:tbl>
      <w:tblPr>
        <w:tblLayout w:type="fixed"/>
        <w:tblInd w:w="17" w:type="dxa"/>
        <w:tblCellMar>
          <w:top w:w="0" w:type="dxa"/>
          <w:left w:w="0" w:type="dxa"/>
          <w:bottom w:w="0" w:type="dxa"/>
          <w:right w:w="0" w:type="dxa"/>
        </w:tblCellMar>
      </w:tblPr>
      <w:tr>
        <w:trPr>
          <w:trHeight w:val="201"/>
        </w:trPr>
        <w:tc>
          <w:tcPr>
            <w:tcW w:w="3700" w:type="dxa"/>
            <w:vAlign w:val="bottom"/>
            <w:tcBorders>
              <w:top w:val="single" w:sz="8" w:color="181818"/>
              <w:left w:val="single" w:sz="8" w:color="181818"/>
            </w:tcBorders>
            <w:shd w:val="clear" w:color="auto" w:fill="1B6F80"/>
          </w:tcPr>
          <w:p>
            <w:pPr>
              <w:spacing w:after="0"/>
              <w:rPr>
                <w:sz w:val="17"/>
                <w:szCs w:val="17"/>
                <w:color w:val="auto"/>
              </w:rPr>
            </w:pPr>
          </w:p>
        </w:tc>
        <w:tc>
          <w:tcPr>
            <w:tcW w:w="4400" w:type="dxa"/>
            <w:vAlign w:val="bottom"/>
            <w:tcBorders>
              <w:top w:val="single" w:sz="8" w:color="181818"/>
            </w:tcBorders>
            <w:gridSpan w:val="2"/>
            <w:shd w:val="clear" w:color="auto" w:fill="1B6F80"/>
          </w:tcPr>
          <w:p>
            <w:pPr>
              <w:jc w:val="right"/>
              <w:ind w:right="647"/>
              <w:spacing w:after="0"/>
              <w:rPr>
                <w:sz w:val="20"/>
                <w:szCs w:val="20"/>
                <w:color w:val="auto"/>
              </w:rPr>
            </w:pPr>
            <w:r>
              <w:rPr>
                <w:rFonts w:ascii="Arial" w:cs="Arial" w:eastAsia="Arial" w:hAnsi="Arial"/>
                <w:sz w:val="14"/>
                <w:szCs w:val="14"/>
                <w:b w:val="1"/>
                <w:bCs w:val="1"/>
                <w:color w:val="FFFFFF"/>
              </w:rPr>
              <w:t>Number of Time-Based Stock Options</w:t>
            </w:r>
          </w:p>
        </w:tc>
        <w:tc>
          <w:tcPr>
            <w:tcW w:w="314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Number of Restricted Stock Units</w:t>
            </w:r>
          </w:p>
        </w:tc>
      </w:tr>
      <w:tr>
        <w:trPr>
          <w:trHeight w:val="202"/>
        </w:trPr>
        <w:tc>
          <w:tcPr>
            <w:tcW w:w="3700" w:type="dxa"/>
            <w:vAlign w:val="bottom"/>
            <w:tcBorders>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Executive Officer</w:t>
            </w:r>
          </w:p>
        </w:tc>
        <w:tc>
          <w:tcPr>
            <w:tcW w:w="4400" w:type="dxa"/>
            <w:vAlign w:val="bottom"/>
            <w:gridSpan w:val="2"/>
            <w:shd w:val="clear" w:color="auto" w:fill="1B6F80"/>
          </w:tcPr>
          <w:p>
            <w:pPr>
              <w:jc w:val="right"/>
              <w:ind w:right="647"/>
              <w:spacing w:after="0"/>
              <w:rPr>
                <w:sz w:val="20"/>
                <w:szCs w:val="20"/>
                <w:color w:val="auto"/>
              </w:rPr>
            </w:pPr>
            <w:r>
              <w:rPr>
                <w:rFonts w:ascii="Arial" w:cs="Arial" w:eastAsia="Arial" w:hAnsi="Arial"/>
                <w:sz w:val="14"/>
                <w:szCs w:val="14"/>
                <w:b w:val="1"/>
                <w:bCs w:val="1"/>
                <w:color w:val="FFFFFF"/>
              </w:rPr>
              <w:t>(#)</w:t>
            </w:r>
          </w:p>
        </w:tc>
        <w:tc>
          <w:tcPr>
            <w:tcW w:w="314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70"/>
        </w:trPr>
        <w:tc>
          <w:tcPr>
            <w:tcW w:w="3700" w:type="dxa"/>
            <w:vAlign w:val="bottom"/>
            <w:tcBorders>
              <w:left w:val="single" w:sz="8" w:color="181818"/>
            </w:tcBorders>
            <w:shd w:val="clear" w:color="auto" w:fill="1B6F80"/>
          </w:tcPr>
          <w:p>
            <w:pPr>
              <w:spacing w:after="0"/>
              <w:rPr>
                <w:sz w:val="6"/>
                <w:szCs w:val="6"/>
                <w:color w:val="auto"/>
              </w:rPr>
            </w:pPr>
          </w:p>
        </w:tc>
        <w:tc>
          <w:tcPr>
            <w:tcW w:w="3540" w:type="dxa"/>
            <w:vAlign w:val="bottom"/>
            <w:shd w:val="clear" w:color="auto" w:fill="1B6F80"/>
          </w:tcPr>
          <w:p>
            <w:pPr>
              <w:spacing w:after="0"/>
              <w:rPr>
                <w:sz w:val="6"/>
                <w:szCs w:val="6"/>
                <w:color w:val="auto"/>
              </w:rPr>
            </w:pPr>
          </w:p>
        </w:tc>
        <w:tc>
          <w:tcPr>
            <w:tcW w:w="860" w:type="dxa"/>
            <w:vAlign w:val="bottom"/>
            <w:shd w:val="clear" w:color="auto" w:fill="1B6F80"/>
          </w:tcPr>
          <w:p>
            <w:pPr>
              <w:spacing w:after="0"/>
              <w:rPr>
                <w:sz w:val="6"/>
                <w:szCs w:val="6"/>
                <w:color w:val="auto"/>
              </w:rPr>
            </w:pPr>
          </w:p>
        </w:tc>
        <w:tc>
          <w:tcPr>
            <w:tcW w:w="3140" w:type="dxa"/>
            <w:vAlign w:val="bottom"/>
            <w:tcBorders>
              <w:right w:val="single" w:sz="8" w:color="181818"/>
            </w:tcBorders>
            <w:shd w:val="clear" w:color="auto" w:fill="1B6F80"/>
          </w:tcPr>
          <w:p>
            <w:pPr>
              <w:spacing w:after="0"/>
              <w:rPr>
                <w:sz w:val="6"/>
                <w:szCs w:val="6"/>
                <w:color w:val="auto"/>
              </w:rPr>
            </w:pPr>
          </w:p>
        </w:tc>
      </w:tr>
      <w:tr>
        <w:trPr>
          <w:trHeight w:val="268"/>
        </w:trPr>
        <w:tc>
          <w:tcPr>
            <w:tcW w:w="370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Scott A. Lang</w:t>
            </w:r>
          </w:p>
        </w:tc>
        <w:tc>
          <w:tcPr>
            <w:tcW w:w="3540" w:type="dxa"/>
            <w:vAlign w:val="bottom"/>
          </w:tcPr>
          <w:p>
            <w:pPr>
              <w:jc w:val="right"/>
              <w:spacing w:after="0"/>
              <w:rPr>
                <w:sz w:val="20"/>
                <w:szCs w:val="20"/>
                <w:color w:val="auto"/>
              </w:rPr>
            </w:pPr>
            <w:r>
              <w:rPr>
                <w:rFonts w:ascii="Arial" w:cs="Arial" w:eastAsia="Arial" w:hAnsi="Arial"/>
                <w:sz w:val="14"/>
                <w:szCs w:val="14"/>
                <w:color w:val="auto"/>
              </w:rPr>
              <w:t>223,546</w:t>
            </w:r>
          </w:p>
        </w:tc>
        <w:tc>
          <w:tcPr>
            <w:tcW w:w="860" w:type="dxa"/>
            <w:vAlign w:val="bottom"/>
          </w:tcPr>
          <w:p>
            <w:pPr>
              <w:jc w:val="right"/>
              <w:ind w:right="647"/>
              <w:spacing w:after="0"/>
              <w:rPr>
                <w:sz w:val="20"/>
                <w:szCs w:val="20"/>
                <w:color w:val="auto"/>
              </w:rPr>
            </w:pPr>
            <w:r>
              <w:rPr>
                <w:rFonts w:ascii="Arial" w:cs="Arial" w:eastAsia="Arial" w:hAnsi="Arial"/>
                <w:sz w:val="9"/>
                <w:szCs w:val="9"/>
                <w:color w:val="auto"/>
              </w:rPr>
              <w:t>(1)</w:t>
            </w:r>
          </w:p>
        </w:tc>
        <w:tc>
          <w:tcPr>
            <w:tcW w:w="314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70"/>
        </w:trPr>
        <w:tc>
          <w:tcPr>
            <w:tcW w:w="3700" w:type="dxa"/>
            <w:vAlign w:val="bottom"/>
            <w:tcBorders>
              <w:left w:val="single" w:sz="8" w:color="181818"/>
              <w:bottom w:val="single" w:sz="8" w:color="181818"/>
            </w:tcBorders>
          </w:tcPr>
          <w:p>
            <w:pPr>
              <w:spacing w:after="0"/>
              <w:rPr>
                <w:sz w:val="6"/>
                <w:szCs w:val="6"/>
                <w:color w:val="auto"/>
              </w:rPr>
            </w:pPr>
          </w:p>
        </w:tc>
        <w:tc>
          <w:tcPr>
            <w:tcW w:w="3540" w:type="dxa"/>
            <w:vAlign w:val="bottom"/>
            <w:tcBorders>
              <w:bottom w:val="single" w:sz="8" w:color="181818"/>
            </w:tcBorders>
          </w:tcPr>
          <w:p>
            <w:pPr>
              <w:spacing w:after="0"/>
              <w:rPr>
                <w:sz w:val="6"/>
                <w:szCs w:val="6"/>
                <w:color w:val="auto"/>
              </w:rPr>
            </w:pPr>
          </w:p>
        </w:tc>
        <w:tc>
          <w:tcPr>
            <w:tcW w:w="860" w:type="dxa"/>
            <w:vAlign w:val="bottom"/>
            <w:tcBorders>
              <w:bottom w:val="single" w:sz="8" w:color="181818"/>
            </w:tcBorders>
          </w:tcPr>
          <w:p>
            <w:pPr>
              <w:spacing w:after="0"/>
              <w:rPr>
                <w:sz w:val="6"/>
                <w:szCs w:val="6"/>
                <w:color w:val="auto"/>
              </w:rPr>
            </w:pPr>
          </w:p>
        </w:tc>
        <w:tc>
          <w:tcPr>
            <w:tcW w:w="3140" w:type="dxa"/>
            <w:vAlign w:val="bottom"/>
            <w:tcBorders>
              <w:bottom w:val="single" w:sz="8" w:color="181818"/>
              <w:right w:val="single" w:sz="8" w:color="181818"/>
            </w:tcBorders>
          </w:tcPr>
          <w:p>
            <w:pPr>
              <w:spacing w:after="0"/>
              <w:rPr>
                <w:sz w:val="6"/>
                <w:szCs w:val="6"/>
                <w:color w:val="auto"/>
              </w:rPr>
            </w:pPr>
          </w:p>
        </w:tc>
      </w:tr>
      <w:tr>
        <w:trPr>
          <w:trHeight w:val="262"/>
        </w:trPr>
        <w:tc>
          <w:tcPr>
            <w:tcW w:w="370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Christopher Guttman-McCabe</w:t>
            </w:r>
          </w:p>
        </w:tc>
        <w:tc>
          <w:tcPr>
            <w:tcW w:w="3540" w:type="dxa"/>
            <w:vAlign w:val="bottom"/>
          </w:tcPr>
          <w:p>
            <w:pPr>
              <w:jc w:val="right"/>
              <w:spacing w:after="0"/>
              <w:rPr>
                <w:sz w:val="20"/>
                <w:szCs w:val="20"/>
                <w:color w:val="auto"/>
              </w:rPr>
            </w:pPr>
            <w:r>
              <w:rPr>
                <w:rFonts w:ascii="Arial" w:cs="Arial" w:eastAsia="Arial" w:hAnsi="Arial"/>
                <w:sz w:val="14"/>
                <w:szCs w:val="14"/>
                <w:color w:val="auto"/>
              </w:rPr>
              <w:t>53,491</w:t>
            </w:r>
          </w:p>
        </w:tc>
        <w:tc>
          <w:tcPr>
            <w:tcW w:w="860" w:type="dxa"/>
            <w:vAlign w:val="bottom"/>
          </w:tcPr>
          <w:p>
            <w:pPr>
              <w:jc w:val="right"/>
              <w:ind w:right="647"/>
              <w:spacing w:after="0"/>
              <w:rPr>
                <w:sz w:val="20"/>
                <w:szCs w:val="20"/>
                <w:color w:val="auto"/>
              </w:rPr>
            </w:pPr>
            <w:r>
              <w:rPr>
                <w:rFonts w:ascii="Arial" w:cs="Arial" w:eastAsia="Arial" w:hAnsi="Arial"/>
                <w:sz w:val="9"/>
                <w:szCs w:val="9"/>
                <w:color w:val="auto"/>
              </w:rPr>
              <w:t>(2)</w:t>
            </w:r>
          </w:p>
        </w:tc>
        <w:tc>
          <w:tcPr>
            <w:tcW w:w="314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69"/>
        </w:trPr>
        <w:tc>
          <w:tcPr>
            <w:tcW w:w="3700" w:type="dxa"/>
            <w:vAlign w:val="bottom"/>
            <w:tcBorders>
              <w:left w:val="single" w:sz="8" w:color="181818"/>
              <w:bottom w:val="single" w:sz="8" w:color="181818"/>
            </w:tcBorders>
          </w:tcPr>
          <w:p>
            <w:pPr>
              <w:spacing w:after="0"/>
              <w:rPr>
                <w:sz w:val="6"/>
                <w:szCs w:val="6"/>
                <w:color w:val="auto"/>
              </w:rPr>
            </w:pPr>
          </w:p>
        </w:tc>
        <w:tc>
          <w:tcPr>
            <w:tcW w:w="3540" w:type="dxa"/>
            <w:vAlign w:val="bottom"/>
            <w:tcBorders>
              <w:bottom w:val="single" w:sz="8" w:color="181818"/>
            </w:tcBorders>
          </w:tcPr>
          <w:p>
            <w:pPr>
              <w:spacing w:after="0"/>
              <w:rPr>
                <w:sz w:val="6"/>
                <w:szCs w:val="6"/>
                <w:color w:val="auto"/>
              </w:rPr>
            </w:pPr>
          </w:p>
        </w:tc>
        <w:tc>
          <w:tcPr>
            <w:tcW w:w="860" w:type="dxa"/>
            <w:vAlign w:val="bottom"/>
            <w:tcBorders>
              <w:bottom w:val="single" w:sz="8" w:color="181818"/>
            </w:tcBorders>
          </w:tcPr>
          <w:p>
            <w:pPr>
              <w:spacing w:after="0"/>
              <w:rPr>
                <w:sz w:val="6"/>
                <w:szCs w:val="6"/>
                <w:color w:val="auto"/>
              </w:rPr>
            </w:pPr>
          </w:p>
        </w:tc>
        <w:tc>
          <w:tcPr>
            <w:tcW w:w="3140" w:type="dxa"/>
            <w:vAlign w:val="bottom"/>
            <w:tcBorders>
              <w:bottom w:val="single" w:sz="8" w:color="181818"/>
              <w:right w:val="single" w:sz="8" w:color="181818"/>
            </w:tcBorders>
          </w:tcPr>
          <w:p>
            <w:pPr>
              <w:spacing w:after="0"/>
              <w:rPr>
                <w:sz w:val="6"/>
                <w:szCs w:val="6"/>
                <w:color w:val="auto"/>
              </w:rPr>
            </w:pPr>
          </w:p>
        </w:tc>
      </w:tr>
      <w:tr>
        <w:trPr>
          <w:trHeight w:val="315"/>
        </w:trPr>
        <w:tc>
          <w:tcPr>
            <w:tcW w:w="370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b w:val="1"/>
                <w:bCs w:val="1"/>
                <w:color w:val="181818"/>
              </w:rPr>
              <w:t>Heather Martin</w:t>
            </w:r>
          </w:p>
        </w:tc>
        <w:tc>
          <w:tcPr>
            <w:tcW w:w="3540" w:type="dxa"/>
            <w:vAlign w:val="bottom"/>
            <w:tcBorders>
              <w:bottom w:val="single" w:sz="8" w:color="181818"/>
            </w:tcBorders>
          </w:tcPr>
          <w:p>
            <w:pPr>
              <w:spacing w:after="0"/>
              <w:rPr>
                <w:sz w:val="24"/>
                <w:szCs w:val="24"/>
                <w:color w:val="auto"/>
              </w:rPr>
            </w:pPr>
          </w:p>
        </w:tc>
        <w:tc>
          <w:tcPr>
            <w:tcW w:w="860" w:type="dxa"/>
            <w:vAlign w:val="bottom"/>
            <w:tcBorders>
              <w:bottom w:val="single" w:sz="8" w:color="181818"/>
            </w:tcBorders>
          </w:tcPr>
          <w:p>
            <w:pPr>
              <w:jc w:val="right"/>
              <w:ind w:right="647"/>
              <w:spacing w:after="0"/>
              <w:rPr>
                <w:sz w:val="20"/>
                <w:szCs w:val="20"/>
                <w:color w:val="auto"/>
              </w:rPr>
            </w:pPr>
            <w:r>
              <w:rPr>
                <w:rFonts w:ascii="Arial" w:cs="Arial" w:eastAsia="Arial" w:hAnsi="Arial"/>
                <w:sz w:val="14"/>
                <w:szCs w:val="14"/>
                <w:color w:val="auto"/>
                <w:w w:val="99"/>
              </w:rPr>
              <w:t>—</w:t>
            </w:r>
          </w:p>
        </w:tc>
        <w:tc>
          <w:tcPr>
            <w:tcW w:w="3140" w:type="dxa"/>
            <w:vAlign w:val="bottom"/>
            <w:tcBorders>
              <w:bottom w:val="single" w:sz="8" w:color="181818"/>
              <w:right w:val="single" w:sz="8" w:color="181818"/>
            </w:tcBorders>
          </w:tcPr>
          <w:p>
            <w:pPr>
              <w:jc w:val="right"/>
              <w:ind w:right="68"/>
              <w:spacing w:after="0"/>
              <w:rPr>
                <w:sz w:val="20"/>
                <w:szCs w:val="20"/>
                <w:color w:val="auto"/>
              </w:rPr>
            </w:pPr>
            <w:r>
              <w:rPr>
                <w:rFonts w:ascii="Arial" w:cs="Arial" w:eastAsia="Arial" w:hAnsi="Arial"/>
                <w:sz w:val="14"/>
                <w:szCs w:val="14"/>
                <w:color w:val="auto"/>
              </w:rPr>
              <w:t xml:space="preserve">34,578 </w:t>
            </w:r>
            <w:r>
              <w:rPr>
                <w:rFonts w:ascii="Arial" w:cs="Arial" w:eastAsia="Arial" w:hAnsi="Arial"/>
                <w:sz w:val="18"/>
                <w:szCs w:val="18"/>
                <w:color w:val="auto"/>
                <w:vertAlign w:val="superscript"/>
              </w:rPr>
              <w:t>(3)</w:t>
            </w:r>
          </w:p>
        </w:tc>
      </w:tr>
      <w:tr>
        <w:trPr>
          <w:trHeight w:val="264"/>
        </w:trPr>
        <w:tc>
          <w:tcPr>
            <w:tcW w:w="370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Ryan L. Gerbrandt</w:t>
            </w:r>
          </w:p>
        </w:tc>
        <w:tc>
          <w:tcPr>
            <w:tcW w:w="3540" w:type="dxa"/>
            <w:vAlign w:val="bottom"/>
          </w:tcPr>
          <w:p>
            <w:pPr>
              <w:jc w:val="right"/>
              <w:spacing w:after="0"/>
              <w:rPr>
                <w:sz w:val="20"/>
                <w:szCs w:val="20"/>
                <w:color w:val="auto"/>
              </w:rPr>
            </w:pPr>
            <w:r>
              <w:rPr>
                <w:rFonts w:ascii="Arial" w:cs="Arial" w:eastAsia="Arial" w:hAnsi="Arial"/>
                <w:sz w:val="14"/>
                <w:szCs w:val="14"/>
                <w:color w:val="auto"/>
              </w:rPr>
              <w:t>53,491</w:t>
            </w:r>
          </w:p>
        </w:tc>
        <w:tc>
          <w:tcPr>
            <w:tcW w:w="860" w:type="dxa"/>
            <w:vAlign w:val="bottom"/>
          </w:tcPr>
          <w:p>
            <w:pPr>
              <w:jc w:val="right"/>
              <w:ind w:right="647"/>
              <w:spacing w:after="0"/>
              <w:rPr>
                <w:sz w:val="20"/>
                <w:szCs w:val="20"/>
                <w:color w:val="auto"/>
              </w:rPr>
            </w:pPr>
            <w:r>
              <w:rPr>
                <w:rFonts w:ascii="Arial" w:cs="Arial" w:eastAsia="Arial" w:hAnsi="Arial"/>
                <w:sz w:val="9"/>
                <w:szCs w:val="9"/>
                <w:color w:val="auto"/>
              </w:rPr>
              <w:t>(4)</w:t>
            </w:r>
          </w:p>
        </w:tc>
        <w:tc>
          <w:tcPr>
            <w:tcW w:w="314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70"/>
        </w:trPr>
        <w:tc>
          <w:tcPr>
            <w:tcW w:w="3700" w:type="dxa"/>
            <w:vAlign w:val="bottom"/>
            <w:tcBorders>
              <w:left w:val="single" w:sz="8" w:color="181818"/>
              <w:bottom w:val="single" w:sz="8" w:color="181818"/>
            </w:tcBorders>
          </w:tcPr>
          <w:p>
            <w:pPr>
              <w:spacing w:after="0"/>
              <w:rPr>
                <w:sz w:val="6"/>
                <w:szCs w:val="6"/>
                <w:color w:val="auto"/>
              </w:rPr>
            </w:pPr>
          </w:p>
        </w:tc>
        <w:tc>
          <w:tcPr>
            <w:tcW w:w="3540" w:type="dxa"/>
            <w:vAlign w:val="bottom"/>
            <w:tcBorders>
              <w:bottom w:val="single" w:sz="8" w:color="181818"/>
            </w:tcBorders>
          </w:tcPr>
          <w:p>
            <w:pPr>
              <w:spacing w:after="0"/>
              <w:rPr>
                <w:sz w:val="6"/>
                <w:szCs w:val="6"/>
                <w:color w:val="auto"/>
              </w:rPr>
            </w:pPr>
          </w:p>
        </w:tc>
        <w:tc>
          <w:tcPr>
            <w:tcW w:w="860" w:type="dxa"/>
            <w:vAlign w:val="bottom"/>
            <w:tcBorders>
              <w:bottom w:val="single" w:sz="8" w:color="181818"/>
            </w:tcBorders>
          </w:tcPr>
          <w:p>
            <w:pPr>
              <w:spacing w:after="0"/>
              <w:rPr>
                <w:sz w:val="6"/>
                <w:szCs w:val="6"/>
                <w:color w:val="auto"/>
              </w:rPr>
            </w:pPr>
          </w:p>
        </w:tc>
        <w:tc>
          <w:tcPr>
            <w:tcW w:w="3140" w:type="dxa"/>
            <w:vAlign w:val="bottom"/>
            <w:tcBorders>
              <w:bottom w:val="single" w:sz="8" w:color="181818"/>
              <w:right w:val="single" w:sz="8" w:color="181818"/>
            </w:tcBorders>
          </w:tcPr>
          <w:p>
            <w:pPr>
              <w:spacing w:after="0"/>
              <w:rPr>
                <w:sz w:val="6"/>
                <w:szCs w:val="6"/>
                <w:color w:val="auto"/>
              </w:rPr>
            </w:pPr>
          </w:p>
        </w:tc>
      </w:tr>
    </w:tbl>
    <w:p>
      <w:pPr>
        <w:spacing w:after="0" w:line="149" w:lineRule="exact"/>
        <w:rPr>
          <w:sz w:val="20"/>
          <w:szCs w:val="20"/>
          <w:color w:val="auto"/>
        </w:rPr>
      </w:pPr>
    </w:p>
    <w:p>
      <w:pPr>
        <w:ind w:left="327" w:right="160" w:hanging="327"/>
        <w:spacing w:after="0" w:line="311" w:lineRule="auto"/>
        <w:tabs>
          <w:tab w:leader="none" w:pos="315" w:val="left"/>
        </w:tabs>
        <w:numPr>
          <w:ilvl w:val="0"/>
          <w:numId w:val="44"/>
        </w:numPr>
        <w:rPr>
          <w:rFonts w:ascii="Arial" w:cs="Arial" w:eastAsia="Arial" w:hAnsi="Arial"/>
          <w:sz w:val="14"/>
          <w:szCs w:val="14"/>
          <w:b w:val="1"/>
          <w:bCs w:val="1"/>
          <w:color w:val="181818"/>
        </w:rPr>
      </w:pPr>
      <w:r>
        <w:rPr>
          <w:rFonts w:ascii="Arial" w:cs="Arial" w:eastAsia="Arial" w:hAnsi="Arial"/>
          <w:sz w:val="14"/>
          <w:szCs w:val="14"/>
          <w:color w:val="auto"/>
        </w:rPr>
        <w:t>Represents stock options granted in May 2025 that vest in three equal annual installments, beginning on May 21, 2026, subject to the executive’s continued service to the Company through each applicable vesting date.</w:t>
      </w:r>
    </w:p>
    <w:p>
      <w:pPr>
        <w:spacing w:after="0" w:line="14" w:lineRule="exact"/>
        <w:rPr>
          <w:rFonts w:ascii="Arial" w:cs="Arial" w:eastAsia="Arial" w:hAnsi="Arial"/>
          <w:sz w:val="14"/>
          <w:szCs w:val="14"/>
          <w:b w:val="1"/>
          <w:bCs w:val="1"/>
          <w:color w:val="181818"/>
        </w:rPr>
      </w:pPr>
    </w:p>
    <w:p>
      <w:pPr>
        <w:ind w:left="327" w:right="180" w:hanging="327"/>
        <w:spacing w:after="0" w:line="311" w:lineRule="auto"/>
        <w:tabs>
          <w:tab w:leader="none" w:pos="295" w:val="left"/>
        </w:tabs>
        <w:numPr>
          <w:ilvl w:val="0"/>
          <w:numId w:val="44"/>
        </w:numPr>
        <w:rPr>
          <w:rFonts w:ascii="Arial" w:cs="Arial" w:eastAsia="Arial" w:hAnsi="Arial"/>
          <w:sz w:val="14"/>
          <w:szCs w:val="14"/>
          <w:b w:val="1"/>
          <w:bCs w:val="1"/>
          <w:color w:val="181818"/>
        </w:rPr>
      </w:pPr>
      <w:r>
        <w:rPr>
          <w:rFonts w:ascii="Arial" w:cs="Arial" w:eastAsia="Arial" w:hAnsi="Arial"/>
          <w:sz w:val="14"/>
          <w:szCs w:val="14"/>
          <w:color w:val="auto"/>
        </w:rPr>
        <w:t>Represents stock options granted in May 2025 that vest in three equal annual installments, beginning on May 20, 2026, subject to the executive’s continued service to the Company through each applicable vesting date.</w:t>
      </w:r>
    </w:p>
    <w:p>
      <w:pPr>
        <w:spacing w:after="0" w:line="14" w:lineRule="exact"/>
        <w:rPr>
          <w:rFonts w:ascii="Arial" w:cs="Arial" w:eastAsia="Arial" w:hAnsi="Arial"/>
          <w:sz w:val="14"/>
          <w:szCs w:val="14"/>
          <w:b w:val="1"/>
          <w:bCs w:val="1"/>
          <w:color w:val="181818"/>
        </w:rPr>
      </w:pPr>
    </w:p>
    <w:p>
      <w:pPr>
        <w:ind w:left="327" w:right="500" w:hanging="327"/>
        <w:spacing w:after="0" w:line="311" w:lineRule="auto"/>
        <w:tabs>
          <w:tab w:leader="none" w:pos="290" w:val="left"/>
        </w:tabs>
        <w:numPr>
          <w:ilvl w:val="0"/>
          <w:numId w:val="44"/>
        </w:numPr>
        <w:rPr>
          <w:rFonts w:ascii="Arial" w:cs="Arial" w:eastAsia="Arial" w:hAnsi="Arial"/>
          <w:sz w:val="14"/>
          <w:szCs w:val="14"/>
          <w:b w:val="1"/>
          <w:bCs w:val="1"/>
          <w:color w:val="181818"/>
        </w:rPr>
      </w:pPr>
      <w:r>
        <w:rPr>
          <w:rFonts w:ascii="Arial" w:cs="Arial" w:eastAsia="Arial" w:hAnsi="Arial"/>
          <w:sz w:val="14"/>
          <w:szCs w:val="14"/>
          <w:color w:val="auto"/>
        </w:rPr>
        <w:t>Represents restricted stock units granted in September 2025 that vest in three equal annual installments, beginning on September 9, 2026, subject to the executive’s continued service to the Company through each applicable vesting date.</w:t>
      </w:r>
    </w:p>
    <w:p>
      <w:pPr>
        <w:spacing w:after="0" w:line="14" w:lineRule="exact"/>
        <w:rPr>
          <w:rFonts w:ascii="Arial" w:cs="Arial" w:eastAsia="Arial" w:hAnsi="Arial"/>
          <w:sz w:val="14"/>
          <w:szCs w:val="14"/>
          <w:b w:val="1"/>
          <w:bCs w:val="1"/>
          <w:color w:val="181818"/>
        </w:rPr>
      </w:pPr>
    </w:p>
    <w:p>
      <w:pPr>
        <w:ind w:left="287" w:hanging="287"/>
        <w:spacing w:after="0"/>
        <w:tabs>
          <w:tab w:leader="none" w:pos="287" w:val="left"/>
        </w:tabs>
        <w:numPr>
          <w:ilvl w:val="0"/>
          <w:numId w:val="44"/>
        </w:numPr>
        <w:rPr>
          <w:rFonts w:ascii="Arial" w:cs="Arial" w:eastAsia="Arial" w:hAnsi="Arial"/>
          <w:sz w:val="14"/>
          <w:szCs w:val="14"/>
          <w:b w:val="1"/>
          <w:bCs w:val="1"/>
          <w:color w:val="181818"/>
        </w:rPr>
      </w:pPr>
      <w:r>
        <w:rPr>
          <w:rFonts w:ascii="Arial" w:cs="Arial" w:eastAsia="Arial" w:hAnsi="Arial"/>
          <w:sz w:val="14"/>
          <w:szCs w:val="14"/>
          <w:color w:val="auto"/>
        </w:rPr>
        <w:t>Represents stock options granted in May 2025, of which a pro-rata portion accelerated on January 9, 2026, in accordance with the terms of the Executive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480695</wp:posOffset>
            </wp:positionV>
            <wp:extent cx="71577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
        <w:spacing w:after="0"/>
        <w:tabs>
          <w:tab w:leader="none" w:pos="10267" w:val="left"/>
        </w:tabs>
        <w:rPr>
          <w:sz w:val="20"/>
          <w:szCs w:val="20"/>
          <w:color w:val="auto"/>
        </w:rPr>
      </w:pPr>
      <w:r>
        <w:rPr>
          <w:rFonts w:ascii="Arial" w:cs="Arial" w:eastAsia="Arial" w:hAnsi="Arial"/>
          <w:sz w:val="14"/>
          <w:szCs w:val="14"/>
          <w:color w:val="09314A"/>
        </w:rPr>
        <w:t xml:space="preserve">38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Retirement Benefits</w:t>
      </w:r>
    </w:p>
    <w:p>
      <w:pPr>
        <w:spacing w:after="0" w:line="1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maintain a 401(k) plan for our employees, including our NEOs (the "401(k) Plan"). The 401(k) Plan is intended to qualify under Section 401(k) of the Internal Revenue Code (the "IR Code") so that contributions to the 401(k) Plan by employees or by the Company, and the investment earnings thereon, are not taxable to the employees until withdrawn, and so that contributions made by the Company, if any, will be deductible by the Company when made. Our match for all employees participating in the 401(k) Plan is 3% of annual cash compensation, subject to certain limitations set forth under the 401(k) Plan and applicable law.</w:t>
      </w:r>
    </w:p>
    <w:p>
      <w:pPr>
        <w:spacing w:after="0" w:line="69"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We do not provide any retirement benefits other than under our 401(k) Plan, nor do we sponsor or maintain any nonqualified defined contribution or deferred compensation plans.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Health and Welfare Benefits</w:t>
      </w:r>
    </w:p>
    <w:p>
      <w:pPr>
        <w:spacing w:after="0" w:line="148"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Our NEOs are eligible to participate in the same employee benefit plans, on the same terms and conditions, as all other full-time, salaried employees. These benefits include medical, dental, and vision insurance, an employee assistance program, health and dependent care flexible spending accounts, health savings accounts, basic life insurance, accidental death and dismemberment insurance, short-term and long-term disability insurance and commuter benefits.</w:t>
      </w:r>
    </w:p>
    <w:p>
      <w:pPr>
        <w:spacing w:after="0" w:line="28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We adjust our employee benefits programs as needed based on regular monitoring of applicable laws and practices and the competitive market. In structuring these benefit programs, we seek to provide an aggregate level of benefits comparable to those provided by similar companies.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Employment Arrangements</w:t>
      </w:r>
    </w:p>
    <w:p>
      <w:pPr>
        <w:spacing w:after="0" w:line="148"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We issue employment offer letters to all new employees, including each of our NEOs, setting forth the initial terms of the employee’s employment. Offer letters issued to our NEOs provide that the officer’s employment will be "at-will" and may be terminated at any time.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Severance and Change in Control Protection</w:t>
      </w:r>
    </w:p>
    <w:p>
      <w:pPr>
        <w:spacing w:after="0" w:line="13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March 2015, the Board adopted an Executive Severance Plan (as subsequently amended in 2022 and 2024, the “Severance Plan”) and assigned the Compensation Committee as the administrator of the Severance Plan. The Severance Plan, updated on August 9, 2022 and December 5, 2024, replaced any prior existing employment agreements or severance arrangements with our executives, establishes the amount of severance payments and benefits available in the event of a: (i) termination of employment by us without Cause or by the participant for Good Reason (as such terms are defined in the Severance Plan); or (ii) termination of employment by us without Cause or by the participant for Good Reason within six months before or within 24 months after a Change in Control (as defined in the Severance Plan).</w:t>
      </w:r>
    </w:p>
    <w:p>
      <w:pPr>
        <w:spacing w:after="0" w:line="7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primary purpose of the Change in Control benefits in these agreements is to keep our NEOs focused on pursuing corporate transaction activity that is in the best interests of our stockholders, regardless of whether those transactions may result in their job loss. We also believe it is necessary to offer these protections in order to offer competitive compensation packages.</w:t>
      </w:r>
    </w:p>
    <w:p>
      <w:pPr>
        <w:spacing w:after="0" w:line="45"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For detailed descriptions of the post-employment compensation arrangements with our NEOs, as well as an estimate of the potential payments and benefits payable under these arrangements, see “Severance Arrangements with our NEOs” and "Related Party Transactions"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71577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Tax and Accounting Considerations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We review and consider the various tax and accounting implications of the compensation vehicles we use.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Deductibility of Executive Compensation</w:t>
      </w:r>
    </w:p>
    <w:p>
      <w:pPr>
        <w:spacing w:after="0" w:line="1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approving the amount and form of compensation for our NEOs, our Board and Compensation Committee consider all elements of our cost of providing such compensation, including the potential impact of Section 162(m) of the IR Code, which denies a publicly-traded corporation a federal income tax deduction on compensation over $1 million per year to certain designated executives. However, our Board and Compensation Committee believe that our stockholders’ interests are best served if their discretion and flexibility in awarding compensation is not restricted, even though it may result in non-deductible compensation expense.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Accounting Implications</w:t>
      </w:r>
    </w:p>
    <w:p>
      <w:pPr>
        <w:spacing w:after="0" w:line="1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follow Financial Accounting Standards Board ("FASB") Accounting Standards Codification ("ASC") Topic 718 ("FASB ASC Topic 718"), Compensation— Stock Compensation, for our stock-based compensation awards. FASB ASC Topic 718 requires us to measure the compensation expense for all share-based payments made to our employees and directors, including options to purchase shares of our common stock and other stock-based awards, based on the grant date “fair value” of these awards. This calculation is performed for financial accounting purposes and reported in the compensation tables below, even though recipients may realize a different value, or no value at all, from their awards. FASB ASC Topic 718 also requires us to recognize the compensation cost of our share-based compensation awards in our income statements over the period a recipient is required to render services in exchange for the option or other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71577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40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 xml:space="preserve">Report of the Compensation Committee </w:t>
      </w:r>
      <w:r>
        <w:rPr>
          <w:rFonts w:ascii="Arial" w:cs="Arial" w:eastAsia="Arial" w:hAnsi="Arial"/>
          <w:sz w:val="30"/>
          <w:szCs w:val="30"/>
          <w:b w:val="1"/>
          <w:bCs w:val="1"/>
          <w:color w:val="1B6F80"/>
          <w:vertAlign w:val="superscript"/>
        </w:rPr>
        <w:t>(1)</w:t>
      </w:r>
    </w:p>
    <w:p>
      <w:pPr>
        <w:spacing w:after="0" w:line="6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Compensation Committee has reviewed and discussed the Executive Compensation discussion with management. Based on such review and discussion, our Compensation Committee recommended to our Board that the Executive Compensation discussion be incorporated by reference into our Annual Report, and included in this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of the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Mahvash Yazdi, Chair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Jeffrey A. Altman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Leslie B. Daniels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William 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5296535</wp:posOffset>
            </wp:positionV>
            <wp:extent cx="29489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100" w:hanging="329"/>
        <w:spacing w:after="0" w:line="296" w:lineRule="auto"/>
        <w:tabs>
          <w:tab w:leader="none" w:pos="328" w:val="left"/>
        </w:tabs>
        <w:numPr>
          <w:ilvl w:val="0"/>
          <w:numId w:val="45"/>
        </w:numPr>
        <w:rPr>
          <w:rFonts w:ascii="Arial" w:cs="Arial" w:eastAsia="Arial" w:hAnsi="Arial"/>
          <w:sz w:val="14"/>
          <w:szCs w:val="14"/>
          <w:b w:val="1"/>
          <w:bCs w:val="1"/>
          <w:color w:val="181818"/>
        </w:rPr>
      </w:pPr>
      <w:r>
        <w:rPr>
          <w:rFonts w:ascii="Arial" w:cs="Arial" w:eastAsia="Arial" w:hAnsi="Arial"/>
          <w:sz w:val="14"/>
          <w:szCs w:val="14"/>
          <w:color w:val="auto"/>
        </w:rPr>
        <w:t>The material in this Compensation Committee report is not “soliciting material,” is not deemed “filed” with the SEC and is not to be incorporated by reference in any filing of Anterix Inc. under the Securities Act of 1933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444500</wp:posOffset>
            </wp:positionV>
            <wp:extent cx="71577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type w:val="continuous"/>
        </w:sectPr>
      </w:pPr>
    </w:p>
    <w:bookmarkStart w:id="45" w:name="page46"/>
    <w:bookmarkEnd w:id="45"/>
    <w:p>
      <w:pPr>
        <w:ind w:left="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1B6F80"/>
        </w:rPr>
        <w:t>Summary Compensation Table</w:t>
      </w:r>
    </w:p>
    <w:p>
      <w:pPr>
        <w:spacing w:after="0" w:line="125" w:lineRule="exact"/>
        <w:rPr>
          <w:sz w:val="20"/>
          <w:szCs w:val="20"/>
          <w:color w:val="auto"/>
        </w:rPr>
      </w:pPr>
    </w:p>
    <w:p>
      <w:pPr>
        <w:jc w:val="both"/>
        <w:ind w:left="7"/>
        <w:spacing w:after="0" w:line="320" w:lineRule="auto"/>
        <w:rPr>
          <w:sz w:val="20"/>
          <w:szCs w:val="20"/>
          <w:color w:val="auto"/>
        </w:rPr>
      </w:pPr>
      <w:r>
        <w:rPr>
          <w:rFonts w:ascii="Arial" w:cs="Arial" w:eastAsia="Arial" w:hAnsi="Arial"/>
          <w:sz w:val="16"/>
          <w:szCs w:val="16"/>
          <w:i w:val="1"/>
          <w:iCs w:val="1"/>
          <w:color w:val="auto"/>
        </w:rPr>
        <w:t>The following table summarizes the compensation awarded to, earned by, or paid for services rendered in all capacities by our NEOs during Fiscal 2026 and Fiscal 2025. The compensation described in this table does not include medical, group life insurance, or other benefits generally available to all our salaried employees.</w:t>
      </w:r>
    </w:p>
    <w:p>
      <w:pPr>
        <w:spacing w:after="0" w:line="70" w:lineRule="exact"/>
        <w:rPr>
          <w:sz w:val="20"/>
          <w:szCs w:val="20"/>
          <w:color w:val="auto"/>
        </w:rPr>
      </w:pPr>
    </w:p>
    <w:tbl>
      <w:tblPr>
        <w:tblLayout w:type="fixed"/>
        <w:tblInd w:w="17" w:type="dxa"/>
        <w:tblCellMar>
          <w:top w:w="0" w:type="dxa"/>
          <w:left w:w="0" w:type="dxa"/>
          <w:bottom w:w="0" w:type="dxa"/>
          <w:right w:w="0" w:type="dxa"/>
        </w:tblCellMar>
      </w:tblPr>
      <w:tr>
        <w:trPr>
          <w:trHeight w:val="180"/>
        </w:trPr>
        <w:tc>
          <w:tcPr>
            <w:tcW w:w="1980" w:type="dxa"/>
            <w:vAlign w:val="bottom"/>
            <w:tcBorders>
              <w:top w:val="single" w:sz="8" w:color="181818"/>
              <w:left w:val="single" w:sz="8" w:color="181818"/>
            </w:tcBorders>
            <w:shd w:val="clear" w:color="auto" w:fill="1B6F80"/>
          </w:tcPr>
          <w:p>
            <w:pPr>
              <w:spacing w:after="0"/>
              <w:rPr>
                <w:sz w:val="15"/>
                <w:szCs w:val="15"/>
                <w:color w:val="auto"/>
              </w:rPr>
            </w:pPr>
          </w:p>
        </w:tc>
        <w:tc>
          <w:tcPr>
            <w:tcW w:w="640" w:type="dxa"/>
            <w:vAlign w:val="bottom"/>
            <w:tcBorders>
              <w:top w:val="single" w:sz="8" w:color="181818"/>
            </w:tcBorders>
            <w:shd w:val="clear" w:color="auto" w:fill="1B6F80"/>
          </w:tcPr>
          <w:p>
            <w:pPr>
              <w:spacing w:after="0"/>
              <w:rPr>
                <w:sz w:val="15"/>
                <w:szCs w:val="15"/>
                <w:color w:val="auto"/>
              </w:rPr>
            </w:pPr>
          </w:p>
        </w:tc>
        <w:tc>
          <w:tcPr>
            <w:tcW w:w="900" w:type="dxa"/>
            <w:vAlign w:val="bottom"/>
            <w:tcBorders>
              <w:top w:val="single" w:sz="8" w:color="181818"/>
            </w:tcBorders>
            <w:shd w:val="clear" w:color="auto" w:fill="1B6F80"/>
          </w:tcPr>
          <w:p>
            <w:pPr>
              <w:spacing w:after="0"/>
              <w:rPr>
                <w:sz w:val="15"/>
                <w:szCs w:val="15"/>
                <w:color w:val="auto"/>
              </w:rPr>
            </w:pPr>
          </w:p>
        </w:tc>
        <w:tc>
          <w:tcPr>
            <w:tcW w:w="720" w:type="dxa"/>
            <w:vAlign w:val="bottom"/>
            <w:tcBorders>
              <w:top w:val="single" w:sz="8" w:color="181818"/>
            </w:tcBorders>
            <w:shd w:val="clear" w:color="auto" w:fill="1B6F80"/>
          </w:tcPr>
          <w:p>
            <w:pPr>
              <w:spacing w:after="0"/>
              <w:rPr>
                <w:sz w:val="15"/>
                <w:szCs w:val="15"/>
                <w:color w:val="auto"/>
              </w:rPr>
            </w:pPr>
          </w:p>
        </w:tc>
        <w:tc>
          <w:tcPr>
            <w:tcW w:w="340" w:type="dxa"/>
            <w:vAlign w:val="bottom"/>
            <w:tcBorders>
              <w:top w:val="single" w:sz="8" w:color="181818"/>
            </w:tcBorders>
            <w:shd w:val="clear" w:color="auto" w:fill="1B6F80"/>
          </w:tcPr>
          <w:p>
            <w:pPr>
              <w:spacing w:after="0"/>
              <w:rPr>
                <w:sz w:val="15"/>
                <w:szCs w:val="15"/>
                <w:color w:val="auto"/>
              </w:rPr>
            </w:pPr>
          </w:p>
        </w:tc>
        <w:tc>
          <w:tcPr>
            <w:tcW w:w="900" w:type="dxa"/>
            <w:vAlign w:val="bottom"/>
            <w:tcBorders>
              <w:top w:val="single" w:sz="8" w:color="181818"/>
            </w:tcBorders>
            <w:shd w:val="clear" w:color="auto" w:fill="1B6F80"/>
          </w:tcPr>
          <w:p>
            <w:pPr>
              <w:spacing w:after="0"/>
              <w:rPr>
                <w:sz w:val="15"/>
                <w:szCs w:val="15"/>
                <w:color w:val="auto"/>
              </w:rPr>
            </w:pPr>
          </w:p>
        </w:tc>
        <w:tc>
          <w:tcPr>
            <w:tcW w:w="380" w:type="dxa"/>
            <w:vAlign w:val="bottom"/>
            <w:tcBorders>
              <w:top w:val="single" w:sz="8" w:color="181818"/>
            </w:tcBorders>
            <w:shd w:val="clear" w:color="auto" w:fill="1B6F80"/>
          </w:tcPr>
          <w:p>
            <w:pPr>
              <w:spacing w:after="0"/>
              <w:rPr>
                <w:sz w:val="15"/>
                <w:szCs w:val="15"/>
                <w:color w:val="auto"/>
              </w:rPr>
            </w:pPr>
          </w:p>
        </w:tc>
        <w:tc>
          <w:tcPr>
            <w:tcW w:w="920" w:type="dxa"/>
            <w:vAlign w:val="bottom"/>
            <w:tcBorders>
              <w:top w:val="single" w:sz="8" w:color="181818"/>
            </w:tcBorders>
            <w:shd w:val="clear" w:color="auto" w:fill="1B6F80"/>
          </w:tcPr>
          <w:p>
            <w:pPr>
              <w:spacing w:after="0"/>
              <w:rPr>
                <w:sz w:val="15"/>
                <w:szCs w:val="15"/>
                <w:color w:val="auto"/>
              </w:rPr>
            </w:pPr>
          </w:p>
        </w:tc>
        <w:tc>
          <w:tcPr>
            <w:tcW w:w="420" w:type="dxa"/>
            <w:vAlign w:val="bottom"/>
            <w:tcBorders>
              <w:top w:val="single" w:sz="8" w:color="181818"/>
            </w:tcBorders>
            <w:shd w:val="clear" w:color="auto" w:fill="1B6F80"/>
          </w:tcPr>
          <w:p>
            <w:pPr>
              <w:spacing w:after="0"/>
              <w:rPr>
                <w:sz w:val="15"/>
                <w:szCs w:val="15"/>
                <w:color w:val="auto"/>
              </w:rPr>
            </w:pPr>
          </w:p>
        </w:tc>
        <w:tc>
          <w:tcPr>
            <w:tcW w:w="1460" w:type="dxa"/>
            <w:vAlign w:val="bottom"/>
            <w:tcBorders>
              <w:top w:val="single" w:sz="8" w:color="181818"/>
            </w:tcBorders>
            <w:shd w:val="clear" w:color="auto" w:fill="1B6F80"/>
          </w:tcPr>
          <w:p>
            <w:pPr>
              <w:jc w:val="right"/>
              <w:ind w:right="133"/>
              <w:spacing w:after="0"/>
              <w:rPr>
                <w:sz w:val="20"/>
                <w:szCs w:val="20"/>
                <w:color w:val="auto"/>
              </w:rPr>
            </w:pPr>
            <w:r>
              <w:rPr>
                <w:rFonts w:ascii="Arial" w:cs="Arial" w:eastAsia="Arial" w:hAnsi="Arial"/>
                <w:sz w:val="14"/>
                <w:szCs w:val="14"/>
                <w:b w:val="1"/>
                <w:bCs w:val="1"/>
                <w:color w:val="FFFFFF"/>
              </w:rPr>
              <w:t>Non-Equity</w:t>
            </w:r>
          </w:p>
        </w:tc>
        <w:tc>
          <w:tcPr>
            <w:tcW w:w="1200" w:type="dxa"/>
            <w:vAlign w:val="bottom"/>
            <w:tcBorders>
              <w:top w:val="single" w:sz="8" w:color="181818"/>
            </w:tcBorders>
            <w:shd w:val="clear" w:color="auto" w:fill="1B6F80"/>
          </w:tcPr>
          <w:p>
            <w:pPr>
              <w:spacing w:after="0"/>
              <w:rPr>
                <w:sz w:val="15"/>
                <w:szCs w:val="15"/>
                <w:color w:val="auto"/>
              </w:rPr>
            </w:pPr>
          </w:p>
        </w:tc>
        <w:tc>
          <w:tcPr>
            <w:tcW w:w="360" w:type="dxa"/>
            <w:vAlign w:val="bottom"/>
            <w:tcBorders>
              <w:top w:val="single" w:sz="8" w:color="181818"/>
            </w:tcBorders>
            <w:shd w:val="clear" w:color="auto" w:fill="1B6F80"/>
          </w:tcPr>
          <w:p>
            <w:pPr>
              <w:spacing w:after="0"/>
              <w:rPr>
                <w:sz w:val="15"/>
                <w:szCs w:val="15"/>
                <w:color w:val="auto"/>
              </w:rPr>
            </w:pPr>
          </w:p>
        </w:tc>
        <w:tc>
          <w:tcPr>
            <w:tcW w:w="1060" w:type="dxa"/>
            <w:vAlign w:val="bottom"/>
            <w:tcBorders>
              <w:top w:val="single" w:sz="8" w:color="181818"/>
              <w:right w:val="single" w:sz="8" w:color="181818"/>
            </w:tcBorders>
            <w:shd w:val="clear" w:color="auto" w:fill="1B6F80"/>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80" w:type="dxa"/>
            <w:vAlign w:val="bottom"/>
            <w:tcBorders>
              <w:left w:val="single" w:sz="8" w:color="181818"/>
            </w:tcBorders>
            <w:shd w:val="clear" w:color="auto" w:fill="1B6F80"/>
          </w:tcPr>
          <w:p>
            <w:pPr>
              <w:spacing w:after="0"/>
              <w:rPr>
                <w:sz w:val="15"/>
                <w:szCs w:val="15"/>
                <w:color w:val="auto"/>
              </w:rPr>
            </w:pPr>
          </w:p>
        </w:tc>
        <w:tc>
          <w:tcPr>
            <w:tcW w:w="640" w:type="dxa"/>
            <w:vAlign w:val="bottom"/>
            <w:shd w:val="clear" w:color="auto" w:fill="1B6F80"/>
          </w:tcPr>
          <w:p>
            <w:pPr>
              <w:spacing w:after="0"/>
              <w:rPr>
                <w:sz w:val="15"/>
                <w:szCs w:val="15"/>
                <w:color w:val="auto"/>
              </w:rPr>
            </w:pPr>
          </w:p>
        </w:tc>
        <w:tc>
          <w:tcPr>
            <w:tcW w:w="900" w:type="dxa"/>
            <w:vAlign w:val="bottom"/>
            <w:shd w:val="clear" w:color="auto" w:fill="1B6F80"/>
          </w:tcPr>
          <w:p>
            <w:pPr>
              <w:spacing w:after="0"/>
              <w:rPr>
                <w:sz w:val="15"/>
                <w:szCs w:val="15"/>
                <w:color w:val="auto"/>
              </w:rPr>
            </w:pPr>
          </w:p>
        </w:tc>
        <w:tc>
          <w:tcPr>
            <w:tcW w:w="720" w:type="dxa"/>
            <w:vAlign w:val="bottom"/>
            <w:shd w:val="clear" w:color="auto" w:fill="1B6F80"/>
          </w:tcPr>
          <w:p>
            <w:pPr>
              <w:spacing w:after="0"/>
              <w:rPr>
                <w:sz w:val="15"/>
                <w:szCs w:val="15"/>
                <w:color w:val="auto"/>
              </w:rPr>
            </w:pPr>
          </w:p>
        </w:tc>
        <w:tc>
          <w:tcPr>
            <w:tcW w:w="340" w:type="dxa"/>
            <w:vAlign w:val="bottom"/>
            <w:shd w:val="clear" w:color="auto" w:fill="1B6F80"/>
          </w:tcPr>
          <w:p>
            <w:pPr>
              <w:spacing w:after="0"/>
              <w:rPr>
                <w:sz w:val="15"/>
                <w:szCs w:val="15"/>
                <w:color w:val="auto"/>
              </w:rPr>
            </w:pPr>
          </w:p>
        </w:tc>
        <w:tc>
          <w:tcPr>
            <w:tcW w:w="900" w:type="dxa"/>
            <w:vAlign w:val="bottom"/>
            <w:shd w:val="clear" w:color="auto" w:fill="1B6F80"/>
          </w:tcPr>
          <w:p>
            <w:pPr>
              <w:jc w:val="right"/>
              <w:spacing w:after="0"/>
              <w:rPr>
                <w:sz w:val="20"/>
                <w:szCs w:val="20"/>
                <w:color w:val="auto"/>
              </w:rPr>
            </w:pPr>
            <w:r>
              <w:rPr>
                <w:rFonts w:ascii="Arial" w:cs="Arial" w:eastAsia="Arial" w:hAnsi="Arial"/>
                <w:sz w:val="14"/>
                <w:szCs w:val="14"/>
                <w:b w:val="1"/>
                <w:bCs w:val="1"/>
                <w:color w:val="FFFFFF"/>
              </w:rPr>
              <w:t>Stock</w:t>
            </w:r>
          </w:p>
        </w:tc>
        <w:tc>
          <w:tcPr>
            <w:tcW w:w="380" w:type="dxa"/>
            <w:vAlign w:val="bottom"/>
            <w:shd w:val="clear" w:color="auto" w:fill="1B6F80"/>
          </w:tcPr>
          <w:p>
            <w:pPr>
              <w:spacing w:after="0"/>
              <w:rPr>
                <w:sz w:val="15"/>
                <w:szCs w:val="15"/>
                <w:color w:val="auto"/>
              </w:rPr>
            </w:pPr>
          </w:p>
        </w:tc>
        <w:tc>
          <w:tcPr>
            <w:tcW w:w="920" w:type="dxa"/>
            <w:vAlign w:val="bottom"/>
            <w:shd w:val="clear" w:color="auto" w:fill="1B6F80"/>
          </w:tcPr>
          <w:p>
            <w:pPr>
              <w:jc w:val="right"/>
              <w:spacing w:after="0"/>
              <w:rPr>
                <w:sz w:val="20"/>
                <w:szCs w:val="20"/>
                <w:color w:val="auto"/>
              </w:rPr>
            </w:pPr>
            <w:r>
              <w:rPr>
                <w:rFonts w:ascii="Arial" w:cs="Arial" w:eastAsia="Arial" w:hAnsi="Arial"/>
                <w:sz w:val="14"/>
                <w:szCs w:val="14"/>
                <w:b w:val="1"/>
                <w:bCs w:val="1"/>
                <w:color w:val="FFFFFF"/>
              </w:rPr>
              <w:t>Option</w:t>
            </w:r>
          </w:p>
        </w:tc>
        <w:tc>
          <w:tcPr>
            <w:tcW w:w="420" w:type="dxa"/>
            <w:vAlign w:val="bottom"/>
            <w:shd w:val="clear" w:color="auto" w:fill="1B6F80"/>
          </w:tcPr>
          <w:p>
            <w:pPr>
              <w:spacing w:after="0"/>
              <w:rPr>
                <w:sz w:val="15"/>
                <w:szCs w:val="15"/>
                <w:color w:val="auto"/>
              </w:rPr>
            </w:pPr>
          </w:p>
        </w:tc>
        <w:tc>
          <w:tcPr>
            <w:tcW w:w="1460" w:type="dxa"/>
            <w:vAlign w:val="bottom"/>
            <w:shd w:val="clear" w:color="auto" w:fill="1B6F80"/>
          </w:tcPr>
          <w:p>
            <w:pPr>
              <w:jc w:val="right"/>
              <w:ind w:right="133"/>
              <w:spacing w:after="0"/>
              <w:rPr>
                <w:sz w:val="20"/>
                <w:szCs w:val="20"/>
                <w:color w:val="auto"/>
              </w:rPr>
            </w:pPr>
            <w:r>
              <w:rPr>
                <w:rFonts w:ascii="Arial" w:cs="Arial" w:eastAsia="Arial" w:hAnsi="Arial"/>
                <w:sz w:val="14"/>
                <w:szCs w:val="14"/>
                <w:b w:val="1"/>
                <w:bCs w:val="1"/>
                <w:color w:val="FFFFFF"/>
              </w:rPr>
              <w:t>Incentive Plan</w:t>
            </w:r>
          </w:p>
        </w:tc>
        <w:tc>
          <w:tcPr>
            <w:tcW w:w="1200" w:type="dxa"/>
            <w:vAlign w:val="bottom"/>
            <w:shd w:val="clear" w:color="auto" w:fill="1B6F80"/>
          </w:tcPr>
          <w:p>
            <w:pPr>
              <w:jc w:val="right"/>
              <w:spacing w:after="0"/>
              <w:rPr>
                <w:sz w:val="20"/>
                <w:szCs w:val="20"/>
                <w:color w:val="auto"/>
              </w:rPr>
            </w:pPr>
            <w:r>
              <w:rPr>
                <w:rFonts w:ascii="Arial" w:cs="Arial" w:eastAsia="Arial" w:hAnsi="Arial"/>
                <w:sz w:val="14"/>
                <w:szCs w:val="14"/>
                <w:b w:val="1"/>
                <w:bCs w:val="1"/>
                <w:color w:val="FFFFFF"/>
              </w:rPr>
              <w:t>All Other</w:t>
            </w:r>
          </w:p>
        </w:tc>
        <w:tc>
          <w:tcPr>
            <w:tcW w:w="360" w:type="dxa"/>
            <w:vAlign w:val="bottom"/>
            <w:shd w:val="clear" w:color="auto" w:fill="1B6F80"/>
          </w:tcPr>
          <w:p>
            <w:pPr>
              <w:spacing w:after="0"/>
              <w:rPr>
                <w:sz w:val="15"/>
                <w:szCs w:val="15"/>
                <w:color w:val="auto"/>
              </w:rPr>
            </w:pPr>
          </w:p>
        </w:tc>
        <w:tc>
          <w:tcPr>
            <w:tcW w:w="1060" w:type="dxa"/>
            <w:vAlign w:val="bottom"/>
            <w:tcBorders>
              <w:right w:val="single" w:sz="8" w:color="181818"/>
            </w:tcBorders>
            <w:shd w:val="clear" w:color="auto" w:fill="1B6F80"/>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980" w:type="dxa"/>
            <w:vAlign w:val="bottom"/>
            <w:tcBorders>
              <w:left w:val="single" w:sz="8" w:color="181818"/>
            </w:tcBorders>
            <w:shd w:val="clear" w:color="auto" w:fill="1B6F80"/>
          </w:tcPr>
          <w:p>
            <w:pPr>
              <w:ind w:left="100"/>
              <w:spacing w:after="0" w:line="159" w:lineRule="exact"/>
              <w:rPr>
                <w:sz w:val="20"/>
                <w:szCs w:val="20"/>
                <w:color w:val="auto"/>
              </w:rPr>
            </w:pPr>
            <w:r>
              <w:rPr>
                <w:rFonts w:ascii="Arial" w:cs="Arial" w:eastAsia="Arial" w:hAnsi="Arial"/>
                <w:sz w:val="14"/>
                <w:szCs w:val="14"/>
                <w:b w:val="1"/>
                <w:bCs w:val="1"/>
                <w:color w:val="FFFFFF"/>
              </w:rPr>
              <w:t>Name and Principal</w:t>
            </w:r>
          </w:p>
        </w:tc>
        <w:tc>
          <w:tcPr>
            <w:tcW w:w="640" w:type="dxa"/>
            <w:vAlign w:val="bottom"/>
            <w:shd w:val="clear" w:color="auto" w:fill="1B6F80"/>
          </w:tcPr>
          <w:p>
            <w:pPr>
              <w:spacing w:after="0"/>
              <w:rPr>
                <w:sz w:val="13"/>
                <w:szCs w:val="13"/>
                <w:color w:val="auto"/>
              </w:rPr>
            </w:pPr>
          </w:p>
        </w:tc>
        <w:tc>
          <w:tcPr>
            <w:tcW w:w="900" w:type="dxa"/>
            <w:vAlign w:val="bottom"/>
            <w:shd w:val="clear" w:color="auto" w:fill="1B6F80"/>
          </w:tcPr>
          <w:p>
            <w:pPr>
              <w:jc w:val="right"/>
              <w:ind w:right="70"/>
              <w:spacing w:after="0" w:line="159" w:lineRule="exact"/>
              <w:rPr>
                <w:sz w:val="20"/>
                <w:szCs w:val="20"/>
                <w:color w:val="auto"/>
              </w:rPr>
            </w:pPr>
            <w:r>
              <w:rPr>
                <w:rFonts w:ascii="Arial" w:cs="Arial" w:eastAsia="Arial" w:hAnsi="Arial"/>
                <w:sz w:val="14"/>
                <w:szCs w:val="14"/>
                <w:b w:val="1"/>
                <w:bCs w:val="1"/>
                <w:color w:val="FFFFFF"/>
              </w:rPr>
              <w:t>Salary</w:t>
            </w:r>
          </w:p>
        </w:tc>
        <w:tc>
          <w:tcPr>
            <w:tcW w:w="720" w:type="dxa"/>
            <w:vAlign w:val="bottom"/>
            <w:shd w:val="clear" w:color="auto" w:fill="1B6F80"/>
          </w:tcPr>
          <w:p>
            <w:pPr>
              <w:jc w:val="right"/>
              <w:spacing w:after="0" w:line="159" w:lineRule="exact"/>
              <w:rPr>
                <w:sz w:val="20"/>
                <w:szCs w:val="20"/>
                <w:color w:val="auto"/>
              </w:rPr>
            </w:pPr>
            <w:r>
              <w:rPr>
                <w:rFonts w:ascii="Arial" w:cs="Arial" w:eastAsia="Arial" w:hAnsi="Arial"/>
                <w:sz w:val="14"/>
                <w:szCs w:val="14"/>
                <w:b w:val="1"/>
                <w:bCs w:val="1"/>
                <w:color w:val="FFFFFF"/>
              </w:rPr>
              <w:t>Bonus</w:t>
            </w:r>
          </w:p>
        </w:tc>
        <w:tc>
          <w:tcPr>
            <w:tcW w:w="340" w:type="dxa"/>
            <w:vAlign w:val="bottom"/>
            <w:shd w:val="clear" w:color="auto" w:fill="1B6F80"/>
          </w:tcPr>
          <w:p>
            <w:pPr>
              <w:spacing w:after="0"/>
              <w:rPr>
                <w:sz w:val="13"/>
                <w:szCs w:val="13"/>
                <w:color w:val="auto"/>
              </w:rPr>
            </w:pPr>
          </w:p>
        </w:tc>
        <w:tc>
          <w:tcPr>
            <w:tcW w:w="900" w:type="dxa"/>
            <w:vAlign w:val="bottom"/>
            <w:shd w:val="clear" w:color="auto" w:fill="1B6F80"/>
          </w:tcPr>
          <w:p>
            <w:pPr>
              <w:jc w:val="right"/>
              <w:spacing w:after="0" w:line="159" w:lineRule="exact"/>
              <w:rPr>
                <w:sz w:val="20"/>
                <w:szCs w:val="20"/>
                <w:color w:val="auto"/>
              </w:rPr>
            </w:pPr>
            <w:r>
              <w:rPr>
                <w:rFonts w:ascii="Arial" w:cs="Arial" w:eastAsia="Arial" w:hAnsi="Arial"/>
                <w:sz w:val="14"/>
                <w:szCs w:val="14"/>
                <w:b w:val="1"/>
                <w:bCs w:val="1"/>
                <w:color w:val="FFFFFF"/>
              </w:rPr>
              <w:t>Awards</w:t>
            </w:r>
          </w:p>
        </w:tc>
        <w:tc>
          <w:tcPr>
            <w:tcW w:w="380" w:type="dxa"/>
            <w:vAlign w:val="bottom"/>
            <w:shd w:val="clear" w:color="auto" w:fill="1B6F80"/>
          </w:tcPr>
          <w:p>
            <w:pPr>
              <w:spacing w:after="0"/>
              <w:rPr>
                <w:sz w:val="13"/>
                <w:szCs w:val="13"/>
                <w:color w:val="auto"/>
              </w:rPr>
            </w:pPr>
          </w:p>
        </w:tc>
        <w:tc>
          <w:tcPr>
            <w:tcW w:w="920" w:type="dxa"/>
            <w:vAlign w:val="bottom"/>
            <w:shd w:val="clear" w:color="auto" w:fill="1B6F80"/>
          </w:tcPr>
          <w:p>
            <w:pPr>
              <w:jc w:val="right"/>
              <w:spacing w:after="0" w:line="159" w:lineRule="exact"/>
              <w:rPr>
                <w:sz w:val="20"/>
                <w:szCs w:val="20"/>
                <w:color w:val="auto"/>
              </w:rPr>
            </w:pPr>
            <w:r>
              <w:rPr>
                <w:rFonts w:ascii="Arial" w:cs="Arial" w:eastAsia="Arial" w:hAnsi="Arial"/>
                <w:sz w:val="14"/>
                <w:szCs w:val="14"/>
                <w:b w:val="1"/>
                <w:bCs w:val="1"/>
                <w:color w:val="FFFFFF"/>
              </w:rPr>
              <w:t>Awards</w:t>
            </w:r>
          </w:p>
        </w:tc>
        <w:tc>
          <w:tcPr>
            <w:tcW w:w="420" w:type="dxa"/>
            <w:vAlign w:val="bottom"/>
            <w:shd w:val="clear" w:color="auto" w:fill="1B6F80"/>
          </w:tcPr>
          <w:p>
            <w:pPr>
              <w:spacing w:after="0"/>
              <w:rPr>
                <w:sz w:val="13"/>
                <w:szCs w:val="13"/>
                <w:color w:val="auto"/>
              </w:rPr>
            </w:pPr>
          </w:p>
        </w:tc>
        <w:tc>
          <w:tcPr>
            <w:tcW w:w="1460" w:type="dxa"/>
            <w:vAlign w:val="bottom"/>
            <w:shd w:val="clear" w:color="auto" w:fill="1B6F80"/>
          </w:tcPr>
          <w:p>
            <w:pPr>
              <w:jc w:val="right"/>
              <w:ind w:right="133"/>
              <w:spacing w:after="0" w:line="159" w:lineRule="exact"/>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1B6F80"/>
          </w:tcPr>
          <w:p>
            <w:pPr>
              <w:jc w:val="right"/>
              <w:spacing w:after="0" w:line="159" w:lineRule="exact"/>
              <w:rPr>
                <w:sz w:val="20"/>
                <w:szCs w:val="20"/>
                <w:color w:val="auto"/>
              </w:rPr>
            </w:pPr>
            <w:r>
              <w:rPr>
                <w:rFonts w:ascii="Arial" w:cs="Arial" w:eastAsia="Arial" w:hAnsi="Arial"/>
                <w:sz w:val="14"/>
                <w:szCs w:val="14"/>
                <w:b w:val="1"/>
                <w:bCs w:val="1"/>
                <w:color w:val="FFFFFF"/>
              </w:rPr>
              <w:t>Compensation</w:t>
            </w:r>
          </w:p>
        </w:tc>
        <w:tc>
          <w:tcPr>
            <w:tcW w:w="360" w:type="dxa"/>
            <w:vAlign w:val="bottom"/>
            <w:shd w:val="clear" w:color="auto" w:fill="1B6F80"/>
          </w:tcPr>
          <w:p>
            <w:pPr>
              <w:spacing w:after="0"/>
              <w:rPr>
                <w:sz w:val="13"/>
                <w:szCs w:val="13"/>
                <w:color w:val="auto"/>
              </w:rPr>
            </w:pPr>
          </w:p>
        </w:tc>
        <w:tc>
          <w:tcPr>
            <w:tcW w:w="1060" w:type="dxa"/>
            <w:vAlign w:val="bottom"/>
            <w:tcBorders>
              <w:right w:val="single" w:sz="8" w:color="181818"/>
            </w:tcBorders>
            <w:shd w:val="clear" w:color="auto" w:fill="1B6F80"/>
          </w:tcPr>
          <w:p>
            <w:pPr>
              <w:jc w:val="right"/>
              <w:ind w:right="70"/>
              <w:spacing w:after="0" w:line="15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9"/>
        </w:trPr>
        <w:tc>
          <w:tcPr>
            <w:tcW w:w="1980" w:type="dxa"/>
            <w:vAlign w:val="bottom"/>
            <w:tcBorders>
              <w:left w:val="single" w:sz="8" w:color="181818"/>
              <w:bottom w:val="single" w:sz="8" w:color="1B6F80"/>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Position</w:t>
            </w:r>
          </w:p>
        </w:tc>
        <w:tc>
          <w:tcPr>
            <w:tcW w:w="640" w:type="dxa"/>
            <w:vAlign w:val="bottom"/>
            <w:tcBorders>
              <w:bottom w:val="single" w:sz="8" w:color="1B6F80"/>
            </w:tcBorders>
            <w:shd w:val="clear" w:color="auto" w:fill="1B6F80"/>
          </w:tcPr>
          <w:p>
            <w:pPr>
              <w:ind w:left="140"/>
              <w:spacing w:after="0"/>
              <w:rPr>
                <w:sz w:val="20"/>
                <w:szCs w:val="20"/>
                <w:color w:val="auto"/>
              </w:rPr>
            </w:pPr>
            <w:r>
              <w:rPr>
                <w:rFonts w:ascii="Arial" w:cs="Arial" w:eastAsia="Arial" w:hAnsi="Arial"/>
                <w:sz w:val="14"/>
                <w:szCs w:val="14"/>
                <w:b w:val="1"/>
                <w:bCs w:val="1"/>
                <w:color w:val="FFFFFF"/>
              </w:rPr>
              <w:t>Year</w:t>
            </w:r>
          </w:p>
        </w:tc>
        <w:tc>
          <w:tcPr>
            <w:tcW w:w="900" w:type="dxa"/>
            <w:vAlign w:val="bottom"/>
            <w:tcBorders>
              <w:bottom w:val="single" w:sz="8" w:color="1B6F80"/>
            </w:tcBorders>
            <w:shd w:val="clear" w:color="auto" w:fill="1B6F80"/>
          </w:tcPr>
          <w:p>
            <w:pPr>
              <w:jc w:val="right"/>
              <w:ind w:right="70"/>
              <w:spacing w:after="0"/>
              <w:rPr>
                <w:sz w:val="20"/>
                <w:szCs w:val="20"/>
                <w:color w:val="auto"/>
              </w:rPr>
            </w:pPr>
            <w:r>
              <w:rPr>
                <w:rFonts w:ascii="Arial" w:cs="Arial" w:eastAsia="Arial" w:hAnsi="Arial"/>
                <w:sz w:val="14"/>
                <w:szCs w:val="14"/>
                <w:b w:val="1"/>
                <w:bCs w:val="1"/>
                <w:color w:val="FFFFFF"/>
              </w:rPr>
              <w:t>($)</w:t>
            </w:r>
          </w:p>
        </w:tc>
        <w:tc>
          <w:tcPr>
            <w:tcW w:w="720" w:type="dxa"/>
            <w:vAlign w:val="bottom"/>
            <w:tcBorders>
              <w:bottom w:val="single" w:sz="8" w:color="1B6F80"/>
            </w:tcBorders>
            <w:shd w:val="clear" w:color="auto" w:fill="1B6F80"/>
          </w:tcPr>
          <w:p>
            <w:pPr>
              <w:jc w:val="right"/>
              <w:spacing w:after="0" w:line="216"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8"/>
                <w:szCs w:val="8"/>
                <w:b w:val="1"/>
                <w:bCs w:val="1"/>
                <w:color w:val="FFFFFF"/>
              </w:rPr>
              <w:t>(1)</w:t>
            </w:r>
          </w:p>
        </w:tc>
        <w:tc>
          <w:tcPr>
            <w:tcW w:w="340" w:type="dxa"/>
            <w:vAlign w:val="bottom"/>
            <w:tcBorders>
              <w:bottom w:val="single" w:sz="8" w:color="1B6F80"/>
            </w:tcBorders>
            <w:shd w:val="clear" w:color="auto" w:fill="1B6F80"/>
          </w:tcPr>
          <w:p>
            <w:pPr>
              <w:spacing w:after="0"/>
              <w:rPr>
                <w:sz w:val="21"/>
                <w:szCs w:val="21"/>
                <w:color w:val="auto"/>
              </w:rPr>
            </w:pPr>
          </w:p>
        </w:tc>
        <w:tc>
          <w:tcPr>
            <w:tcW w:w="900" w:type="dxa"/>
            <w:vAlign w:val="bottom"/>
            <w:tcBorders>
              <w:bottom w:val="single" w:sz="8" w:color="1B6F80"/>
            </w:tcBorders>
            <w:shd w:val="clear" w:color="auto" w:fill="1B6F80"/>
          </w:tcPr>
          <w:p>
            <w:pPr>
              <w:jc w:val="right"/>
              <w:spacing w:after="0" w:line="216"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8"/>
                <w:szCs w:val="8"/>
                <w:b w:val="1"/>
                <w:bCs w:val="1"/>
                <w:color w:val="FFFFFF"/>
              </w:rPr>
              <w:t xml:space="preserve"> (2)</w:t>
            </w:r>
          </w:p>
        </w:tc>
        <w:tc>
          <w:tcPr>
            <w:tcW w:w="380" w:type="dxa"/>
            <w:vAlign w:val="bottom"/>
            <w:tcBorders>
              <w:bottom w:val="single" w:sz="8" w:color="1B6F80"/>
            </w:tcBorders>
            <w:shd w:val="clear" w:color="auto" w:fill="1B6F80"/>
          </w:tcPr>
          <w:p>
            <w:pPr>
              <w:spacing w:after="0"/>
              <w:rPr>
                <w:sz w:val="21"/>
                <w:szCs w:val="21"/>
                <w:color w:val="auto"/>
              </w:rPr>
            </w:pPr>
          </w:p>
        </w:tc>
        <w:tc>
          <w:tcPr>
            <w:tcW w:w="920" w:type="dxa"/>
            <w:vAlign w:val="bottom"/>
            <w:tcBorders>
              <w:bottom w:val="single" w:sz="8" w:color="1B6F80"/>
            </w:tcBorders>
            <w:shd w:val="clear" w:color="auto" w:fill="1B6F80"/>
          </w:tcPr>
          <w:p>
            <w:pPr>
              <w:jc w:val="right"/>
              <w:spacing w:after="0" w:line="216"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8"/>
                <w:szCs w:val="8"/>
                <w:b w:val="1"/>
                <w:bCs w:val="1"/>
                <w:color w:val="FFFFFF"/>
              </w:rPr>
              <w:t xml:space="preserve"> (2)</w:t>
            </w:r>
          </w:p>
        </w:tc>
        <w:tc>
          <w:tcPr>
            <w:tcW w:w="420" w:type="dxa"/>
            <w:vAlign w:val="bottom"/>
            <w:tcBorders>
              <w:bottom w:val="single" w:sz="8" w:color="1B6F80"/>
            </w:tcBorders>
            <w:shd w:val="clear" w:color="auto" w:fill="1B6F80"/>
          </w:tcPr>
          <w:p>
            <w:pPr>
              <w:spacing w:after="0"/>
              <w:rPr>
                <w:sz w:val="21"/>
                <w:szCs w:val="21"/>
                <w:color w:val="auto"/>
              </w:rPr>
            </w:pPr>
          </w:p>
        </w:tc>
        <w:tc>
          <w:tcPr>
            <w:tcW w:w="1460" w:type="dxa"/>
            <w:vAlign w:val="bottom"/>
            <w:tcBorders>
              <w:bottom w:val="single" w:sz="8" w:color="1B6F80"/>
            </w:tcBorders>
            <w:shd w:val="clear" w:color="auto" w:fill="1B6F80"/>
          </w:tcPr>
          <w:p>
            <w:pPr>
              <w:jc w:val="right"/>
              <w:ind w:right="133"/>
              <w:spacing w:after="0" w:line="216"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8"/>
                <w:szCs w:val="8"/>
                <w:b w:val="1"/>
                <w:bCs w:val="1"/>
                <w:color w:val="FFFFFF"/>
              </w:rPr>
              <w:t xml:space="preserve"> (1)</w:t>
            </w:r>
          </w:p>
        </w:tc>
        <w:tc>
          <w:tcPr>
            <w:tcW w:w="1200" w:type="dxa"/>
            <w:vAlign w:val="bottom"/>
            <w:tcBorders>
              <w:bottom w:val="single" w:sz="8" w:color="1B6F80"/>
            </w:tcBorders>
            <w:shd w:val="clear" w:color="auto" w:fill="1B6F80"/>
          </w:tcPr>
          <w:p>
            <w:pPr>
              <w:jc w:val="right"/>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1B6F80"/>
            </w:tcBorders>
            <w:shd w:val="clear" w:color="auto" w:fill="1B6F80"/>
          </w:tcPr>
          <w:p>
            <w:pPr>
              <w:spacing w:after="0"/>
              <w:rPr>
                <w:sz w:val="21"/>
                <w:szCs w:val="21"/>
                <w:color w:val="auto"/>
              </w:rPr>
            </w:pPr>
          </w:p>
        </w:tc>
        <w:tc>
          <w:tcPr>
            <w:tcW w:w="1060" w:type="dxa"/>
            <w:vAlign w:val="bottom"/>
            <w:tcBorders>
              <w:bottom w:val="single" w:sz="8" w:color="1B6F80"/>
              <w:right w:val="single" w:sz="8" w:color="181818"/>
            </w:tcBorders>
            <w:shd w:val="clear" w:color="auto" w:fill="1B6F80"/>
          </w:tcPr>
          <w:p>
            <w:pPr>
              <w:jc w:val="right"/>
              <w:ind w:right="7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74"/>
        </w:trPr>
        <w:tc>
          <w:tcPr>
            <w:tcW w:w="198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b w:val="1"/>
                <w:bCs w:val="1"/>
                <w:color w:val="181818"/>
              </w:rPr>
              <w:t>Scott A. Lang</w:t>
            </w:r>
          </w:p>
        </w:tc>
        <w:tc>
          <w:tcPr>
            <w:tcW w:w="640" w:type="dxa"/>
            <w:vAlign w:val="bottom"/>
          </w:tcPr>
          <w:p>
            <w:pPr>
              <w:ind w:left="140"/>
              <w:spacing w:after="0"/>
              <w:rPr>
                <w:sz w:val="20"/>
                <w:szCs w:val="20"/>
                <w:color w:val="auto"/>
              </w:rPr>
            </w:pPr>
            <w:r>
              <w:rPr>
                <w:rFonts w:ascii="Arial" w:cs="Arial" w:eastAsia="Arial" w:hAnsi="Arial"/>
                <w:sz w:val="14"/>
                <w:szCs w:val="14"/>
                <w:color w:val="auto"/>
              </w:rPr>
              <w:t>2026</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561,475</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2,999,987</w:t>
            </w:r>
          </w:p>
        </w:tc>
        <w:tc>
          <w:tcPr>
            <w:tcW w:w="420" w:type="dxa"/>
            <w:vAlign w:val="bottom"/>
          </w:tcPr>
          <w:p>
            <w:pPr>
              <w:spacing w:after="0"/>
              <w:rPr>
                <w:sz w:val="23"/>
                <w:szCs w:val="23"/>
                <w:color w:val="auto"/>
              </w:rPr>
            </w:pPr>
          </w:p>
        </w:tc>
        <w:tc>
          <w:tcPr>
            <w:tcW w:w="1460" w:type="dxa"/>
            <w:vAlign w:val="bottom"/>
          </w:tcPr>
          <w:p>
            <w:pPr>
              <w:jc w:val="right"/>
              <w:ind w:right="193"/>
              <w:spacing w:after="0"/>
              <w:rPr>
                <w:sz w:val="20"/>
                <w:szCs w:val="20"/>
                <w:color w:val="auto"/>
              </w:rPr>
            </w:pPr>
            <w:r>
              <w:rPr>
                <w:rFonts w:ascii="Arial" w:cs="Arial" w:eastAsia="Arial" w:hAnsi="Arial"/>
                <w:sz w:val="14"/>
                <w:szCs w:val="14"/>
                <w:color w:val="auto"/>
              </w:rPr>
              <w:t>236,912</w:t>
            </w:r>
          </w:p>
        </w:tc>
        <w:tc>
          <w:tcPr>
            <w:tcW w:w="1200" w:type="dxa"/>
            <w:vAlign w:val="bottom"/>
          </w:tcPr>
          <w:p>
            <w:pPr>
              <w:jc w:val="right"/>
              <w:spacing w:after="0"/>
              <w:rPr>
                <w:sz w:val="20"/>
                <w:szCs w:val="20"/>
                <w:color w:val="auto"/>
              </w:rPr>
            </w:pPr>
            <w:r>
              <w:rPr>
                <w:rFonts w:ascii="Arial" w:cs="Arial" w:eastAsia="Arial" w:hAnsi="Arial"/>
                <w:sz w:val="14"/>
                <w:szCs w:val="14"/>
                <w:color w:val="auto"/>
              </w:rPr>
              <w:t>10,500</w:t>
            </w:r>
          </w:p>
        </w:tc>
        <w:tc>
          <w:tcPr>
            <w:tcW w:w="360" w:type="dxa"/>
            <w:vAlign w:val="bottom"/>
          </w:tcPr>
          <w:p>
            <w:pPr>
              <w:jc w:val="right"/>
              <w:ind w:right="195"/>
              <w:spacing w:after="0"/>
              <w:rPr>
                <w:sz w:val="20"/>
                <w:szCs w:val="20"/>
                <w:color w:val="auto"/>
              </w:rPr>
            </w:pPr>
            <w:r>
              <w:rPr>
                <w:rFonts w:ascii="Arial" w:cs="Arial" w:eastAsia="Arial" w:hAnsi="Arial"/>
                <w:sz w:val="9"/>
                <w:szCs w:val="9"/>
                <w:color w:val="auto"/>
                <w:w w:val="90"/>
              </w:rPr>
              <w:t>(3)</w:t>
            </w:r>
          </w:p>
        </w:tc>
        <w:tc>
          <w:tcPr>
            <w:tcW w:w="1060" w:type="dxa"/>
            <w:vAlign w:val="bottom"/>
            <w:tcBorders>
              <w:right w:val="single" w:sz="8" w:color="181818"/>
            </w:tcBorders>
          </w:tcPr>
          <w:p>
            <w:pPr>
              <w:jc w:val="right"/>
              <w:ind w:right="110"/>
              <w:spacing w:after="0"/>
              <w:rPr>
                <w:sz w:val="20"/>
                <w:szCs w:val="20"/>
                <w:color w:val="auto"/>
              </w:rPr>
            </w:pPr>
            <w:r>
              <w:rPr>
                <w:rFonts w:ascii="Arial" w:cs="Arial" w:eastAsia="Arial" w:hAnsi="Arial"/>
                <w:sz w:val="14"/>
                <w:szCs w:val="14"/>
                <w:color w:val="auto"/>
              </w:rPr>
              <w:t>3,808,874</w:t>
            </w:r>
          </w:p>
        </w:tc>
        <w:tc>
          <w:tcPr>
            <w:tcW w:w="0" w:type="dxa"/>
            <w:vAlign w:val="bottom"/>
          </w:tcPr>
          <w:p>
            <w:pPr>
              <w:spacing w:after="0"/>
              <w:rPr>
                <w:sz w:val="1"/>
                <w:szCs w:val="1"/>
                <w:color w:val="auto"/>
              </w:rPr>
            </w:pPr>
          </w:p>
        </w:tc>
      </w:tr>
      <w:tr>
        <w:trPr>
          <w:trHeight w:val="98"/>
        </w:trPr>
        <w:tc>
          <w:tcPr>
            <w:tcW w:w="1980" w:type="dxa"/>
            <w:vAlign w:val="bottom"/>
            <w:tcBorders>
              <w:left w:val="single" w:sz="8" w:color="181818"/>
            </w:tcBorders>
            <w:vMerge w:val="continue"/>
          </w:tcPr>
          <w:p>
            <w:pPr>
              <w:spacing w:after="0"/>
              <w:rPr>
                <w:sz w:val="8"/>
                <w:szCs w:val="8"/>
                <w:color w:val="auto"/>
              </w:rPr>
            </w:pPr>
          </w:p>
        </w:tc>
        <w:tc>
          <w:tcPr>
            <w:tcW w:w="640" w:type="dxa"/>
            <w:vAlign w:val="bottom"/>
            <w:tcBorders>
              <w:bottom w:val="single" w:sz="8" w:color="181818"/>
            </w:tcBorders>
          </w:tcPr>
          <w:p>
            <w:pPr>
              <w:spacing w:after="0"/>
              <w:rPr>
                <w:sz w:val="8"/>
                <w:szCs w:val="8"/>
                <w:color w:val="auto"/>
              </w:rPr>
            </w:pPr>
          </w:p>
        </w:tc>
        <w:tc>
          <w:tcPr>
            <w:tcW w:w="900" w:type="dxa"/>
            <w:vAlign w:val="bottom"/>
            <w:tcBorders>
              <w:bottom w:val="single" w:sz="8" w:color="181818"/>
            </w:tcBorders>
          </w:tcPr>
          <w:p>
            <w:pPr>
              <w:spacing w:after="0"/>
              <w:rPr>
                <w:sz w:val="8"/>
                <w:szCs w:val="8"/>
                <w:color w:val="auto"/>
              </w:rPr>
            </w:pPr>
          </w:p>
        </w:tc>
        <w:tc>
          <w:tcPr>
            <w:tcW w:w="720" w:type="dxa"/>
            <w:vAlign w:val="bottom"/>
            <w:tcBorders>
              <w:bottom w:val="single" w:sz="8" w:color="181818"/>
            </w:tcBorders>
          </w:tcPr>
          <w:p>
            <w:pPr>
              <w:spacing w:after="0"/>
              <w:rPr>
                <w:sz w:val="8"/>
                <w:szCs w:val="8"/>
                <w:color w:val="auto"/>
              </w:rPr>
            </w:pPr>
          </w:p>
        </w:tc>
        <w:tc>
          <w:tcPr>
            <w:tcW w:w="340" w:type="dxa"/>
            <w:vAlign w:val="bottom"/>
            <w:tcBorders>
              <w:bottom w:val="single" w:sz="8" w:color="181818"/>
            </w:tcBorders>
          </w:tcPr>
          <w:p>
            <w:pPr>
              <w:spacing w:after="0"/>
              <w:rPr>
                <w:sz w:val="8"/>
                <w:szCs w:val="8"/>
                <w:color w:val="auto"/>
              </w:rPr>
            </w:pPr>
          </w:p>
        </w:tc>
        <w:tc>
          <w:tcPr>
            <w:tcW w:w="900" w:type="dxa"/>
            <w:vAlign w:val="bottom"/>
            <w:tcBorders>
              <w:bottom w:val="single" w:sz="8" w:color="181818"/>
            </w:tcBorders>
          </w:tcPr>
          <w:p>
            <w:pPr>
              <w:spacing w:after="0"/>
              <w:rPr>
                <w:sz w:val="8"/>
                <w:szCs w:val="8"/>
                <w:color w:val="auto"/>
              </w:rPr>
            </w:pPr>
          </w:p>
        </w:tc>
        <w:tc>
          <w:tcPr>
            <w:tcW w:w="380" w:type="dxa"/>
            <w:vAlign w:val="bottom"/>
            <w:tcBorders>
              <w:bottom w:val="single" w:sz="8" w:color="181818"/>
            </w:tcBorders>
          </w:tcPr>
          <w:p>
            <w:pPr>
              <w:spacing w:after="0"/>
              <w:rPr>
                <w:sz w:val="8"/>
                <w:szCs w:val="8"/>
                <w:color w:val="auto"/>
              </w:rPr>
            </w:pPr>
          </w:p>
        </w:tc>
        <w:tc>
          <w:tcPr>
            <w:tcW w:w="920" w:type="dxa"/>
            <w:vAlign w:val="bottom"/>
            <w:tcBorders>
              <w:bottom w:val="single" w:sz="8" w:color="181818"/>
            </w:tcBorders>
          </w:tcPr>
          <w:p>
            <w:pPr>
              <w:spacing w:after="0"/>
              <w:rPr>
                <w:sz w:val="8"/>
                <w:szCs w:val="8"/>
                <w:color w:val="auto"/>
              </w:rPr>
            </w:pPr>
          </w:p>
        </w:tc>
        <w:tc>
          <w:tcPr>
            <w:tcW w:w="420" w:type="dxa"/>
            <w:vAlign w:val="bottom"/>
            <w:tcBorders>
              <w:bottom w:val="single" w:sz="8" w:color="181818"/>
            </w:tcBorders>
          </w:tcPr>
          <w:p>
            <w:pPr>
              <w:spacing w:after="0"/>
              <w:rPr>
                <w:sz w:val="8"/>
                <w:szCs w:val="8"/>
                <w:color w:val="auto"/>
              </w:rPr>
            </w:pPr>
          </w:p>
        </w:tc>
        <w:tc>
          <w:tcPr>
            <w:tcW w:w="1460" w:type="dxa"/>
            <w:vAlign w:val="bottom"/>
            <w:tcBorders>
              <w:bottom w:val="single" w:sz="8" w:color="181818"/>
            </w:tcBorders>
          </w:tcPr>
          <w:p>
            <w:pPr>
              <w:spacing w:after="0"/>
              <w:rPr>
                <w:sz w:val="8"/>
                <w:szCs w:val="8"/>
                <w:color w:val="auto"/>
              </w:rPr>
            </w:pPr>
          </w:p>
        </w:tc>
        <w:tc>
          <w:tcPr>
            <w:tcW w:w="1200" w:type="dxa"/>
            <w:vAlign w:val="bottom"/>
            <w:tcBorders>
              <w:bottom w:val="single" w:sz="8" w:color="181818"/>
            </w:tcBorders>
          </w:tcPr>
          <w:p>
            <w:pPr>
              <w:spacing w:after="0"/>
              <w:rPr>
                <w:sz w:val="8"/>
                <w:szCs w:val="8"/>
                <w:color w:val="auto"/>
              </w:rPr>
            </w:pPr>
          </w:p>
        </w:tc>
        <w:tc>
          <w:tcPr>
            <w:tcW w:w="360" w:type="dxa"/>
            <w:vAlign w:val="bottom"/>
            <w:tcBorders>
              <w:bottom w:val="single" w:sz="8" w:color="181818"/>
            </w:tcBorders>
          </w:tcPr>
          <w:p>
            <w:pPr>
              <w:spacing w:after="0"/>
              <w:rPr>
                <w:sz w:val="8"/>
                <w:szCs w:val="8"/>
                <w:color w:val="auto"/>
              </w:rPr>
            </w:pPr>
          </w:p>
        </w:tc>
        <w:tc>
          <w:tcPr>
            <w:tcW w:w="1060" w:type="dxa"/>
            <w:vAlign w:val="bottom"/>
            <w:tcBorders>
              <w:bottom w:val="single" w:sz="8" w:color="181818"/>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9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President and CEO</w:t>
            </w:r>
          </w:p>
        </w:tc>
        <w:tc>
          <w:tcPr>
            <w:tcW w:w="640" w:type="dxa"/>
            <w:vAlign w:val="bottom"/>
          </w:tcPr>
          <w:p>
            <w:pPr>
              <w:ind w:left="140"/>
              <w:spacing w:after="0"/>
              <w:rPr>
                <w:sz w:val="20"/>
                <w:szCs w:val="20"/>
                <w:color w:val="auto"/>
              </w:rPr>
            </w:pPr>
            <w:r>
              <w:rPr>
                <w:rFonts w:ascii="Arial" w:cs="Arial" w:eastAsia="Arial" w:hAnsi="Arial"/>
                <w:sz w:val="14"/>
                <w:szCs w:val="14"/>
                <w:color w:val="auto"/>
              </w:rPr>
              <w:t>2025</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253,635</w:t>
            </w:r>
          </w:p>
        </w:tc>
        <w:tc>
          <w:tcPr>
            <w:tcW w:w="720" w:type="dxa"/>
            <w:vAlign w:val="bottom"/>
          </w:tcPr>
          <w:p>
            <w:pPr>
              <w:jc w:val="right"/>
              <w:spacing w:after="0"/>
              <w:rPr>
                <w:sz w:val="20"/>
                <w:szCs w:val="20"/>
                <w:color w:val="auto"/>
              </w:rPr>
            </w:pPr>
            <w:r>
              <w:rPr>
                <w:rFonts w:ascii="Arial" w:cs="Arial" w:eastAsia="Arial" w:hAnsi="Arial"/>
                <w:sz w:val="14"/>
                <w:szCs w:val="14"/>
                <w:color w:val="auto"/>
              </w:rPr>
              <w:t>136,250</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(4)</w:t>
            </w:r>
          </w:p>
        </w:tc>
        <w:tc>
          <w:tcPr>
            <w:tcW w:w="900" w:type="dxa"/>
            <w:vAlign w:val="bottom"/>
          </w:tcPr>
          <w:p>
            <w:pPr>
              <w:jc w:val="right"/>
              <w:spacing w:after="0"/>
              <w:rPr>
                <w:sz w:val="20"/>
                <w:szCs w:val="20"/>
                <w:color w:val="auto"/>
              </w:rPr>
            </w:pPr>
            <w:r>
              <w:rPr>
                <w:rFonts w:ascii="Arial" w:cs="Arial" w:eastAsia="Arial" w:hAnsi="Arial"/>
                <w:sz w:val="14"/>
                <w:szCs w:val="14"/>
                <w:color w:val="auto"/>
              </w:rPr>
              <w:t>1,999,972</w:t>
            </w:r>
          </w:p>
        </w:tc>
        <w:tc>
          <w:tcPr>
            <w:tcW w:w="380" w:type="dxa"/>
            <w:vAlign w:val="bottom"/>
          </w:tcPr>
          <w:p>
            <w:pPr>
              <w:jc w:val="right"/>
              <w:ind w:right="195"/>
              <w:spacing w:after="0"/>
              <w:rPr>
                <w:sz w:val="20"/>
                <w:szCs w:val="20"/>
                <w:color w:val="auto"/>
              </w:rPr>
            </w:pPr>
            <w:r>
              <w:rPr>
                <w:rFonts w:ascii="Arial" w:cs="Arial" w:eastAsia="Arial" w:hAnsi="Arial"/>
                <w:sz w:val="9"/>
                <w:szCs w:val="9"/>
                <w:color w:val="auto"/>
              </w:rPr>
              <w:t>(5)</w:t>
            </w:r>
          </w:p>
        </w:tc>
        <w:tc>
          <w:tcPr>
            <w:tcW w:w="920" w:type="dxa"/>
            <w:vAlign w:val="bottom"/>
          </w:tcPr>
          <w:p>
            <w:pPr>
              <w:jc w:val="right"/>
              <w:spacing w:after="0"/>
              <w:rPr>
                <w:sz w:val="20"/>
                <w:szCs w:val="20"/>
                <w:color w:val="auto"/>
              </w:rPr>
            </w:pPr>
            <w:r>
              <w:rPr>
                <w:rFonts w:ascii="Arial" w:cs="Arial" w:eastAsia="Arial" w:hAnsi="Arial"/>
                <w:sz w:val="14"/>
                <w:szCs w:val="14"/>
                <w:color w:val="auto"/>
              </w:rPr>
              <w:t>1,435,776</w:t>
            </w:r>
          </w:p>
        </w:tc>
        <w:tc>
          <w:tcPr>
            <w:tcW w:w="420" w:type="dxa"/>
            <w:vAlign w:val="bottom"/>
          </w:tcPr>
          <w:p>
            <w:pPr>
              <w:jc w:val="right"/>
              <w:ind w:right="235"/>
              <w:spacing w:after="0"/>
              <w:rPr>
                <w:sz w:val="20"/>
                <w:szCs w:val="20"/>
                <w:color w:val="auto"/>
              </w:rPr>
            </w:pPr>
            <w:r>
              <w:rPr>
                <w:rFonts w:ascii="Arial" w:cs="Arial" w:eastAsia="Arial" w:hAnsi="Arial"/>
                <w:sz w:val="9"/>
                <w:szCs w:val="9"/>
                <w:color w:val="auto"/>
              </w:rPr>
              <w:t>(5)</w:t>
            </w:r>
          </w:p>
        </w:tc>
        <w:tc>
          <w:tcPr>
            <w:tcW w:w="1460" w:type="dxa"/>
            <w:vAlign w:val="bottom"/>
          </w:tcPr>
          <w:p>
            <w:pPr>
              <w:jc w:val="right"/>
              <w:ind w:right="193"/>
              <w:spacing w:after="0"/>
              <w:rPr>
                <w:sz w:val="20"/>
                <w:szCs w:val="20"/>
                <w:color w:val="auto"/>
              </w:rPr>
            </w:pPr>
            <w:r>
              <w:rPr>
                <w:rFonts w:ascii="Arial" w:cs="Arial" w:eastAsia="Arial" w:hAnsi="Arial"/>
                <w:sz w:val="14"/>
                <w:szCs w:val="14"/>
                <w:color w:val="auto"/>
              </w:rPr>
              <w:t>74,938</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60" w:type="dxa"/>
            <w:vAlign w:val="bottom"/>
            <w:tcBorders>
              <w:right w:val="single" w:sz="8" w:color="181818"/>
            </w:tcBorders>
          </w:tcPr>
          <w:p>
            <w:pPr>
              <w:jc w:val="right"/>
              <w:ind w:right="110"/>
              <w:spacing w:after="0"/>
              <w:rPr>
                <w:sz w:val="20"/>
                <w:szCs w:val="20"/>
                <w:color w:val="auto"/>
              </w:rPr>
            </w:pPr>
            <w:r>
              <w:rPr>
                <w:rFonts w:ascii="Arial" w:cs="Arial" w:eastAsia="Arial" w:hAnsi="Arial"/>
                <w:sz w:val="14"/>
                <w:szCs w:val="14"/>
                <w:color w:val="auto"/>
              </w:rPr>
              <w:t>3,900,571</w:t>
            </w:r>
          </w:p>
        </w:tc>
        <w:tc>
          <w:tcPr>
            <w:tcW w:w="0" w:type="dxa"/>
            <w:vAlign w:val="bottom"/>
          </w:tcPr>
          <w:p>
            <w:pPr>
              <w:spacing w:after="0"/>
              <w:rPr>
                <w:sz w:val="1"/>
                <w:szCs w:val="1"/>
                <w:color w:val="auto"/>
              </w:rPr>
            </w:pPr>
          </w:p>
        </w:tc>
      </w:tr>
      <w:tr>
        <w:trPr>
          <w:trHeight w:val="105"/>
        </w:trPr>
        <w:tc>
          <w:tcPr>
            <w:tcW w:w="1980" w:type="dxa"/>
            <w:vAlign w:val="bottom"/>
            <w:tcBorders>
              <w:left w:val="single" w:sz="8" w:color="181818"/>
              <w:bottom w:val="single" w:sz="8" w:color="181818"/>
            </w:tcBorders>
          </w:tcPr>
          <w:p>
            <w:pPr>
              <w:spacing w:after="0"/>
              <w:rPr>
                <w:sz w:val="9"/>
                <w:szCs w:val="9"/>
                <w:color w:val="auto"/>
              </w:rPr>
            </w:pPr>
          </w:p>
        </w:tc>
        <w:tc>
          <w:tcPr>
            <w:tcW w:w="640" w:type="dxa"/>
            <w:vAlign w:val="bottom"/>
            <w:tcBorders>
              <w:bottom w:val="single" w:sz="8" w:color="181818"/>
            </w:tcBorders>
          </w:tcPr>
          <w:p>
            <w:pPr>
              <w:spacing w:after="0"/>
              <w:rPr>
                <w:sz w:val="9"/>
                <w:szCs w:val="9"/>
                <w:color w:val="auto"/>
              </w:rPr>
            </w:pPr>
          </w:p>
        </w:tc>
        <w:tc>
          <w:tcPr>
            <w:tcW w:w="900" w:type="dxa"/>
            <w:vAlign w:val="bottom"/>
            <w:tcBorders>
              <w:bottom w:val="single" w:sz="8" w:color="181818"/>
            </w:tcBorders>
          </w:tcPr>
          <w:p>
            <w:pPr>
              <w:spacing w:after="0"/>
              <w:rPr>
                <w:sz w:val="9"/>
                <w:szCs w:val="9"/>
                <w:color w:val="auto"/>
              </w:rPr>
            </w:pPr>
          </w:p>
        </w:tc>
        <w:tc>
          <w:tcPr>
            <w:tcW w:w="720" w:type="dxa"/>
            <w:vAlign w:val="bottom"/>
            <w:tcBorders>
              <w:bottom w:val="single" w:sz="8" w:color="181818"/>
            </w:tcBorders>
          </w:tcPr>
          <w:p>
            <w:pPr>
              <w:spacing w:after="0"/>
              <w:rPr>
                <w:sz w:val="9"/>
                <w:szCs w:val="9"/>
                <w:color w:val="auto"/>
              </w:rPr>
            </w:pPr>
          </w:p>
        </w:tc>
        <w:tc>
          <w:tcPr>
            <w:tcW w:w="340" w:type="dxa"/>
            <w:vAlign w:val="bottom"/>
            <w:tcBorders>
              <w:bottom w:val="single" w:sz="8" w:color="181818"/>
            </w:tcBorders>
          </w:tcPr>
          <w:p>
            <w:pPr>
              <w:spacing w:after="0"/>
              <w:rPr>
                <w:sz w:val="9"/>
                <w:szCs w:val="9"/>
                <w:color w:val="auto"/>
              </w:rPr>
            </w:pPr>
          </w:p>
        </w:tc>
        <w:tc>
          <w:tcPr>
            <w:tcW w:w="900" w:type="dxa"/>
            <w:vAlign w:val="bottom"/>
            <w:tcBorders>
              <w:bottom w:val="single" w:sz="8" w:color="181818"/>
            </w:tcBorders>
          </w:tcPr>
          <w:p>
            <w:pPr>
              <w:spacing w:after="0"/>
              <w:rPr>
                <w:sz w:val="9"/>
                <w:szCs w:val="9"/>
                <w:color w:val="auto"/>
              </w:rPr>
            </w:pPr>
          </w:p>
        </w:tc>
        <w:tc>
          <w:tcPr>
            <w:tcW w:w="380" w:type="dxa"/>
            <w:vAlign w:val="bottom"/>
            <w:tcBorders>
              <w:bottom w:val="single" w:sz="8" w:color="181818"/>
            </w:tcBorders>
          </w:tcPr>
          <w:p>
            <w:pPr>
              <w:spacing w:after="0"/>
              <w:rPr>
                <w:sz w:val="9"/>
                <w:szCs w:val="9"/>
                <w:color w:val="auto"/>
              </w:rPr>
            </w:pPr>
          </w:p>
        </w:tc>
        <w:tc>
          <w:tcPr>
            <w:tcW w:w="920" w:type="dxa"/>
            <w:vAlign w:val="bottom"/>
            <w:tcBorders>
              <w:bottom w:val="single" w:sz="8" w:color="181818"/>
            </w:tcBorders>
          </w:tcPr>
          <w:p>
            <w:pPr>
              <w:spacing w:after="0"/>
              <w:rPr>
                <w:sz w:val="9"/>
                <w:szCs w:val="9"/>
                <w:color w:val="auto"/>
              </w:rPr>
            </w:pPr>
          </w:p>
        </w:tc>
        <w:tc>
          <w:tcPr>
            <w:tcW w:w="420" w:type="dxa"/>
            <w:vAlign w:val="bottom"/>
            <w:tcBorders>
              <w:bottom w:val="single" w:sz="8" w:color="181818"/>
            </w:tcBorders>
          </w:tcPr>
          <w:p>
            <w:pPr>
              <w:spacing w:after="0"/>
              <w:rPr>
                <w:sz w:val="9"/>
                <w:szCs w:val="9"/>
                <w:color w:val="auto"/>
              </w:rPr>
            </w:pPr>
          </w:p>
        </w:tc>
        <w:tc>
          <w:tcPr>
            <w:tcW w:w="1460" w:type="dxa"/>
            <w:vAlign w:val="bottom"/>
            <w:tcBorders>
              <w:bottom w:val="single" w:sz="8" w:color="181818"/>
            </w:tcBorders>
          </w:tcPr>
          <w:p>
            <w:pPr>
              <w:spacing w:after="0"/>
              <w:rPr>
                <w:sz w:val="9"/>
                <w:szCs w:val="9"/>
                <w:color w:val="auto"/>
              </w:rPr>
            </w:pPr>
          </w:p>
        </w:tc>
        <w:tc>
          <w:tcPr>
            <w:tcW w:w="1200" w:type="dxa"/>
            <w:vAlign w:val="bottom"/>
            <w:tcBorders>
              <w:bottom w:val="single" w:sz="8" w:color="181818"/>
            </w:tcBorders>
          </w:tcPr>
          <w:p>
            <w:pPr>
              <w:spacing w:after="0"/>
              <w:rPr>
                <w:sz w:val="9"/>
                <w:szCs w:val="9"/>
                <w:color w:val="auto"/>
              </w:rPr>
            </w:pPr>
          </w:p>
        </w:tc>
        <w:tc>
          <w:tcPr>
            <w:tcW w:w="360" w:type="dxa"/>
            <w:vAlign w:val="bottom"/>
            <w:tcBorders>
              <w:bottom w:val="single" w:sz="8" w:color="181818"/>
            </w:tcBorders>
          </w:tcPr>
          <w:p>
            <w:pPr>
              <w:spacing w:after="0"/>
              <w:rPr>
                <w:sz w:val="9"/>
                <w:szCs w:val="9"/>
                <w:color w:val="auto"/>
              </w:rPr>
            </w:pPr>
          </w:p>
        </w:tc>
        <w:tc>
          <w:tcPr>
            <w:tcW w:w="1060" w:type="dxa"/>
            <w:vAlign w:val="bottom"/>
            <w:tcBorders>
              <w:bottom w:val="single" w:sz="8" w:color="181818"/>
              <w:right w:val="single" w:sz="8" w:color="181818"/>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19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Christopher</w:t>
            </w:r>
          </w:p>
        </w:tc>
        <w:tc>
          <w:tcPr>
            <w:tcW w:w="640" w:type="dxa"/>
            <w:vAlign w:val="bottom"/>
          </w:tcPr>
          <w:p>
            <w:pPr>
              <w:ind w:left="140"/>
              <w:spacing w:after="0"/>
              <w:rPr>
                <w:sz w:val="20"/>
                <w:szCs w:val="20"/>
                <w:color w:val="auto"/>
              </w:rPr>
            </w:pPr>
            <w:r>
              <w:rPr>
                <w:rFonts w:ascii="Arial" w:cs="Arial" w:eastAsia="Arial" w:hAnsi="Arial"/>
                <w:sz w:val="14"/>
                <w:szCs w:val="14"/>
                <w:color w:val="auto"/>
              </w:rPr>
              <w:t>2026</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503,329</w:t>
            </w:r>
          </w:p>
        </w:tc>
        <w:tc>
          <w:tcPr>
            <w:tcW w:w="720" w:type="dxa"/>
            <w:vAlign w:val="bottom"/>
          </w:tcPr>
          <w:p>
            <w:pPr>
              <w:jc w:val="right"/>
              <w:spacing w:after="0"/>
              <w:rPr>
                <w:sz w:val="20"/>
                <w:szCs w:val="20"/>
                <w:color w:val="auto"/>
              </w:rPr>
            </w:pPr>
            <w:r>
              <w:rPr>
                <w:rFonts w:ascii="Arial" w:cs="Arial" w:eastAsia="Arial" w:hAnsi="Arial"/>
                <w:sz w:val="14"/>
                <w:szCs w:val="14"/>
                <w:color w:val="auto"/>
              </w:rPr>
              <w:t>218,109</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739,246</w:t>
            </w:r>
          </w:p>
        </w:tc>
        <w:tc>
          <w:tcPr>
            <w:tcW w:w="420" w:type="dxa"/>
            <w:vAlign w:val="bottom"/>
          </w:tcPr>
          <w:p>
            <w:pPr>
              <w:spacing w:after="0"/>
              <w:rPr>
                <w:sz w:val="24"/>
                <w:szCs w:val="24"/>
                <w:color w:val="auto"/>
              </w:rPr>
            </w:pPr>
          </w:p>
        </w:tc>
        <w:tc>
          <w:tcPr>
            <w:tcW w:w="1460" w:type="dxa"/>
            <w:vAlign w:val="bottom"/>
          </w:tcPr>
          <w:p>
            <w:pPr>
              <w:jc w:val="right"/>
              <w:ind w:right="193"/>
              <w:spacing w:after="0"/>
              <w:rPr>
                <w:sz w:val="20"/>
                <w:szCs w:val="20"/>
                <w:color w:val="auto"/>
              </w:rPr>
            </w:pPr>
            <w:r>
              <w:rPr>
                <w:rFonts w:ascii="Arial" w:cs="Arial" w:eastAsia="Arial" w:hAnsi="Arial"/>
                <w:sz w:val="14"/>
                <w:szCs w:val="14"/>
                <w:color w:val="auto"/>
              </w:rPr>
              <w:t>157,941</w:t>
            </w:r>
          </w:p>
        </w:tc>
        <w:tc>
          <w:tcPr>
            <w:tcW w:w="1200" w:type="dxa"/>
            <w:vAlign w:val="bottom"/>
          </w:tcPr>
          <w:p>
            <w:pPr>
              <w:jc w:val="right"/>
              <w:spacing w:after="0"/>
              <w:rPr>
                <w:sz w:val="20"/>
                <w:szCs w:val="20"/>
                <w:color w:val="auto"/>
              </w:rPr>
            </w:pPr>
            <w:r>
              <w:rPr>
                <w:rFonts w:ascii="Arial" w:cs="Arial" w:eastAsia="Arial" w:hAnsi="Arial"/>
                <w:sz w:val="14"/>
                <w:szCs w:val="14"/>
                <w:color w:val="auto"/>
              </w:rPr>
              <w:t>10,500</w:t>
            </w:r>
          </w:p>
        </w:tc>
        <w:tc>
          <w:tcPr>
            <w:tcW w:w="360" w:type="dxa"/>
            <w:vAlign w:val="bottom"/>
          </w:tcPr>
          <w:p>
            <w:pPr>
              <w:jc w:val="right"/>
              <w:ind w:right="195"/>
              <w:spacing w:after="0"/>
              <w:rPr>
                <w:sz w:val="20"/>
                <w:szCs w:val="20"/>
                <w:color w:val="auto"/>
              </w:rPr>
            </w:pPr>
            <w:r>
              <w:rPr>
                <w:rFonts w:ascii="Arial" w:cs="Arial" w:eastAsia="Arial" w:hAnsi="Arial"/>
                <w:sz w:val="9"/>
                <w:szCs w:val="9"/>
                <w:color w:val="auto"/>
                <w:w w:val="90"/>
              </w:rPr>
              <w:t>(3)</w:t>
            </w:r>
          </w:p>
        </w:tc>
        <w:tc>
          <w:tcPr>
            <w:tcW w:w="1060" w:type="dxa"/>
            <w:vAlign w:val="bottom"/>
            <w:tcBorders>
              <w:right w:val="single" w:sz="8" w:color="181818"/>
            </w:tcBorders>
          </w:tcPr>
          <w:p>
            <w:pPr>
              <w:jc w:val="right"/>
              <w:ind w:right="110"/>
              <w:spacing w:after="0"/>
              <w:rPr>
                <w:sz w:val="20"/>
                <w:szCs w:val="20"/>
                <w:color w:val="auto"/>
              </w:rPr>
            </w:pPr>
            <w:r>
              <w:rPr>
                <w:rFonts w:ascii="Arial" w:cs="Arial" w:eastAsia="Arial" w:hAnsi="Arial"/>
                <w:sz w:val="14"/>
                <w:szCs w:val="14"/>
                <w:color w:val="auto"/>
              </w:rPr>
              <w:t>1,629,125</w:t>
            </w:r>
          </w:p>
        </w:tc>
        <w:tc>
          <w:tcPr>
            <w:tcW w:w="0" w:type="dxa"/>
            <w:vAlign w:val="bottom"/>
          </w:tcPr>
          <w:p>
            <w:pPr>
              <w:spacing w:after="0"/>
              <w:rPr>
                <w:sz w:val="1"/>
                <w:szCs w:val="1"/>
                <w:color w:val="auto"/>
              </w:rPr>
            </w:pPr>
          </w:p>
        </w:tc>
      </w:tr>
      <w:tr>
        <w:trPr>
          <w:trHeight w:val="205"/>
        </w:trPr>
        <w:tc>
          <w:tcPr>
            <w:tcW w:w="19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Guttman-McCabe</w:t>
            </w:r>
          </w:p>
        </w:tc>
        <w:tc>
          <w:tcPr>
            <w:tcW w:w="640" w:type="dxa"/>
            <w:vAlign w:val="bottom"/>
            <w:tcBorders>
              <w:bottom w:val="single" w:sz="8" w:color="181818"/>
            </w:tcBorders>
          </w:tcPr>
          <w:p>
            <w:pPr>
              <w:spacing w:after="0"/>
              <w:rPr>
                <w:sz w:val="17"/>
                <w:szCs w:val="17"/>
                <w:color w:val="auto"/>
              </w:rPr>
            </w:pPr>
          </w:p>
        </w:tc>
        <w:tc>
          <w:tcPr>
            <w:tcW w:w="900" w:type="dxa"/>
            <w:vAlign w:val="bottom"/>
            <w:tcBorders>
              <w:bottom w:val="single" w:sz="8" w:color="181818"/>
            </w:tcBorders>
          </w:tcPr>
          <w:p>
            <w:pPr>
              <w:spacing w:after="0"/>
              <w:rPr>
                <w:sz w:val="17"/>
                <w:szCs w:val="17"/>
                <w:color w:val="auto"/>
              </w:rPr>
            </w:pPr>
          </w:p>
        </w:tc>
        <w:tc>
          <w:tcPr>
            <w:tcW w:w="720" w:type="dxa"/>
            <w:vAlign w:val="bottom"/>
            <w:tcBorders>
              <w:bottom w:val="single" w:sz="8" w:color="181818"/>
            </w:tcBorders>
          </w:tcPr>
          <w:p>
            <w:pPr>
              <w:spacing w:after="0"/>
              <w:rPr>
                <w:sz w:val="17"/>
                <w:szCs w:val="17"/>
                <w:color w:val="auto"/>
              </w:rPr>
            </w:pPr>
          </w:p>
        </w:tc>
        <w:tc>
          <w:tcPr>
            <w:tcW w:w="340" w:type="dxa"/>
            <w:vAlign w:val="bottom"/>
            <w:tcBorders>
              <w:bottom w:val="single" w:sz="8" w:color="181818"/>
            </w:tcBorders>
          </w:tcPr>
          <w:p>
            <w:pPr>
              <w:spacing w:after="0"/>
              <w:rPr>
                <w:sz w:val="17"/>
                <w:szCs w:val="17"/>
                <w:color w:val="auto"/>
              </w:rPr>
            </w:pPr>
          </w:p>
        </w:tc>
        <w:tc>
          <w:tcPr>
            <w:tcW w:w="900" w:type="dxa"/>
            <w:vAlign w:val="bottom"/>
            <w:tcBorders>
              <w:bottom w:val="single" w:sz="8" w:color="181818"/>
            </w:tcBorders>
          </w:tcPr>
          <w:p>
            <w:pPr>
              <w:spacing w:after="0"/>
              <w:rPr>
                <w:sz w:val="17"/>
                <w:szCs w:val="17"/>
                <w:color w:val="auto"/>
              </w:rPr>
            </w:pPr>
          </w:p>
        </w:tc>
        <w:tc>
          <w:tcPr>
            <w:tcW w:w="380" w:type="dxa"/>
            <w:vAlign w:val="bottom"/>
            <w:tcBorders>
              <w:bottom w:val="single" w:sz="8" w:color="181818"/>
            </w:tcBorders>
          </w:tcPr>
          <w:p>
            <w:pPr>
              <w:spacing w:after="0"/>
              <w:rPr>
                <w:sz w:val="17"/>
                <w:szCs w:val="17"/>
                <w:color w:val="auto"/>
              </w:rPr>
            </w:pPr>
          </w:p>
        </w:tc>
        <w:tc>
          <w:tcPr>
            <w:tcW w:w="920" w:type="dxa"/>
            <w:vAlign w:val="bottom"/>
            <w:tcBorders>
              <w:bottom w:val="single" w:sz="8" w:color="181818"/>
            </w:tcBorders>
          </w:tcPr>
          <w:p>
            <w:pPr>
              <w:spacing w:after="0"/>
              <w:rPr>
                <w:sz w:val="17"/>
                <w:szCs w:val="17"/>
                <w:color w:val="auto"/>
              </w:rPr>
            </w:pPr>
          </w:p>
        </w:tc>
        <w:tc>
          <w:tcPr>
            <w:tcW w:w="420" w:type="dxa"/>
            <w:vAlign w:val="bottom"/>
            <w:tcBorders>
              <w:bottom w:val="single" w:sz="8" w:color="181818"/>
            </w:tcBorders>
          </w:tcPr>
          <w:p>
            <w:pPr>
              <w:spacing w:after="0"/>
              <w:rPr>
                <w:sz w:val="17"/>
                <w:szCs w:val="17"/>
                <w:color w:val="auto"/>
              </w:rPr>
            </w:pPr>
          </w:p>
        </w:tc>
        <w:tc>
          <w:tcPr>
            <w:tcW w:w="1460" w:type="dxa"/>
            <w:vAlign w:val="bottom"/>
            <w:tcBorders>
              <w:bottom w:val="single" w:sz="8" w:color="181818"/>
            </w:tcBorders>
          </w:tcPr>
          <w:p>
            <w:pPr>
              <w:spacing w:after="0"/>
              <w:rPr>
                <w:sz w:val="17"/>
                <w:szCs w:val="17"/>
                <w:color w:val="auto"/>
              </w:rPr>
            </w:pPr>
          </w:p>
        </w:tc>
        <w:tc>
          <w:tcPr>
            <w:tcW w:w="1200" w:type="dxa"/>
            <w:vAlign w:val="bottom"/>
            <w:tcBorders>
              <w:bottom w:val="single" w:sz="8" w:color="181818"/>
            </w:tcBorders>
          </w:tcPr>
          <w:p>
            <w:pPr>
              <w:spacing w:after="0"/>
              <w:rPr>
                <w:sz w:val="17"/>
                <w:szCs w:val="17"/>
                <w:color w:val="auto"/>
              </w:rPr>
            </w:pPr>
          </w:p>
        </w:tc>
        <w:tc>
          <w:tcPr>
            <w:tcW w:w="360" w:type="dxa"/>
            <w:vAlign w:val="bottom"/>
            <w:tcBorders>
              <w:bottom w:val="single" w:sz="8" w:color="181818"/>
            </w:tcBorders>
          </w:tcPr>
          <w:p>
            <w:pPr>
              <w:spacing w:after="0"/>
              <w:rPr>
                <w:sz w:val="17"/>
                <w:szCs w:val="17"/>
                <w:color w:val="auto"/>
              </w:rPr>
            </w:pPr>
          </w:p>
        </w:tc>
        <w:tc>
          <w:tcPr>
            <w:tcW w:w="1060" w:type="dxa"/>
            <w:vAlign w:val="bottom"/>
            <w:tcBorders>
              <w:bottom w:val="single" w:sz="8" w:color="181818"/>
              <w:right w:val="single" w:sz="8" w:color="181818"/>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9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Chief Regulatory and</w:t>
            </w:r>
          </w:p>
        </w:tc>
        <w:tc>
          <w:tcPr>
            <w:tcW w:w="640" w:type="dxa"/>
            <w:vAlign w:val="bottom"/>
            <w:vMerge w:val="restart"/>
          </w:tcPr>
          <w:p>
            <w:pPr>
              <w:ind w:left="140"/>
              <w:spacing w:after="0"/>
              <w:rPr>
                <w:sz w:val="20"/>
                <w:szCs w:val="20"/>
                <w:color w:val="auto"/>
              </w:rPr>
            </w:pPr>
            <w:r>
              <w:rPr>
                <w:rFonts w:ascii="Arial" w:cs="Arial" w:eastAsia="Arial" w:hAnsi="Arial"/>
                <w:sz w:val="14"/>
                <w:szCs w:val="14"/>
                <w:color w:val="auto"/>
              </w:rPr>
              <w:t>2025</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auto"/>
              </w:rPr>
              <w:t>492,979</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2,897,475</w:t>
            </w:r>
          </w:p>
        </w:tc>
        <w:tc>
          <w:tcPr>
            <w:tcW w:w="420" w:type="dxa"/>
            <w:vAlign w:val="bottom"/>
            <w:vMerge w:val="restart"/>
          </w:tcPr>
          <w:p>
            <w:pPr>
              <w:jc w:val="right"/>
              <w:ind w:right="235"/>
              <w:spacing w:after="0"/>
              <w:rPr>
                <w:sz w:val="20"/>
                <w:szCs w:val="20"/>
                <w:color w:val="auto"/>
              </w:rPr>
            </w:pPr>
            <w:r>
              <w:rPr>
                <w:rFonts w:ascii="Arial" w:cs="Arial" w:eastAsia="Arial" w:hAnsi="Arial"/>
                <w:sz w:val="9"/>
                <w:szCs w:val="9"/>
                <w:color w:val="auto"/>
              </w:rPr>
              <w:t>(6)</w:t>
            </w:r>
          </w:p>
        </w:tc>
        <w:tc>
          <w:tcPr>
            <w:tcW w:w="1460" w:type="dxa"/>
            <w:vAlign w:val="bottom"/>
            <w:vMerge w:val="restart"/>
          </w:tcPr>
          <w:p>
            <w:pPr>
              <w:jc w:val="right"/>
              <w:ind w:right="193"/>
              <w:spacing w:after="0"/>
              <w:rPr>
                <w:sz w:val="20"/>
                <w:szCs w:val="20"/>
                <w:color w:val="auto"/>
              </w:rPr>
            </w:pPr>
            <w:r>
              <w:rPr>
                <w:rFonts w:ascii="Arial" w:cs="Arial" w:eastAsia="Arial" w:hAnsi="Arial"/>
                <w:sz w:val="14"/>
                <w:szCs w:val="14"/>
                <w:color w:val="auto"/>
              </w:rPr>
              <w:t>206,828</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10,350</w:t>
            </w:r>
          </w:p>
        </w:tc>
        <w:tc>
          <w:tcPr>
            <w:tcW w:w="360" w:type="dxa"/>
            <w:vAlign w:val="bottom"/>
            <w:vMerge w:val="restart"/>
          </w:tcPr>
          <w:p>
            <w:pPr>
              <w:jc w:val="right"/>
              <w:ind w:right="195"/>
              <w:spacing w:after="0"/>
              <w:rPr>
                <w:sz w:val="20"/>
                <w:szCs w:val="20"/>
                <w:color w:val="auto"/>
              </w:rPr>
            </w:pPr>
            <w:r>
              <w:rPr>
                <w:rFonts w:ascii="Arial" w:cs="Arial" w:eastAsia="Arial" w:hAnsi="Arial"/>
                <w:sz w:val="9"/>
                <w:szCs w:val="9"/>
                <w:color w:val="auto"/>
                <w:w w:val="90"/>
              </w:rPr>
              <w:t>(3)</w:t>
            </w:r>
          </w:p>
        </w:tc>
        <w:tc>
          <w:tcPr>
            <w:tcW w:w="1060" w:type="dxa"/>
            <w:vAlign w:val="bottom"/>
            <w:tcBorders>
              <w:right w:val="single" w:sz="8" w:color="181818"/>
            </w:tcBorders>
            <w:vMerge w:val="restart"/>
          </w:tcPr>
          <w:p>
            <w:pPr>
              <w:jc w:val="right"/>
              <w:ind w:right="110"/>
              <w:spacing w:after="0"/>
              <w:rPr>
                <w:sz w:val="20"/>
                <w:szCs w:val="20"/>
                <w:color w:val="auto"/>
              </w:rPr>
            </w:pPr>
            <w:r>
              <w:rPr>
                <w:rFonts w:ascii="Arial" w:cs="Arial" w:eastAsia="Arial" w:hAnsi="Arial"/>
                <w:sz w:val="14"/>
                <w:szCs w:val="14"/>
                <w:color w:val="auto"/>
              </w:rPr>
              <w:t>3,607,632</w:t>
            </w:r>
          </w:p>
        </w:tc>
        <w:tc>
          <w:tcPr>
            <w:tcW w:w="0" w:type="dxa"/>
            <w:vAlign w:val="bottom"/>
          </w:tcPr>
          <w:p>
            <w:pPr>
              <w:spacing w:after="0"/>
              <w:rPr>
                <w:sz w:val="1"/>
                <w:szCs w:val="1"/>
                <w:color w:val="auto"/>
              </w:rPr>
            </w:pPr>
          </w:p>
        </w:tc>
      </w:tr>
      <w:tr>
        <w:trPr>
          <w:trHeight w:val="188"/>
        </w:trPr>
        <w:tc>
          <w:tcPr>
            <w:tcW w:w="19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Communications Officer</w:t>
            </w:r>
          </w:p>
        </w:tc>
        <w:tc>
          <w:tcPr>
            <w:tcW w:w="6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060" w:type="dxa"/>
            <w:vAlign w:val="bottom"/>
            <w:tcBorders>
              <w:right w:val="single" w:sz="8" w:color="18181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980" w:type="dxa"/>
            <w:vAlign w:val="bottom"/>
            <w:tcBorders>
              <w:left w:val="single" w:sz="8" w:color="181818"/>
              <w:bottom w:val="single" w:sz="8" w:color="181818"/>
            </w:tcBorders>
          </w:tcPr>
          <w:p>
            <w:pPr>
              <w:spacing w:after="0"/>
              <w:rPr>
                <w:sz w:val="14"/>
                <w:szCs w:val="14"/>
                <w:color w:val="auto"/>
              </w:rPr>
            </w:pPr>
          </w:p>
        </w:tc>
        <w:tc>
          <w:tcPr>
            <w:tcW w:w="640" w:type="dxa"/>
            <w:vAlign w:val="bottom"/>
            <w:tcBorders>
              <w:bottom w:val="single" w:sz="8" w:color="181818"/>
            </w:tcBorders>
          </w:tcPr>
          <w:p>
            <w:pPr>
              <w:spacing w:after="0"/>
              <w:rPr>
                <w:sz w:val="14"/>
                <w:szCs w:val="14"/>
                <w:color w:val="auto"/>
              </w:rPr>
            </w:pPr>
          </w:p>
        </w:tc>
        <w:tc>
          <w:tcPr>
            <w:tcW w:w="900" w:type="dxa"/>
            <w:vAlign w:val="bottom"/>
            <w:tcBorders>
              <w:bottom w:val="single" w:sz="8" w:color="181818"/>
            </w:tcBorders>
          </w:tcPr>
          <w:p>
            <w:pPr>
              <w:spacing w:after="0"/>
              <w:rPr>
                <w:sz w:val="14"/>
                <w:szCs w:val="14"/>
                <w:color w:val="auto"/>
              </w:rPr>
            </w:pPr>
          </w:p>
        </w:tc>
        <w:tc>
          <w:tcPr>
            <w:tcW w:w="720" w:type="dxa"/>
            <w:vAlign w:val="bottom"/>
            <w:tcBorders>
              <w:bottom w:val="single" w:sz="8" w:color="181818"/>
            </w:tcBorders>
          </w:tcPr>
          <w:p>
            <w:pPr>
              <w:spacing w:after="0"/>
              <w:rPr>
                <w:sz w:val="14"/>
                <w:szCs w:val="14"/>
                <w:color w:val="auto"/>
              </w:rPr>
            </w:pPr>
          </w:p>
        </w:tc>
        <w:tc>
          <w:tcPr>
            <w:tcW w:w="340" w:type="dxa"/>
            <w:vAlign w:val="bottom"/>
            <w:tcBorders>
              <w:bottom w:val="single" w:sz="8" w:color="181818"/>
            </w:tcBorders>
          </w:tcPr>
          <w:p>
            <w:pPr>
              <w:spacing w:after="0"/>
              <w:rPr>
                <w:sz w:val="14"/>
                <w:szCs w:val="14"/>
                <w:color w:val="auto"/>
              </w:rPr>
            </w:pPr>
          </w:p>
        </w:tc>
        <w:tc>
          <w:tcPr>
            <w:tcW w:w="900" w:type="dxa"/>
            <w:vAlign w:val="bottom"/>
            <w:tcBorders>
              <w:bottom w:val="single" w:sz="8" w:color="181818"/>
            </w:tcBorders>
          </w:tcPr>
          <w:p>
            <w:pPr>
              <w:spacing w:after="0"/>
              <w:rPr>
                <w:sz w:val="14"/>
                <w:szCs w:val="14"/>
                <w:color w:val="auto"/>
              </w:rPr>
            </w:pPr>
          </w:p>
        </w:tc>
        <w:tc>
          <w:tcPr>
            <w:tcW w:w="380" w:type="dxa"/>
            <w:vAlign w:val="bottom"/>
            <w:tcBorders>
              <w:bottom w:val="single" w:sz="8" w:color="181818"/>
            </w:tcBorders>
          </w:tcPr>
          <w:p>
            <w:pPr>
              <w:spacing w:after="0"/>
              <w:rPr>
                <w:sz w:val="14"/>
                <w:szCs w:val="14"/>
                <w:color w:val="auto"/>
              </w:rPr>
            </w:pPr>
          </w:p>
        </w:tc>
        <w:tc>
          <w:tcPr>
            <w:tcW w:w="920" w:type="dxa"/>
            <w:vAlign w:val="bottom"/>
            <w:tcBorders>
              <w:bottom w:val="single" w:sz="8" w:color="181818"/>
            </w:tcBorders>
          </w:tcPr>
          <w:p>
            <w:pPr>
              <w:spacing w:after="0"/>
              <w:rPr>
                <w:sz w:val="14"/>
                <w:szCs w:val="14"/>
                <w:color w:val="auto"/>
              </w:rPr>
            </w:pPr>
          </w:p>
        </w:tc>
        <w:tc>
          <w:tcPr>
            <w:tcW w:w="420" w:type="dxa"/>
            <w:vAlign w:val="bottom"/>
            <w:tcBorders>
              <w:bottom w:val="single" w:sz="8" w:color="181818"/>
            </w:tcBorders>
          </w:tcPr>
          <w:p>
            <w:pPr>
              <w:spacing w:after="0"/>
              <w:rPr>
                <w:sz w:val="14"/>
                <w:szCs w:val="14"/>
                <w:color w:val="auto"/>
              </w:rPr>
            </w:pPr>
          </w:p>
        </w:tc>
        <w:tc>
          <w:tcPr>
            <w:tcW w:w="1460" w:type="dxa"/>
            <w:vAlign w:val="bottom"/>
            <w:tcBorders>
              <w:bottom w:val="single" w:sz="8" w:color="181818"/>
            </w:tcBorders>
          </w:tcPr>
          <w:p>
            <w:pPr>
              <w:spacing w:after="0"/>
              <w:rPr>
                <w:sz w:val="14"/>
                <w:szCs w:val="14"/>
                <w:color w:val="auto"/>
              </w:rPr>
            </w:pPr>
          </w:p>
        </w:tc>
        <w:tc>
          <w:tcPr>
            <w:tcW w:w="1200" w:type="dxa"/>
            <w:vAlign w:val="bottom"/>
            <w:tcBorders>
              <w:bottom w:val="single" w:sz="8" w:color="181818"/>
            </w:tcBorders>
          </w:tcPr>
          <w:p>
            <w:pPr>
              <w:spacing w:after="0"/>
              <w:rPr>
                <w:sz w:val="14"/>
                <w:szCs w:val="14"/>
                <w:color w:val="auto"/>
              </w:rPr>
            </w:pPr>
          </w:p>
        </w:tc>
        <w:tc>
          <w:tcPr>
            <w:tcW w:w="360" w:type="dxa"/>
            <w:vAlign w:val="bottom"/>
            <w:tcBorders>
              <w:bottom w:val="single" w:sz="8" w:color="181818"/>
            </w:tcBorders>
          </w:tcPr>
          <w:p>
            <w:pPr>
              <w:spacing w:after="0"/>
              <w:rPr>
                <w:sz w:val="14"/>
                <w:szCs w:val="14"/>
                <w:color w:val="auto"/>
              </w:rPr>
            </w:pPr>
          </w:p>
        </w:tc>
        <w:tc>
          <w:tcPr>
            <w:tcW w:w="1060" w:type="dxa"/>
            <w:vAlign w:val="bottom"/>
            <w:tcBorders>
              <w:bottom w:val="single" w:sz="8" w:color="181818"/>
              <w:right w:val="single" w:sz="8" w:color="181818"/>
            </w:tcBorders>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198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b w:val="1"/>
                <w:bCs w:val="1"/>
                <w:color w:val="181818"/>
              </w:rPr>
              <w:t>Ryan L. Gerbrandt</w:t>
            </w:r>
          </w:p>
        </w:tc>
        <w:tc>
          <w:tcPr>
            <w:tcW w:w="640" w:type="dxa"/>
            <w:vAlign w:val="bottom"/>
          </w:tcPr>
          <w:p>
            <w:pPr>
              <w:ind w:left="140"/>
              <w:spacing w:after="0"/>
              <w:rPr>
                <w:sz w:val="20"/>
                <w:szCs w:val="20"/>
                <w:color w:val="auto"/>
              </w:rPr>
            </w:pPr>
            <w:r>
              <w:rPr>
                <w:rFonts w:ascii="Arial" w:cs="Arial" w:eastAsia="Arial" w:hAnsi="Arial"/>
                <w:sz w:val="14"/>
                <w:szCs w:val="14"/>
                <w:color w:val="auto"/>
              </w:rPr>
              <w:t>2026</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324,988</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460" w:type="dxa"/>
            <w:vAlign w:val="bottom"/>
          </w:tcPr>
          <w:p>
            <w:pPr>
              <w:jc w:val="right"/>
              <w:ind w:right="193"/>
              <w:spacing w:after="0"/>
              <w:rPr>
                <w:sz w:val="20"/>
                <w:szCs w:val="20"/>
                <w:color w:val="auto"/>
              </w:rPr>
            </w:pPr>
            <w:r>
              <w:rPr>
                <w:rFonts w:ascii="Arial" w:cs="Arial" w:eastAsia="Arial" w:hAnsi="Arial"/>
                <w:sz w:val="14"/>
                <w:szCs w:val="14"/>
                <w:color w:val="auto"/>
              </w:rPr>
              <w:t>196,745</w:t>
            </w:r>
          </w:p>
        </w:tc>
        <w:tc>
          <w:tcPr>
            <w:tcW w:w="1200" w:type="dxa"/>
            <w:vAlign w:val="bottom"/>
          </w:tcPr>
          <w:p>
            <w:pPr>
              <w:jc w:val="right"/>
              <w:spacing w:after="0"/>
              <w:rPr>
                <w:sz w:val="20"/>
                <w:szCs w:val="20"/>
                <w:color w:val="auto"/>
              </w:rPr>
            </w:pPr>
            <w:r>
              <w:rPr>
                <w:rFonts w:ascii="Arial" w:cs="Arial" w:eastAsia="Arial" w:hAnsi="Arial"/>
                <w:sz w:val="14"/>
                <w:szCs w:val="14"/>
                <w:color w:val="auto"/>
              </w:rPr>
              <w:t>1,414,940</w:t>
            </w:r>
          </w:p>
        </w:tc>
        <w:tc>
          <w:tcPr>
            <w:tcW w:w="360" w:type="dxa"/>
            <w:vAlign w:val="bottom"/>
          </w:tcPr>
          <w:p>
            <w:pPr>
              <w:jc w:val="right"/>
              <w:ind w:right="195"/>
              <w:spacing w:after="0"/>
              <w:rPr>
                <w:sz w:val="20"/>
                <w:szCs w:val="20"/>
                <w:color w:val="auto"/>
              </w:rPr>
            </w:pPr>
            <w:r>
              <w:rPr>
                <w:rFonts w:ascii="Arial" w:cs="Arial" w:eastAsia="Arial" w:hAnsi="Arial"/>
                <w:sz w:val="9"/>
                <w:szCs w:val="9"/>
                <w:color w:val="auto"/>
                <w:w w:val="90"/>
              </w:rPr>
              <w:t>(7)</w:t>
            </w:r>
          </w:p>
        </w:tc>
        <w:tc>
          <w:tcPr>
            <w:tcW w:w="1060" w:type="dxa"/>
            <w:vAlign w:val="bottom"/>
            <w:tcBorders>
              <w:right w:val="single" w:sz="8" w:color="181818"/>
            </w:tcBorders>
          </w:tcPr>
          <w:p>
            <w:pPr>
              <w:jc w:val="right"/>
              <w:ind w:right="110"/>
              <w:spacing w:after="0"/>
              <w:rPr>
                <w:sz w:val="20"/>
                <w:szCs w:val="20"/>
                <w:color w:val="auto"/>
              </w:rPr>
            </w:pPr>
            <w:r>
              <w:rPr>
                <w:rFonts w:ascii="Arial" w:cs="Arial" w:eastAsia="Arial" w:hAnsi="Arial"/>
                <w:sz w:val="14"/>
                <w:szCs w:val="14"/>
                <w:color w:val="auto"/>
              </w:rPr>
              <w:t>1,936,673</w:t>
            </w:r>
          </w:p>
        </w:tc>
        <w:tc>
          <w:tcPr>
            <w:tcW w:w="0" w:type="dxa"/>
            <w:vAlign w:val="bottom"/>
          </w:tcPr>
          <w:p>
            <w:pPr>
              <w:spacing w:after="0"/>
              <w:rPr>
                <w:sz w:val="1"/>
                <w:szCs w:val="1"/>
                <w:color w:val="auto"/>
              </w:rPr>
            </w:pPr>
          </w:p>
        </w:tc>
      </w:tr>
      <w:tr>
        <w:trPr>
          <w:trHeight w:val="98"/>
        </w:trPr>
        <w:tc>
          <w:tcPr>
            <w:tcW w:w="1980" w:type="dxa"/>
            <w:vAlign w:val="bottom"/>
            <w:tcBorders>
              <w:left w:val="single" w:sz="8" w:color="181818"/>
            </w:tcBorders>
            <w:vMerge w:val="continue"/>
          </w:tcPr>
          <w:p>
            <w:pPr>
              <w:spacing w:after="0"/>
              <w:rPr>
                <w:sz w:val="8"/>
                <w:szCs w:val="8"/>
                <w:color w:val="auto"/>
              </w:rPr>
            </w:pPr>
          </w:p>
        </w:tc>
        <w:tc>
          <w:tcPr>
            <w:tcW w:w="640" w:type="dxa"/>
            <w:vAlign w:val="bottom"/>
            <w:tcBorders>
              <w:bottom w:val="single" w:sz="8" w:color="181818"/>
            </w:tcBorders>
          </w:tcPr>
          <w:p>
            <w:pPr>
              <w:spacing w:after="0"/>
              <w:rPr>
                <w:sz w:val="8"/>
                <w:szCs w:val="8"/>
                <w:color w:val="auto"/>
              </w:rPr>
            </w:pPr>
          </w:p>
        </w:tc>
        <w:tc>
          <w:tcPr>
            <w:tcW w:w="900" w:type="dxa"/>
            <w:vAlign w:val="bottom"/>
            <w:tcBorders>
              <w:bottom w:val="single" w:sz="8" w:color="181818"/>
            </w:tcBorders>
          </w:tcPr>
          <w:p>
            <w:pPr>
              <w:spacing w:after="0"/>
              <w:rPr>
                <w:sz w:val="8"/>
                <w:szCs w:val="8"/>
                <w:color w:val="auto"/>
              </w:rPr>
            </w:pPr>
          </w:p>
        </w:tc>
        <w:tc>
          <w:tcPr>
            <w:tcW w:w="720" w:type="dxa"/>
            <w:vAlign w:val="bottom"/>
            <w:tcBorders>
              <w:bottom w:val="single" w:sz="8" w:color="181818"/>
            </w:tcBorders>
          </w:tcPr>
          <w:p>
            <w:pPr>
              <w:spacing w:after="0"/>
              <w:rPr>
                <w:sz w:val="8"/>
                <w:szCs w:val="8"/>
                <w:color w:val="auto"/>
              </w:rPr>
            </w:pPr>
          </w:p>
        </w:tc>
        <w:tc>
          <w:tcPr>
            <w:tcW w:w="340" w:type="dxa"/>
            <w:vAlign w:val="bottom"/>
            <w:tcBorders>
              <w:bottom w:val="single" w:sz="8" w:color="181818"/>
            </w:tcBorders>
          </w:tcPr>
          <w:p>
            <w:pPr>
              <w:spacing w:after="0"/>
              <w:rPr>
                <w:sz w:val="8"/>
                <w:szCs w:val="8"/>
                <w:color w:val="auto"/>
              </w:rPr>
            </w:pPr>
          </w:p>
        </w:tc>
        <w:tc>
          <w:tcPr>
            <w:tcW w:w="900" w:type="dxa"/>
            <w:vAlign w:val="bottom"/>
            <w:tcBorders>
              <w:bottom w:val="single" w:sz="8" w:color="181818"/>
            </w:tcBorders>
          </w:tcPr>
          <w:p>
            <w:pPr>
              <w:spacing w:after="0"/>
              <w:rPr>
                <w:sz w:val="8"/>
                <w:szCs w:val="8"/>
                <w:color w:val="auto"/>
              </w:rPr>
            </w:pPr>
          </w:p>
        </w:tc>
        <w:tc>
          <w:tcPr>
            <w:tcW w:w="380" w:type="dxa"/>
            <w:vAlign w:val="bottom"/>
            <w:tcBorders>
              <w:bottom w:val="single" w:sz="8" w:color="181818"/>
            </w:tcBorders>
          </w:tcPr>
          <w:p>
            <w:pPr>
              <w:spacing w:after="0"/>
              <w:rPr>
                <w:sz w:val="8"/>
                <w:szCs w:val="8"/>
                <w:color w:val="auto"/>
              </w:rPr>
            </w:pPr>
          </w:p>
        </w:tc>
        <w:tc>
          <w:tcPr>
            <w:tcW w:w="920" w:type="dxa"/>
            <w:vAlign w:val="bottom"/>
            <w:tcBorders>
              <w:bottom w:val="single" w:sz="8" w:color="181818"/>
            </w:tcBorders>
          </w:tcPr>
          <w:p>
            <w:pPr>
              <w:spacing w:after="0"/>
              <w:rPr>
                <w:sz w:val="8"/>
                <w:szCs w:val="8"/>
                <w:color w:val="auto"/>
              </w:rPr>
            </w:pPr>
          </w:p>
        </w:tc>
        <w:tc>
          <w:tcPr>
            <w:tcW w:w="420" w:type="dxa"/>
            <w:vAlign w:val="bottom"/>
            <w:tcBorders>
              <w:bottom w:val="single" w:sz="8" w:color="181818"/>
            </w:tcBorders>
          </w:tcPr>
          <w:p>
            <w:pPr>
              <w:spacing w:after="0"/>
              <w:rPr>
                <w:sz w:val="8"/>
                <w:szCs w:val="8"/>
                <w:color w:val="auto"/>
              </w:rPr>
            </w:pPr>
          </w:p>
        </w:tc>
        <w:tc>
          <w:tcPr>
            <w:tcW w:w="1460" w:type="dxa"/>
            <w:vAlign w:val="bottom"/>
            <w:tcBorders>
              <w:bottom w:val="single" w:sz="8" w:color="181818"/>
            </w:tcBorders>
          </w:tcPr>
          <w:p>
            <w:pPr>
              <w:spacing w:after="0"/>
              <w:rPr>
                <w:sz w:val="8"/>
                <w:szCs w:val="8"/>
                <w:color w:val="auto"/>
              </w:rPr>
            </w:pPr>
          </w:p>
        </w:tc>
        <w:tc>
          <w:tcPr>
            <w:tcW w:w="1200" w:type="dxa"/>
            <w:vAlign w:val="bottom"/>
            <w:tcBorders>
              <w:bottom w:val="single" w:sz="8" w:color="181818"/>
            </w:tcBorders>
          </w:tcPr>
          <w:p>
            <w:pPr>
              <w:spacing w:after="0"/>
              <w:rPr>
                <w:sz w:val="8"/>
                <w:szCs w:val="8"/>
                <w:color w:val="auto"/>
              </w:rPr>
            </w:pPr>
          </w:p>
        </w:tc>
        <w:tc>
          <w:tcPr>
            <w:tcW w:w="360" w:type="dxa"/>
            <w:vAlign w:val="bottom"/>
            <w:tcBorders>
              <w:bottom w:val="single" w:sz="8" w:color="181818"/>
            </w:tcBorders>
          </w:tcPr>
          <w:p>
            <w:pPr>
              <w:spacing w:after="0"/>
              <w:rPr>
                <w:sz w:val="8"/>
                <w:szCs w:val="8"/>
                <w:color w:val="auto"/>
              </w:rPr>
            </w:pPr>
          </w:p>
        </w:tc>
        <w:tc>
          <w:tcPr>
            <w:tcW w:w="1060" w:type="dxa"/>
            <w:vAlign w:val="bottom"/>
            <w:tcBorders>
              <w:bottom w:val="single" w:sz="8" w:color="181818"/>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9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Chief Operating Officer</w:t>
            </w:r>
          </w:p>
        </w:tc>
        <w:tc>
          <w:tcPr>
            <w:tcW w:w="640" w:type="dxa"/>
            <w:vAlign w:val="bottom"/>
          </w:tcPr>
          <w:p>
            <w:pPr>
              <w:ind w:left="140"/>
              <w:spacing w:after="0"/>
              <w:rPr>
                <w:sz w:val="20"/>
                <w:szCs w:val="20"/>
                <w:color w:val="auto"/>
              </w:rPr>
            </w:pPr>
            <w:r>
              <w:rPr>
                <w:rFonts w:ascii="Arial" w:cs="Arial" w:eastAsia="Arial" w:hAnsi="Arial"/>
                <w:sz w:val="14"/>
                <w:szCs w:val="14"/>
                <w:color w:val="auto"/>
              </w:rPr>
              <w:t>2025</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407,243</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2,315,612</w:t>
            </w:r>
          </w:p>
        </w:tc>
        <w:tc>
          <w:tcPr>
            <w:tcW w:w="420" w:type="dxa"/>
            <w:vAlign w:val="bottom"/>
          </w:tcPr>
          <w:p>
            <w:pPr>
              <w:jc w:val="right"/>
              <w:ind w:right="235"/>
              <w:spacing w:after="0"/>
              <w:rPr>
                <w:sz w:val="20"/>
                <w:szCs w:val="20"/>
                <w:color w:val="auto"/>
              </w:rPr>
            </w:pPr>
            <w:r>
              <w:rPr>
                <w:rFonts w:ascii="Arial" w:cs="Arial" w:eastAsia="Arial" w:hAnsi="Arial"/>
                <w:sz w:val="9"/>
                <w:szCs w:val="9"/>
                <w:color w:val="auto"/>
              </w:rPr>
              <w:t>(6)</w:t>
            </w:r>
          </w:p>
        </w:tc>
        <w:tc>
          <w:tcPr>
            <w:tcW w:w="1460" w:type="dxa"/>
            <w:vAlign w:val="bottom"/>
          </w:tcPr>
          <w:p>
            <w:pPr>
              <w:jc w:val="right"/>
              <w:ind w:right="193"/>
              <w:spacing w:after="0"/>
              <w:rPr>
                <w:sz w:val="20"/>
                <w:szCs w:val="20"/>
                <w:color w:val="auto"/>
              </w:rPr>
            </w:pPr>
            <w:r>
              <w:rPr>
                <w:rFonts w:ascii="Arial" w:cs="Arial" w:eastAsia="Arial" w:hAnsi="Arial"/>
                <w:sz w:val="14"/>
                <w:szCs w:val="14"/>
                <w:color w:val="auto"/>
              </w:rPr>
              <w:t>136,686</w:t>
            </w:r>
          </w:p>
        </w:tc>
        <w:tc>
          <w:tcPr>
            <w:tcW w:w="1200" w:type="dxa"/>
            <w:vAlign w:val="bottom"/>
          </w:tcPr>
          <w:p>
            <w:pPr>
              <w:jc w:val="right"/>
              <w:spacing w:after="0"/>
              <w:rPr>
                <w:sz w:val="20"/>
                <w:szCs w:val="20"/>
                <w:color w:val="auto"/>
              </w:rPr>
            </w:pPr>
            <w:r>
              <w:rPr>
                <w:rFonts w:ascii="Arial" w:cs="Arial" w:eastAsia="Arial" w:hAnsi="Arial"/>
                <w:sz w:val="14"/>
                <w:szCs w:val="14"/>
                <w:color w:val="auto"/>
              </w:rPr>
              <w:t>10,350</w:t>
            </w:r>
          </w:p>
        </w:tc>
        <w:tc>
          <w:tcPr>
            <w:tcW w:w="360" w:type="dxa"/>
            <w:vAlign w:val="bottom"/>
          </w:tcPr>
          <w:p>
            <w:pPr>
              <w:jc w:val="right"/>
              <w:ind w:right="195"/>
              <w:spacing w:after="0"/>
              <w:rPr>
                <w:sz w:val="20"/>
                <w:szCs w:val="20"/>
                <w:color w:val="auto"/>
              </w:rPr>
            </w:pPr>
            <w:r>
              <w:rPr>
                <w:rFonts w:ascii="Arial" w:cs="Arial" w:eastAsia="Arial" w:hAnsi="Arial"/>
                <w:sz w:val="9"/>
                <w:szCs w:val="9"/>
                <w:color w:val="auto"/>
                <w:w w:val="90"/>
              </w:rPr>
              <w:t>(3)</w:t>
            </w:r>
          </w:p>
        </w:tc>
        <w:tc>
          <w:tcPr>
            <w:tcW w:w="1060" w:type="dxa"/>
            <w:vAlign w:val="bottom"/>
            <w:tcBorders>
              <w:right w:val="single" w:sz="8" w:color="181818"/>
            </w:tcBorders>
          </w:tcPr>
          <w:p>
            <w:pPr>
              <w:jc w:val="right"/>
              <w:ind w:right="110"/>
              <w:spacing w:after="0"/>
              <w:rPr>
                <w:sz w:val="20"/>
                <w:szCs w:val="20"/>
                <w:color w:val="auto"/>
              </w:rPr>
            </w:pPr>
            <w:r>
              <w:rPr>
                <w:rFonts w:ascii="Arial" w:cs="Arial" w:eastAsia="Arial" w:hAnsi="Arial"/>
                <w:sz w:val="14"/>
                <w:szCs w:val="14"/>
                <w:color w:val="auto"/>
              </w:rPr>
              <w:t>2,869,891</w:t>
            </w:r>
          </w:p>
        </w:tc>
        <w:tc>
          <w:tcPr>
            <w:tcW w:w="0" w:type="dxa"/>
            <w:vAlign w:val="bottom"/>
          </w:tcPr>
          <w:p>
            <w:pPr>
              <w:spacing w:after="0"/>
              <w:rPr>
                <w:sz w:val="1"/>
                <w:szCs w:val="1"/>
                <w:color w:val="auto"/>
              </w:rPr>
            </w:pPr>
          </w:p>
        </w:tc>
      </w:tr>
      <w:tr>
        <w:trPr>
          <w:trHeight w:val="105"/>
        </w:trPr>
        <w:tc>
          <w:tcPr>
            <w:tcW w:w="1980" w:type="dxa"/>
            <w:vAlign w:val="bottom"/>
            <w:tcBorders>
              <w:left w:val="single" w:sz="8" w:color="181818"/>
              <w:bottom w:val="single" w:sz="8" w:color="181818"/>
            </w:tcBorders>
          </w:tcPr>
          <w:p>
            <w:pPr>
              <w:spacing w:after="0"/>
              <w:rPr>
                <w:sz w:val="9"/>
                <w:szCs w:val="9"/>
                <w:color w:val="auto"/>
              </w:rPr>
            </w:pPr>
          </w:p>
        </w:tc>
        <w:tc>
          <w:tcPr>
            <w:tcW w:w="640" w:type="dxa"/>
            <w:vAlign w:val="bottom"/>
            <w:tcBorders>
              <w:bottom w:val="single" w:sz="8" w:color="181818"/>
            </w:tcBorders>
          </w:tcPr>
          <w:p>
            <w:pPr>
              <w:spacing w:after="0"/>
              <w:rPr>
                <w:sz w:val="9"/>
                <w:szCs w:val="9"/>
                <w:color w:val="auto"/>
              </w:rPr>
            </w:pPr>
          </w:p>
        </w:tc>
        <w:tc>
          <w:tcPr>
            <w:tcW w:w="900" w:type="dxa"/>
            <w:vAlign w:val="bottom"/>
            <w:tcBorders>
              <w:bottom w:val="single" w:sz="8" w:color="181818"/>
            </w:tcBorders>
          </w:tcPr>
          <w:p>
            <w:pPr>
              <w:spacing w:after="0"/>
              <w:rPr>
                <w:sz w:val="9"/>
                <w:szCs w:val="9"/>
                <w:color w:val="auto"/>
              </w:rPr>
            </w:pPr>
          </w:p>
        </w:tc>
        <w:tc>
          <w:tcPr>
            <w:tcW w:w="720" w:type="dxa"/>
            <w:vAlign w:val="bottom"/>
            <w:tcBorders>
              <w:bottom w:val="single" w:sz="8" w:color="181818"/>
            </w:tcBorders>
          </w:tcPr>
          <w:p>
            <w:pPr>
              <w:spacing w:after="0"/>
              <w:rPr>
                <w:sz w:val="9"/>
                <w:szCs w:val="9"/>
                <w:color w:val="auto"/>
              </w:rPr>
            </w:pPr>
          </w:p>
        </w:tc>
        <w:tc>
          <w:tcPr>
            <w:tcW w:w="340" w:type="dxa"/>
            <w:vAlign w:val="bottom"/>
            <w:tcBorders>
              <w:bottom w:val="single" w:sz="8" w:color="181818"/>
            </w:tcBorders>
          </w:tcPr>
          <w:p>
            <w:pPr>
              <w:spacing w:after="0"/>
              <w:rPr>
                <w:sz w:val="9"/>
                <w:szCs w:val="9"/>
                <w:color w:val="auto"/>
              </w:rPr>
            </w:pPr>
          </w:p>
        </w:tc>
        <w:tc>
          <w:tcPr>
            <w:tcW w:w="900" w:type="dxa"/>
            <w:vAlign w:val="bottom"/>
            <w:tcBorders>
              <w:bottom w:val="single" w:sz="8" w:color="181818"/>
            </w:tcBorders>
          </w:tcPr>
          <w:p>
            <w:pPr>
              <w:spacing w:after="0"/>
              <w:rPr>
                <w:sz w:val="9"/>
                <w:szCs w:val="9"/>
                <w:color w:val="auto"/>
              </w:rPr>
            </w:pPr>
          </w:p>
        </w:tc>
        <w:tc>
          <w:tcPr>
            <w:tcW w:w="380" w:type="dxa"/>
            <w:vAlign w:val="bottom"/>
            <w:tcBorders>
              <w:bottom w:val="single" w:sz="8" w:color="181818"/>
            </w:tcBorders>
          </w:tcPr>
          <w:p>
            <w:pPr>
              <w:spacing w:after="0"/>
              <w:rPr>
                <w:sz w:val="9"/>
                <w:szCs w:val="9"/>
                <w:color w:val="auto"/>
              </w:rPr>
            </w:pPr>
          </w:p>
        </w:tc>
        <w:tc>
          <w:tcPr>
            <w:tcW w:w="920" w:type="dxa"/>
            <w:vAlign w:val="bottom"/>
            <w:tcBorders>
              <w:bottom w:val="single" w:sz="8" w:color="181818"/>
            </w:tcBorders>
          </w:tcPr>
          <w:p>
            <w:pPr>
              <w:spacing w:after="0"/>
              <w:rPr>
                <w:sz w:val="9"/>
                <w:szCs w:val="9"/>
                <w:color w:val="auto"/>
              </w:rPr>
            </w:pPr>
          </w:p>
        </w:tc>
        <w:tc>
          <w:tcPr>
            <w:tcW w:w="420" w:type="dxa"/>
            <w:vAlign w:val="bottom"/>
            <w:tcBorders>
              <w:bottom w:val="single" w:sz="8" w:color="181818"/>
            </w:tcBorders>
          </w:tcPr>
          <w:p>
            <w:pPr>
              <w:spacing w:after="0"/>
              <w:rPr>
                <w:sz w:val="9"/>
                <w:szCs w:val="9"/>
                <w:color w:val="auto"/>
              </w:rPr>
            </w:pPr>
          </w:p>
        </w:tc>
        <w:tc>
          <w:tcPr>
            <w:tcW w:w="1460" w:type="dxa"/>
            <w:vAlign w:val="bottom"/>
            <w:tcBorders>
              <w:bottom w:val="single" w:sz="8" w:color="181818"/>
            </w:tcBorders>
          </w:tcPr>
          <w:p>
            <w:pPr>
              <w:spacing w:after="0"/>
              <w:rPr>
                <w:sz w:val="9"/>
                <w:szCs w:val="9"/>
                <w:color w:val="auto"/>
              </w:rPr>
            </w:pPr>
          </w:p>
        </w:tc>
        <w:tc>
          <w:tcPr>
            <w:tcW w:w="1200" w:type="dxa"/>
            <w:vAlign w:val="bottom"/>
            <w:tcBorders>
              <w:bottom w:val="single" w:sz="8" w:color="181818"/>
            </w:tcBorders>
          </w:tcPr>
          <w:p>
            <w:pPr>
              <w:spacing w:after="0"/>
              <w:rPr>
                <w:sz w:val="9"/>
                <w:szCs w:val="9"/>
                <w:color w:val="auto"/>
              </w:rPr>
            </w:pPr>
          </w:p>
        </w:tc>
        <w:tc>
          <w:tcPr>
            <w:tcW w:w="360" w:type="dxa"/>
            <w:vAlign w:val="bottom"/>
            <w:tcBorders>
              <w:bottom w:val="single" w:sz="8" w:color="181818"/>
            </w:tcBorders>
          </w:tcPr>
          <w:p>
            <w:pPr>
              <w:spacing w:after="0"/>
              <w:rPr>
                <w:sz w:val="9"/>
                <w:szCs w:val="9"/>
                <w:color w:val="auto"/>
              </w:rPr>
            </w:pPr>
          </w:p>
        </w:tc>
        <w:tc>
          <w:tcPr>
            <w:tcW w:w="1060" w:type="dxa"/>
            <w:vAlign w:val="bottom"/>
            <w:tcBorders>
              <w:bottom w:val="single" w:sz="8" w:color="181818"/>
              <w:right w:val="single" w:sz="8" w:color="181818"/>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98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181818"/>
              </w:rPr>
              <w:t>Heather Martin</w:t>
            </w:r>
          </w:p>
        </w:tc>
        <w:tc>
          <w:tcPr>
            <w:tcW w:w="640" w:type="dxa"/>
            <w:vAlign w:val="bottom"/>
            <w:vMerge w:val="restart"/>
          </w:tcPr>
          <w:p>
            <w:pPr>
              <w:ind w:left="140"/>
              <w:spacing w:after="0"/>
              <w:rPr>
                <w:sz w:val="20"/>
                <w:szCs w:val="20"/>
                <w:color w:val="auto"/>
              </w:rPr>
            </w:pPr>
            <w:r>
              <w:rPr>
                <w:rFonts w:ascii="Arial" w:cs="Arial" w:eastAsia="Arial" w:hAnsi="Arial"/>
                <w:sz w:val="14"/>
                <w:szCs w:val="14"/>
                <w:color w:val="auto"/>
              </w:rPr>
              <w:t>2026</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auto"/>
              </w:rPr>
              <w:t>234,070</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749,997</w:t>
            </w:r>
          </w:p>
        </w:tc>
        <w:tc>
          <w:tcPr>
            <w:tcW w:w="38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1460" w:type="dxa"/>
            <w:vAlign w:val="bottom"/>
            <w:vMerge w:val="restart"/>
          </w:tcPr>
          <w:p>
            <w:pPr>
              <w:jc w:val="right"/>
              <w:ind w:right="193"/>
              <w:spacing w:after="0"/>
              <w:rPr>
                <w:sz w:val="20"/>
                <w:szCs w:val="20"/>
                <w:color w:val="auto"/>
              </w:rPr>
            </w:pPr>
            <w:r>
              <w:rPr>
                <w:rFonts w:ascii="Arial" w:cs="Arial" w:eastAsia="Arial" w:hAnsi="Arial"/>
                <w:sz w:val="14"/>
                <w:szCs w:val="14"/>
                <w:color w:val="auto"/>
              </w:rPr>
              <w:t>60,858</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270,000</w:t>
            </w:r>
          </w:p>
        </w:tc>
        <w:tc>
          <w:tcPr>
            <w:tcW w:w="360" w:type="dxa"/>
            <w:vAlign w:val="bottom"/>
            <w:vMerge w:val="restart"/>
          </w:tcPr>
          <w:p>
            <w:pPr>
              <w:jc w:val="right"/>
              <w:ind w:right="195"/>
              <w:spacing w:after="0"/>
              <w:rPr>
                <w:sz w:val="20"/>
                <w:szCs w:val="20"/>
                <w:color w:val="auto"/>
              </w:rPr>
            </w:pPr>
            <w:r>
              <w:rPr>
                <w:rFonts w:ascii="Arial" w:cs="Arial" w:eastAsia="Arial" w:hAnsi="Arial"/>
                <w:sz w:val="9"/>
                <w:szCs w:val="9"/>
                <w:color w:val="auto"/>
                <w:w w:val="90"/>
              </w:rPr>
              <w:t>(8)</w:t>
            </w:r>
          </w:p>
        </w:tc>
        <w:tc>
          <w:tcPr>
            <w:tcW w:w="1060" w:type="dxa"/>
            <w:vAlign w:val="bottom"/>
            <w:tcBorders>
              <w:right w:val="single" w:sz="8" w:color="181818"/>
            </w:tcBorders>
            <w:vMerge w:val="restart"/>
          </w:tcPr>
          <w:p>
            <w:pPr>
              <w:jc w:val="right"/>
              <w:ind w:right="110"/>
              <w:spacing w:after="0"/>
              <w:rPr>
                <w:sz w:val="20"/>
                <w:szCs w:val="20"/>
                <w:color w:val="auto"/>
              </w:rPr>
            </w:pPr>
            <w:r>
              <w:rPr>
                <w:rFonts w:ascii="Arial" w:cs="Arial" w:eastAsia="Arial" w:hAnsi="Arial"/>
                <w:sz w:val="14"/>
                <w:szCs w:val="14"/>
                <w:color w:val="auto"/>
              </w:rPr>
              <w:t>1,314,925</w:t>
            </w: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Chief Marketing Officer and</w:t>
            </w:r>
          </w:p>
        </w:tc>
        <w:tc>
          <w:tcPr>
            <w:tcW w:w="6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060" w:type="dxa"/>
            <w:vAlign w:val="bottom"/>
            <w:tcBorders>
              <w:right w:val="single" w:sz="8" w:color="18181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Chief of Staff</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181818"/>
            </w:tcBorders>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980" w:type="dxa"/>
            <w:vAlign w:val="bottom"/>
            <w:tcBorders>
              <w:left w:val="single" w:sz="8" w:color="auto"/>
              <w:bottom w:val="single" w:sz="8" w:color="181818"/>
            </w:tcBorders>
          </w:tcPr>
          <w:p>
            <w:pPr>
              <w:spacing w:after="0"/>
              <w:rPr>
                <w:sz w:val="6"/>
                <w:szCs w:val="6"/>
                <w:color w:val="auto"/>
              </w:rPr>
            </w:pPr>
          </w:p>
        </w:tc>
        <w:tc>
          <w:tcPr>
            <w:tcW w:w="640" w:type="dxa"/>
            <w:vAlign w:val="bottom"/>
            <w:tcBorders>
              <w:bottom w:val="single" w:sz="8" w:color="181818"/>
            </w:tcBorders>
          </w:tcPr>
          <w:p>
            <w:pPr>
              <w:spacing w:after="0"/>
              <w:rPr>
                <w:sz w:val="6"/>
                <w:szCs w:val="6"/>
                <w:color w:val="auto"/>
              </w:rPr>
            </w:pPr>
          </w:p>
        </w:tc>
        <w:tc>
          <w:tcPr>
            <w:tcW w:w="900" w:type="dxa"/>
            <w:vAlign w:val="bottom"/>
            <w:tcBorders>
              <w:bottom w:val="single" w:sz="8" w:color="181818"/>
            </w:tcBorders>
          </w:tcPr>
          <w:p>
            <w:pPr>
              <w:spacing w:after="0"/>
              <w:rPr>
                <w:sz w:val="6"/>
                <w:szCs w:val="6"/>
                <w:color w:val="auto"/>
              </w:rPr>
            </w:pPr>
          </w:p>
        </w:tc>
        <w:tc>
          <w:tcPr>
            <w:tcW w:w="720" w:type="dxa"/>
            <w:vAlign w:val="bottom"/>
            <w:tcBorders>
              <w:bottom w:val="single" w:sz="8" w:color="181818"/>
            </w:tcBorders>
          </w:tcPr>
          <w:p>
            <w:pPr>
              <w:spacing w:after="0"/>
              <w:rPr>
                <w:sz w:val="6"/>
                <w:szCs w:val="6"/>
                <w:color w:val="auto"/>
              </w:rPr>
            </w:pPr>
          </w:p>
        </w:tc>
        <w:tc>
          <w:tcPr>
            <w:tcW w:w="340" w:type="dxa"/>
            <w:vAlign w:val="bottom"/>
            <w:tcBorders>
              <w:bottom w:val="single" w:sz="8" w:color="181818"/>
            </w:tcBorders>
          </w:tcPr>
          <w:p>
            <w:pPr>
              <w:spacing w:after="0"/>
              <w:rPr>
                <w:sz w:val="6"/>
                <w:szCs w:val="6"/>
                <w:color w:val="auto"/>
              </w:rPr>
            </w:pPr>
          </w:p>
        </w:tc>
        <w:tc>
          <w:tcPr>
            <w:tcW w:w="900" w:type="dxa"/>
            <w:vAlign w:val="bottom"/>
            <w:tcBorders>
              <w:bottom w:val="single" w:sz="8" w:color="181818"/>
            </w:tcBorders>
          </w:tcPr>
          <w:p>
            <w:pPr>
              <w:spacing w:after="0"/>
              <w:rPr>
                <w:sz w:val="6"/>
                <w:szCs w:val="6"/>
                <w:color w:val="auto"/>
              </w:rPr>
            </w:pPr>
          </w:p>
        </w:tc>
        <w:tc>
          <w:tcPr>
            <w:tcW w:w="380" w:type="dxa"/>
            <w:vAlign w:val="bottom"/>
            <w:tcBorders>
              <w:bottom w:val="single" w:sz="8" w:color="181818"/>
            </w:tcBorders>
          </w:tcPr>
          <w:p>
            <w:pPr>
              <w:spacing w:after="0"/>
              <w:rPr>
                <w:sz w:val="6"/>
                <w:szCs w:val="6"/>
                <w:color w:val="auto"/>
              </w:rPr>
            </w:pPr>
          </w:p>
        </w:tc>
        <w:tc>
          <w:tcPr>
            <w:tcW w:w="920" w:type="dxa"/>
            <w:vAlign w:val="bottom"/>
            <w:tcBorders>
              <w:bottom w:val="single" w:sz="8" w:color="181818"/>
            </w:tcBorders>
          </w:tcPr>
          <w:p>
            <w:pPr>
              <w:spacing w:after="0"/>
              <w:rPr>
                <w:sz w:val="6"/>
                <w:szCs w:val="6"/>
                <w:color w:val="auto"/>
              </w:rPr>
            </w:pPr>
          </w:p>
        </w:tc>
        <w:tc>
          <w:tcPr>
            <w:tcW w:w="420" w:type="dxa"/>
            <w:vAlign w:val="bottom"/>
            <w:tcBorders>
              <w:bottom w:val="single" w:sz="8" w:color="181818"/>
            </w:tcBorders>
          </w:tcPr>
          <w:p>
            <w:pPr>
              <w:spacing w:after="0"/>
              <w:rPr>
                <w:sz w:val="6"/>
                <w:szCs w:val="6"/>
                <w:color w:val="auto"/>
              </w:rPr>
            </w:pPr>
          </w:p>
        </w:tc>
        <w:tc>
          <w:tcPr>
            <w:tcW w:w="1460" w:type="dxa"/>
            <w:vAlign w:val="bottom"/>
            <w:tcBorders>
              <w:bottom w:val="single" w:sz="8" w:color="181818"/>
            </w:tcBorders>
          </w:tcPr>
          <w:p>
            <w:pPr>
              <w:spacing w:after="0"/>
              <w:rPr>
                <w:sz w:val="6"/>
                <w:szCs w:val="6"/>
                <w:color w:val="auto"/>
              </w:rPr>
            </w:pPr>
          </w:p>
        </w:tc>
        <w:tc>
          <w:tcPr>
            <w:tcW w:w="1200" w:type="dxa"/>
            <w:vAlign w:val="bottom"/>
            <w:tcBorders>
              <w:bottom w:val="single" w:sz="8" w:color="181818"/>
            </w:tcBorders>
          </w:tcPr>
          <w:p>
            <w:pPr>
              <w:spacing w:after="0"/>
              <w:rPr>
                <w:sz w:val="6"/>
                <w:szCs w:val="6"/>
                <w:color w:val="auto"/>
              </w:rPr>
            </w:pPr>
          </w:p>
        </w:tc>
        <w:tc>
          <w:tcPr>
            <w:tcW w:w="360" w:type="dxa"/>
            <w:vAlign w:val="bottom"/>
            <w:tcBorders>
              <w:bottom w:val="single" w:sz="8" w:color="181818"/>
            </w:tcBorders>
          </w:tcPr>
          <w:p>
            <w:pPr>
              <w:spacing w:after="0"/>
              <w:rPr>
                <w:sz w:val="6"/>
                <w:szCs w:val="6"/>
                <w:color w:val="auto"/>
              </w:rPr>
            </w:pPr>
          </w:p>
        </w:tc>
        <w:tc>
          <w:tcPr>
            <w:tcW w:w="106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27" w:hanging="327"/>
        <w:spacing w:after="0" w:line="281" w:lineRule="auto"/>
        <w:tabs>
          <w:tab w:leader="none" w:pos="315" w:val="left"/>
        </w:tabs>
        <w:numPr>
          <w:ilvl w:val="0"/>
          <w:numId w:val="46"/>
        </w:numPr>
        <w:rPr>
          <w:rFonts w:ascii="Arial" w:cs="Arial" w:eastAsia="Arial" w:hAnsi="Arial"/>
          <w:sz w:val="14"/>
          <w:szCs w:val="14"/>
          <w:b w:val="1"/>
          <w:bCs w:val="1"/>
          <w:color w:val="181818"/>
        </w:rPr>
      </w:pPr>
      <w:r>
        <w:rPr>
          <w:rFonts w:ascii="Arial" w:cs="Arial" w:eastAsia="Arial" w:hAnsi="Arial"/>
          <w:sz w:val="14"/>
          <w:szCs w:val="14"/>
          <w:color w:val="auto"/>
        </w:rPr>
        <w:t>These amounts in the Non-Equity Incentive Compensation Plan column reflect payments pursuant to the Company’s Short-Term Incentive Program. Under this program, the Company’s executive officers are eligible to receive an annual cash bonus based on a percentage of their base salaries contingent upon their achievement of certain pre-established corporate and individual performance goals approved and evaluated by the Compensation Committee. For Fiscal 2026, Mr. Guttman-McCabe received 100% of his target bonus, which reflects both the formulaic payout under the Short-Term Incentive Program and an additional discretionary adjustment by the Compensation Committee in recognition of his performance in securing the 2026 Report and Order. The portion attributable to the discretionary adjustment is reflected in the Bonus column.</w:t>
      </w:r>
    </w:p>
    <w:p>
      <w:pPr>
        <w:spacing w:after="0" w:line="205" w:lineRule="exact"/>
        <w:rPr>
          <w:rFonts w:ascii="Arial" w:cs="Arial" w:eastAsia="Arial" w:hAnsi="Arial"/>
          <w:sz w:val="14"/>
          <w:szCs w:val="14"/>
          <w:b w:val="1"/>
          <w:bCs w:val="1"/>
          <w:color w:val="181818"/>
        </w:rPr>
      </w:pPr>
    </w:p>
    <w:p>
      <w:pPr>
        <w:ind w:left="327" w:right="20" w:hanging="327"/>
        <w:spacing w:after="0" w:line="284" w:lineRule="auto"/>
        <w:tabs>
          <w:tab w:leader="none" w:pos="295" w:val="left"/>
        </w:tabs>
        <w:numPr>
          <w:ilvl w:val="0"/>
          <w:numId w:val="46"/>
        </w:numPr>
        <w:rPr>
          <w:rFonts w:ascii="Arial" w:cs="Arial" w:eastAsia="Arial" w:hAnsi="Arial"/>
          <w:sz w:val="14"/>
          <w:szCs w:val="14"/>
          <w:b w:val="1"/>
          <w:bCs w:val="1"/>
          <w:color w:val="181818"/>
        </w:rPr>
      </w:pPr>
      <w:r>
        <w:rPr>
          <w:rFonts w:ascii="Arial" w:cs="Arial" w:eastAsia="Arial" w:hAnsi="Arial"/>
          <w:sz w:val="14"/>
          <w:szCs w:val="14"/>
          <w:color w:val="auto"/>
        </w:rPr>
        <w:t>These amounts represent the grant date fair value of equity-based stock awards granted by the Company during the periods presented, determined in accordance with FASB ASC Topic 718. All awards are amortized over the vesting life of the award. For the assumptions used in our valuations, see Note 13 - Stock Compensation of our notes to the consolidated financial statements in our Annual Report. In accordance with SEC rules, the grant date fair value of any award subject to a performance condition is based on the probable outcome of the performance condition.</w:t>
      </w:r>
    </w:p>
    <w:p>
      <w:pPr>
        <w:spacing w:after="0" w:line="34" w:lineRule="exact"/>
        <w:rPr>
          <w:rFonts w:ascii="Arial" w:cs="Arial" w:eastAsia="Arial" w:hAnsi="Arial"/>
          <w:sz w:val="14"/>
          <w:szCs w:val="14"/>
          <w:b w:val="1"/>
          <w:bCs w:val="1"/>
          <w:color w:val="181818"/>
        </w:rPr>
      </w:pPr>
    </w:p>
    <w:p>
      <w:pPr>
        <w:ind w:left="287" w:hanging="287"/>
        <w:spacing w:after="0"/>
        <w:tabs>
          <w:tab w:leader="none" w:pos="287" w:val="left"/>
        </w:tabs>
        <w:numPr>
          <w:ilvl w:val="0"/>
          <w:numId w:val="46"/>
        </w:numPr>
        <w:rPr>
          <w:rFonts w:ascii="Arial" w:cs="Arial" w:eastAsia="Arial" w:hAnsi="Arial"/>
          <w:sz w:val="14"/>
          <w:szCs w:val="14"/>
          <w:b w:val="1"/>
          <w:bCs w:val="1"/>
          <w:color w:val="181818"/>
        </w:rPr>
      </w:pPr>
      <w:r>
        <w:rPr>
          <w:rFonts w:ascii="Arial" w:cs="Arial" w:eastAsia="Arial" w:hAnsi="Arial"/>
          <w:sz w:val="14"/>
          <w:szCs w:val="14"/>
          <w:color w:val="auto"/>
        </w:rPr>
        <w:t>Represents matching contributions made by the Company in connection with our 401(k) Plan.</w:t>
      </w:r>
    </w:p>
    <w:p>
      <w:pPr>
        <w:spacing w:after="0" w:line="95" w:lineRule="exact"/>
        <w:rPr>
          <w:rFonts w:ascii="Arial" w:cs="Arial" w:eastAsia="Arial" w:hAnsi="Arial"/>
          <w:sz w:val="14"/>
          <w:szCs w:val="14"/>
          <w:b w:val="1"/>
          <w:bCs w:val="1"/>
          <w:color w:val="181818"/>
        </w:rPr>
      </w:pPr>
    </w:p>
    <w:p>
      <w:pPr>
        <w:ind w:left="287" w:hanging="287"/>
        <w:spacing w:after="0"/>
        <w:tabs>
          <w:tab w:leader="none" w:pos="287" w:val="left"/>
        </w:tabs>
        <w:numPr>
          <w:ilvl w:val="0"/>
          <w:numId w:val="46"/>
        </w:numPr>
        <w:rPr>
          <w:rFonts w:ascii="Arial" w:cs="Arial" w:eastAsia="Arial" w:hAnsi="Arial"/>
          <w:sz w:val="14"/>
          <w:szCs w:val="14"/>
          <w:b w:val="1"/>
          <w:bCs w:val="1"/>
          <w:color w:val="181818"/>
        </w:rPr>
      </w:pPr>
      <w:r>
        <w:rPr>
          <w:rFonts w:ascii="Arial" w:cs="Arial" w:eastAsia="Arial" w:hAnsi="Arial"/>
          <w:sz w:val="14"/>
          <w:szCs w:val="14"/>
          <w:color w:val="auto"/>
        </w:rPr>
        <w:t>Represents 50% of Mr. Lang’s prorated Fiscal 2025 bonus, which was guaranteed pursuant to his offer letter.</w:t>
      </w:r>
    </w:p>
    <w:p>
      <w:pPr>
        <w:spacing w:after="0" w:line="82" w:lineRule="exact"/>
        <w:rPr>
          <w:rFonts w:ascii="Arial" w:cs="Arial" w:eastAsia="Arial" w:hAnsi="Arial"/>
          <w:sz w:val="14"/>
          <w:szCs w:val="14"/>
          <w:b w:val="1"/>
          <w:bCs w:val="1"/>
          <w:color w:val="181818"/>
        </w:rPr>
      </w:pPr>
    </w:p>
    <w:p>
      <w:pPr>
        <w:ind w:left="327" w:right="160" w:hanging="327"/>
        <w:spacing w:after="0" w:line="296" w:lineRule="auto"/>
        <w:tabs>
          <w:tab w:leader="none" w:pos="292" w:val="left"/>
        </w:tabs>
        <w:numPr>
          <w:ilvl w:val="0"/>
          <w:numId w:val="46"/>
        </w:numPr>
        <w:rPr>
          <w:rFonts w:ascii="Arial" w:cs="Arial" w:eastAsia="Arial" w:hAnsi="Arial"/>
          <w:sz w:val="14"/>
          <w:szCs w:val="14"/>
          <w:b w:val="1"/>
          <w:bCs w:val="1"/>
          <w:color w:val="181818"/>
        </w:rPr>
      </w:pPr>
      <w:r>
        <w:rPr>
          <w:rFonts w:ascii="Arial" w:cs="Arial" w:eastAsia="Arial" w:hAnsi="Arial"/>
          <w:sz w:val="14"/>
          <w:szCs w:val="14"/>
          <w:color w:val="auto"/>
        </w:rPr>
        <w:t>The amount reported in the Stock Awards column for Mr. Lang represents the grant date fair value of the 97,631 PSUs granted to him on October 6, 2024, and the amount reported in the Option Awards column for Mr. Lang represents the incremental fair value attributable to the modification of such PSUs to time-based stock options. The following table summarizes the elements included in the “Stock Awards” and “Option Awards" column for Mr. Lang reported for Fiscal 2025.</w:t>
      </w:r>
    </w:p>
    <w:p>
      <w:pPr>
        <w:spacing w:after="0" w:line="73" w:lineRule="exact"/>
        <w:rPr>
          <w:sz w:val="20"/>
          <w:szCs w:val="20"/>
          <w:color w:val="auto"/>
        </w:rPr>
      </w:pPr>
    </w:p>
    <w:tbl>
      <w:tblPr>
        <w:tblLayout w:type="fixed"/>
        <w:tblInd w:w="7" w:type="dxa"/>
        <w:tblCellMar>
          <w:top w:w="0" w:type="dxa"/>
          <w:left w:w="0" w:type="dxa"/>
          <w:bottom w:w="0" w:type="dxa"/>
          <w:right w:w="0" w:type="dxa"/>
        </w:tblCellMar>
      </w:tblPr>
      <w:tr>
        <w:trPr>
          <w:trHeight w:val="201"/>
        </w:trPr>
        <w:tc>
          <w:tcPr>
            <w:tcW w:w="340" w:type="dxa"/>
            <w:vAlign w:val="bottom"/>
            <w:tcBorders>
              <w:right w:val="single" w:sz="8" w:color="181818"/>
            </w:tcBorders>
          </w:tcPr>
          <w:p>
            <w:pPr>
              <w:spacing w:after="0"/>
              <w:rPr>
                <w:sz w:val="17"/>
                <w:szCs w:val="17"/>
                <w:color w:val="auto"/>
              </w:rPr>
            </w:pPr>
          </w:p>
        </w:tc>
        <w:tc>
          <w:tcPr>
            <w:tcW w:w="3120" w:type="dxa"/>
            <w:vAlign w:val="bottom"/>
            <w:tcBorders>
              <w:top w:val="single" w:sz="8" w:color="181818"/>
            </w:tcBorders>
            <w:shd w:val="clear" w:color="auto" w:fill="1B6F80"/>
          </w:tcPr>
          <w:p>
            <w:pPr>
              <w:spacing w:after="0"/>
              <w:rPr>
                <w:sz w:val="17"/>
                <w:szCs w:val="17"/>
                <w:color w:val="auto"/>
              </w:rPr>
            </w:pPr>
          </w:p>
        </w:tc>
        <w:tc>
          <w:tcPr>
            <w:tcW w:w="2460" w:type="dxa"/>
            <w:vAlign w:val="bottom"/>
            <w:tcBorders>
              <w:top w:val="single" w:sz="8" w:color="181818"/>
            </w:tcBorders>
            <w:shd w:val="clear" w:color="auto" w:fill="1B6F80"/>
          </w:tcPr>
          <w:p>
            <w:pPr>
              <w:spacing w:after="0"/>
              <w:rPr>
                <w:sz w:val="17"/>
                <w:szCs w:val="17"/>
                <w:color w:val="auto"/>
              </w:rPr>
            </w:pPr>
          </w:p>
        </w:tc>
        <w:tc>
          <w:tcPr>
            <w:tcW w:w="2640" w:type="dxa"/>
            <w:vAlign w:val="bottom"/>
            <w:tcBorders>
              <w:top w:val="single" w:sz="8" w:color="181818"/>
            </w:tcBorders>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Aggregate Incremental Fair</w:t>
            </w:r>
          </w:p>
        </w:tc>
        <w:tc>
          <w:tcPr>
            <w:tcW w:w="2300" w:type="dxa"/>
            <w:vAlign w:val="bottom"/>
            <w:tcBorders>
              <w:top w:val="single" w:sz="8" w:color="181818"/>
              <w:right w:val="single" w:sz="8" w:color="181818"/>
            </w:tcBorders>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Total Stock Awards +</w:t>
            </w:r>
          </w:p>
        </w:tc>
        <w:tc>
          <w:tcPr>
            <w:tcW w:w="400" w:type="dxa"/>
            <w:vAlign w:val="bottom"/>
          </w:tcPr>
          <w:p>
            <w:pPr>
              <w:spacing w:after="0"/>
              <w:rPr>
                <w:sz w:val="17"/>
                <w:szCs w:val="17"/>
                <w:color w:val="auto"/>
              </w:rPr>
            </w:pPr>
          </w:p>
        </w:tc>
      </w:tr>
      <w:tr>
        <w:trPr>
          <w:trHeight w:val="175"/>
        </w:trPr>
        <w:tc>
          <w:tcPr>
            <w:tcW w:w="340" w:type="dxa"/>
            <w:vAlign w:val="bottom"/>
            <w:tcBorders>
              <w:right w:val="single" w:sz="8" w:color="181818"/>
            </w:tcBorders>
          </w:tcPr>
          <w:p>
            <w:pPr>
              <w:spacing w:after="0"/>
              <w:rPr>
                <w:sz w:val="15"/>
                <w:szCs w:val="15"/>
                <w:color w:val="auto"/>
              </w:rPr>
            </w:pPr>
          </w:p>
        </w:tc>
        <w:tc>
          <w:tcPr>
            <w:tcW w:w="3120" w:type="dxa"/>
            <w:vAlign w:val="bottom"/>
            <w:shd w:val="clear" w:color="auto" w:fill="1B6F80"/>
          </w:tcPr>
          <w:p>
            <w:pPr>
              <w:spacing w:after="0"/>
              <w:rPr>
                <w:sz w:val="15"/>
                <w:szCs w:val="15"/>
                <w:color w:val="auto"/>
              </w:rPr>
            </w:pPr>
          </w:p>
        </w:tc>
        <w:tc>
          <w:tcPr>
            <w:tcW w:w="2460" w:type="dxa"/>
            <w:vAlign w:val="bottom"/>
            <w:shd w:val="clear" w:color="auto" w:fill="1B6F80"/>
          </w:tcPr>
          <w:p>
            <w:pPr>
              <w:jc w:val="right"/>
              <w:ind w:right="268"/>
              <w:spacing w:after="0"/>
              <w:rPr>
                <w:sz w:val="20"/>
                <w:szCs w:val="20"/>
                <w:color w:val="auto"/>
              </w:rPr>
            </w:pPr>
            <w:r>
              <w:rPr>
                <w:rFonts w:ascii="Arial" w:cs="Arial" w:eastAsia="Arial" w:hAnsi="Arial"/>
                <w:sz w:val="14"/>
                <w:szCs w:val="14"/>
                <w:b w:val="1"/>
                <w:bCs w:val="1"/>
                <w:color w:val="FFFFFF"/>
              </w:rPr>
              <w:t>Aggregate Grant Date</w:t>
            </w:r>
          </w:p>
        </w:tc>
        <w:tc>
          <w:tcPr>
            <w:tcW w:w="2640" w:type="dxa"/>
            <w:vAlign w:val="bottom"/>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Value of Conversion</w:t>
            </w:r>
          </w:p>
        </w:tc>
        <w:tc>
          <w:tcPr>
            <w:tcW w:w="2300" w:type="dxa"/>
            <w:vAlign w:val="bottom"/>
            <w:tcBorders>
              <w:right w:val="single" w:sz="8" w:color="181818"/>
            </w:tcBorders>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Option Awards as Shown</w:t>
            </w:r>
          </w:p>
        </w:tc>
        <w:tc>
          <w:tcPr>
            <w:tcW w:w="400" w:type="dxa"/>
            <w:vAlign w:val="bottom"/>
          </w:tcPr>
          <w:p>
            <w:pPr>
              <w:spacing w:after="0"/>
              <w:rPr>
                <w:sz w:val="15"/>
                <w:szCs w:val="15"/>
                <w:color w:val="auto"/>
              </w:rPr>
            </w:pPr>
          </w:p>
        </w:tc>
      </w:tr>
      <w:tr>
        <w:trPr>
          <w:trHeight w:val="175"/>
        </w:trPr>
        <w:tc>
          <w:tcPr>
            <w:tcW w:w="340" w:type="dxa"/>
            <w:vAlign w:val="bottom"/>
            <w:tcBorders>
              <w:right w:val="single" w:sz="8" w:color="181818"/>
            </w:tcBorders>
          </w:tcPr>
          <w:p>
            <w:pPr>
              <w:spacing w:after="0"/>
              <w:rPr>
                <w:sz w:val="15"/>
                <w:szCs w:val="15"/>
                <w:color w:val="auto"/>
              </w:rPr>
            </w:pPr>
          </w:p>
        </w:tc>
        <w:tc>
          <w:tcPr>
            <w:tcW w:w="3120" w:type="dxa"/>
            <w:vAlign w:val="bottom"/>
            <w:shd w:val="clear" w:color="auto" w:fill="1B6F80"/>
          </w:tcPr>
          <w:p>
            <w:pPr>
              <w:spacing w:after="0"/>
              <w:rPr>
                <w:sz w:val="15"/>
                <w:szCs w:val="15"/>
                <w:color w:val="auto"/>
              </w:rPr>
            </w:pPr>
          </w:p>
        </w:tc>
        <w:tc>
          <w:tcPr>
            <w:tcW w:w="2460" w:type="dxa"/>
            <w:vAlign w:val="bottom"/>
            <w:shd w:val="clear" w:color="auto" w:fill="1B6F80"/>
          </w:tcPr>
          <w:p>
            <w:pPr>
              <w:jc w:val="right"/>
              <w:ind w:right="268"/>
              <w:spacing w:after="0"/>
              <w:rPr>
                <w:sz w:val="20"/>
                <w:szCs w:val="20"/>
                <w:color w:val="auto"/>
              </w:rPr>
            </w:pPr>
            <w:r>
              <w:rPr>
                <w:rFonts w:ascii="Arial" w:cs="Arial" w:eastAsia="Arial" w:hAnsi="Arial"/>
                <w:sz w:val="14"/>
                <w:szCs w:val="14"/>
                <w:b w:val="1"/>
                <w:bCs w:val="1"/>
                <w:color w:val="FFFFFF"/>
              </w:rPr>
              <w:t>Fair Value of PSUs</w:t>
            </w:r>
          </w:p>
        </w:tc>
        <w:tc>
          <w:tcPr>
            <w:tcW w:w="2640" w:type="dxa"/>
            <w:vAlign w:val="bottom"/>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of PSUs to Time-Based</w:t>
            </w:r>
          </w:p>
        </w:tc>
        <w:tc>
          <w:tcPr>
            <w:tcW w:w="2300" w:type="dxa"/>
            <w:vAlign w:val="bottom"/>
            <w:tcBorders>
              <w:right w:val="single" w:sz="8" w:color="181818"/>
            </w:tcBorders>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in the Summary</w:t>
            </w:r>
          </w:p>
        </w:tc>
        <w:tc>
          <w:tcPr>
            <w:tcW w:w="400" w:type="dxa"/>
            <w:vAlign w:val="bottom"/>
          </w:tcPr>
          <w:p>
            <w:pPr>
              <w:spacing w:after="0"/>
              <w:rPr>
                <w:sz w:val="15"/>
                <w:szCs w:val="15"/>
                <w:color w:val="auto"/>
              </w:rPr>
            </w:pPr>
          </w:p>
        </w:tc>
      </w:tr>
      <w:tr>
        <w:trPr>
          <w:trHeight w:val="175"/>
        </w:trPr>
        <w:tc>
          <w:tcPr>
            <w:tcW w:w="340" w:type="dxa"/>
            <w:vAlign w:val="bottom"/>
            <w:tcBorders>
              <w:right w:val="single" w:sz="8" w:color="181818"/>
            </w:tcBorders>
          </w:tcPr>
          <w:p>
            <w:pPr>
              <w:spacing w:after="0"/>
              <w:rPr>
                <w:sz w:val="15"/>
                <w:szCs w:val="15"/>
                <w:color w:val="auto"/>
              </w:rPr>
            </w:pPr>
          </w:p>
        </w:tc>
        <w:tc>
          <w:tcPr>
            <w:tcW w:w="3120" w:type="dxa"/>
            <w:vAlign w:val="bottom"/>
            <w:shd w:val="clear" w:color="auto" w:fill="1B6F80"/>
          </w:tcPr>
          <w:p>
            <w:pPr>
              <w:spacing w:after="0"/>
              <w:rPr>
                <w:sz w:val="15"/>
                <w:szCs w:val="15"/>
                <w:color w:val="auto"/>
              </w:rPr>
            </w:pPr>
          </w:p>
        </w:tc>
        <w:tc>
          <w:tcPr>
            <w:tcW w:w="2460" w:type="dxa"/>
            <w:vAlign w:val="bottom"/>
            <w:shd w:val="clear" w:color="auto" w:fill="1B6F80"/>
          </w:tcPr>
          <w:p>
            <w:pPr>
              <w:jc w:val="right"/>
              <w:ind w:right="268"/>
              <w:spacing w:after="0"/>
              <w:rPr>
                <w:sz w:val="20"/>
                <w:szCs w:val="20"/>
                <w:color w:val="auto"/>
              </w:rPr>
            </w:pPr>
            <w:r>
              <w:rPr>
                <w:rFonts w:ascii="Arial" w:cs="Arial" w:eastAsia="Arial" w:hAnsi="Arial"/>
                <w:sz w:val="14"/>
                <w:szCs w:val="14"/>
                <w:b w:val="1"/>
                <w:bCs w:val="1"/>
                <w:color w:val="FFFFFF"/>
              </w:rPr>
              <w:t>Granted</w:t>
            </w:r>
          </w:p>
        </w:tc>
        <w:tc>
          <w:tcPr>
            <w:tcW w:w="2640" w:type="dxa"/>
            <w:vAlign w:val="bottom"/>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Stock Options</w:t>
            </w:r>
          </w:p>
        </w:tc>
        <w:tc>
          <w:tcPr>
            <w:tcW w:w="2300" w:type="dxa"/>
            <w:vAlign w:val="bottom"/>
            <w:tcBorders>
              <w:right w:val="single" w:sz="8" w:color="181818"/>
            </w:tcBorders>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Compensation Table</w:t>
            </w:r>
          </w:p>
        </w:tc>
        <w:tc>
          <w:tcPr>
            <w:tcW w:w="400" w:type="dxa"/>
            <w:vAlign w:val="bottom"/>
          </w:tcPr>
          <w:p>
            <w:pPr>
              <w:spacing w:after="0"/>
              <w:rPr>
                <w:sz w:val="15"/>
                <w:szCs w:val="15"/>
                <w:color w:val="auto"/>
              </w:rPr>
            </w:pPr>
          </w:p>
        </w:tc>
      </w:tr>
      <w:tr>
        <w:trPr>
          <w:trHeight w:val="238"/>
        </w:trPr>
        <w:tc>
          <w:tcPr>
            <w:tcW w:w="340" w:type="dxa"/>
            <w:vAlign w:val="bottom"/>
            <w:tcBorders>
              <w:right w:val="single" w:sz="8" w:color="181818"/>
            </w:tcBorders>
          </w:tcPr>
          <w:p>
            <w:pPr>
              <w:spacing w:after="0"/>
              <w:rPr>
                <w:sz w:val="20"/>
                <w:szCs w:val="20"/>
                <w:color w:val="auto"/>
              </w:rPr>
            </w:pPr>
          </w:p>
        </w:tc>
        <w:tc>
          <w:tcPr>
            <w:tcW w:w="3120" w:type="dxa"/>
            <w:vAlign w:val="bottom"/>
            <w:tcBorders>
              <w:bottom w:val="single" w:sz="8" w:color="1B6F80"/>
            </w:tcBorders>
            <w:shd w:val="clear" w:color="auto" w:fill="1B6F80"/>
          </w:tcPr>
          <w:p>
            <w:pPr>
              <w:ind w:left="80"/>
              <w:spacing w:after="0"/>
              <w:rPr>
                <w:sz w:val="20"/>
                <w:szCs w:val="20"/>
                <w:color w:val="auto"/>
              </w:rPr>
            </w:pPr>
            <w:r>
              <w:rPr>
                <w:rFonts w:ascii="Arial" w:cs="Arial" w:eastAsia="Arial" w:hAnsi="Arial"/>
                <w:sz w:val="14"/>
                <w:szCs w:val="14"/>
                <w:b w:val="1"/>
                <w:bCs w:val="1"/>
                <w:color w:val="FFFFFF"/>
              </w:rPr>
              <w:t>Name</w:t>
            </w:r>
          </w:p>
        </w:tc>
        <w:tc>
          <w:tcPr>
            <w:tcW w:w="2460" w:type="dxa"/>
            <w:vAlign w:val="bottom"/>
            <w:tcBorders>
              <w:bottom w:val="single" w:sz="8" w:color="1B6F80"/>
            </w:tcBorders>
            <w:shd w:val="clear" w:color="auto" w:fill="1B6F80"/>
          </w:tcPr>
          <w:p>
            <w:pPr>
              <w:jc w:val="right"/>
              <w:ind w:right="268"/>
              <w:spacing w:after="0"/>
              <w:rPr>
                <w:sz w:val="20"/>
                <w:szCs w:val="20"/>
                <w:color w:val="auto"/>
              </w:rPr>
            </w:pPr>
            <w:r>
              <w:rPr>
                <w:rFonts w:ascii="Arial" w:cs="Arial" w:eastAsia="Arial" w:hAnsi="Arial"/>
                <w:sz w:val="14"/>
                <w:szCs w:val="14"/>
                <w:b w:val="1"/>
                <w:bCs w:val="1"/>
                <w:color w:val="FFFFFF"/>
              </w:rPr>
              <w:t>($)</w:t>
            </w:r>
          </w:p>
        </w:tc>
        <w:tc>
          <w:tcPr>
            <w:tcW w:w="2640" w:type="dxa"/>
            <w:vAlign w:val="bottom"/>
            <w:tcBorders>
              <w:bottom w:val="single" w:sz="8" w:color="1B6F80"/>
            </w:tcBorders>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w:t>
            </w:r>
          </w:p>
        </w:tc>
        <w:tc>
          <w:tcPr>
            <w:tcW w:w="2300" w:type="dxa"/>
            <w:vAlign w:val="bottom"/>
            <w:tcBorders>
              <w:bottom w:val="single" w:sz="8" w:color="1B6F80"/>
              <w:right w:val="single" w:sz="8" w:color="181818"/>
            </w:tcBorders>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w:t>
            </w:r>
          </w:p>
        </w:tc>
        <w:tc>
          <w:tcPr>
            <w:tcW w:w="400" w:type="dxa"/>
            <w:vAlign w:val="bottom"/>
          </w:tcPr>
          <w:p>
            <w:pPr>
              <w:spacing w:after="0"/>
              <w:rPr>
                <w:sz w:val="20"/>
                <w:szCs w:val="20"/>
                <w:color w:val="auto"/>
              </w:rPr>
            </w:pPr>
          </w:p>
        </w:tc>
      </w:tr>
      <w:tr>
        <w:trPr>
          <w:trHeight w:val="282"/>
        </w:trPr>
        <w:tc>
          <w:tcPr>
            <w:tcW w:w="340" w:type="dxa"/>
            <w:vAlign w:val="bottom"/>
            <w:tcBorders>
              <w:right w:val="single" w:sz="8" w:color="181818"/>
            </w:tcBorders>
          </w:tcPr>
          <w:p>
            <w:pPr>
              <w:spacing w:after="0"/>
              <w:rPr>
                <w:sz w:val="24"/>
                <w:szCs w:val="24"/>
                <w:color w:val="auto"/>
              </w:rPr>
            </w:pPr>
          </w:p>
        </w:tc>
        <w:tc>
          <w:tcPr>
            <w:tcW w:w="3120" w:type="dxa"/>
            <w:vAlign w:val="bottom"/>
            <w:shd w:val="clear" w:color="auto" w:fill="AED0C7"/>
          </w:tcPr>
          <w:p>
            <w:pPr>
              <w:spacing w:after="0"/>
              <w:rPr>
                <w:sz w:val="24"/>
                <w:szCs w:val="24"/>
                <w:color w:val="auto"/>
              </w:rPr>
            </w:pPr>
          </w:p>
        </w:tc>
        <w:tc>
          <w:tcPr>
            <w:tcW w:w="2460" w:type="dxa"/>
            <w:vAlign w:val="bottom"/>
            <w:shd w:val="clear" w:color="auto" w:fill="AED0C7"/>
          </w:tcPr>
          <w:p>
            <w:pPr>
              <w:jc w:val="right"/>
              <w:ind w:right="268"/>
              <w:spacing w:after="0"/>
              <w:rPr>
                <w:sz w:val="20"/>
                <w:szCs w:val="20"/>
                <w:color w:val="auto"/>
              </w:rPr>
            </w:pPr>
            <w:r>
              <w:rPr>
                <w:rFonts w:ascii="Arial" w:cs="Arial" w:eastAsia="Arial" w:hAnsi="Arial"/>
                <w:sz w:val="14"/>
                <w:szCs w:val="14"/>
                <w:b w:val="1"/>
                <w:bCs w:val="1"/>
                <w:color w:val="181818"/>
              </w:rPr>
              <w:t>(a)</w:t>
            </w:r>
          </w:p>
        </w:tc>
        <w:tc>
          <w:tcPr>
            <w:tcW w:w="2640" w:type="dxa"/>
            <w:vAlign w:val="bottom"/>
            <w:shd w:val="clear" w:color="auto" w:fill="AED0C7"/>
          </w:tcPr>
          <w:p>
            <w:pPr>
              <w:jc w:val="right"/>
              <w:ind w:right="368"/>
              <w:spacing w:after="0"/>
              <w:rPr>
                <w:sz w:val="20"/>
                <w:szCs w:val="20"/>
                <w:color w:val="auto"/>
              </w:rPr>
            </w:pPr>
            <w:r>
              <w:rPr>
                <w:rFonts w:ascii="Arial" w:cs="Arial" w:eastAsia="Arial" w:hAnsi="Arial"/>
                <w:sz w:val="14"/>
                <w:szCs w:val="14"/>
                <w:b w:val="1"/>
                <w:bCs w:val="1"/>
                <w:color w:val="181818"/>
              </w:rPr>
              <w:t>(b)</w:t>
            </w:r>
          </w:p>
        </w:tc>
        <w:tc>
          <w:tcPr>
            <w:tcW w:w="2300" w:type="dxa"/>
            <w:vAlign w:val="bottom"/>
            <w:tcBorders>
              <w:right w:val="single" w:sz="8" w:color="181818"/>
            </w:tcBorders>
            <w:shd w:val="clear" w:color="auto" w:fill="AED0C7"/>
          </w:tcPr>
          <w:p>
            <w:pPr>
              <w:jc w:val="right"/>
              <w:ind w:right="48"/>
              <w:spacing w:after="0"/>
              <w:rPr>
                <w:sz w:val="20"/>
                <w:szCs w:val="20"/>
                <w:color w:val="auto"/>
              </w:rPr>
            </w:pPr>
            <w:r>
              <w:rPr>
                <w:rFonts w:ascii="Arial" w:cs="Arial" w:eastAsia="Arial" w:hAnsi="Arial"/>
                <w:sz w:val="14"/>
                <w:szCs w:val="14"/>
                <w:b w:val="1"/>
                <w:bCs w:val="1"/>
                <w:color w:val="181818"/>
              </w:rPr>
              <w:t>((a) + (b))</w:t>
            </w:r>
          </w:p>
        </w:tc>
        <w:tc>
          <w:tcPr>
            <w:tcW w:w="400" w:type="dxa"/>
            <w:vAlign w:val="bottom"/>
          </w:tcPr>
          <w:p>
            <w:pPr>
              <w:spacing w:after="0"/>
              <w:rPr>
                <w:sz w:val="24"/>
                <w:szCs w:val="24"/>
                <w:color w:val="auto"/>
              </w:rPr>
            </w:pPr>
          </w:p>
        </w:tc>
      </w:tr>
      <w:tr>
        <w:trPr>
          <w:trHeight w:val="70"/>
        </w:trPr>
        <w:tc>
          <w:tcPr>
            <w:tcW w:w="340" w:type="dxa"/>
            <w:vAlign w:val="bottom"/>
            <w:tcBorders>
              <w:right w:val="single" w:sz="8" w:color="181818"/>
            </w:tcBorders>
          </w:tcPr>
          <w:p>
            <w:pPr>
              <w:spacing w:after="0"/>
              <w:rPr>
                <w:sz w:val="6"/>
                <w:szCs w:val="6"/>
                <w:color w:val="auto"/>
              </w:rPr>
            </w:pPr>
          </w:p>
        </w:tc>
        <w:tc>
          <w:tcPr>
            <w:tcW w:w="3120" w:type="dxa"/>
            <w:vAlign w:val="bottom"/>
            <w:shd w:val="clear" w:color="auto" w:fill="AED0C7"/>
          </w:tcPr>
          <w:p>
            <w:pPr>
              <w:spacing w:after="0"/>
              <w:rPr>
                <w:sz w:val="6"/>
                <w:szCs w:val="6"/>
                <w:color w:val="auto"/>
              </w:rPr>
            </w:pPr>
          </w:p>
        </w:tc>
        <w:tc>
          <w:tcPr>
            <w:tcW w:w="2460" w:type="dxa"/>
            <w:vAlign w:val="bottom"/>
            <w:shd w:val="clear" w:color="auto" w:fill="AED0C7"/>
          </w:tcPr>
          <w:p>
            <w:pPr>
              <w:spacing w:after="0"/>
              <w:rPr>
                <w:sz w:val="6"/>
                <w:szCs w:val="6"/>
                <w:color w:val="auto"/>
              </w:rPr>
            </w:pPr>
          </w:p>
        </w:tc>
        <w:tc>
          <w:tcPr>
            <w:tcW w:w="2640" w:type="dxa"/>
            <w:vAlign w:val="bottom"/>
            <w:shd w:val="clear" w:color="auto" w:fill="AED0C7"/>
          </w:tcPr>
          <w:p>
            <w:pPr>
              <w:spacing w:after="0"/>
              <w:rPr>
                <w:sz w:val="6"/>
                <w:szCs w:val="6"/>
                <w:color w:val="auto"/>
              </w:rPr>
            </w:pPr>
          </w:p>
        </w:tc>
        <w:tc>
          <w:tcPr>
            <w:tcW w:w="2300" w:type="dxa"/>
            <w:vAlign w:val="bottom"/>
            <w:tcBorders>
              <w:right w:val="single" w:sz="8" w:color="181818"/>
            </w:tcBorders>
            <w:shd w:val="clear" w:color="auto" w:fill="AED0C7"/>
          </w:tcPr>
          <w:p>
            <w:pPr>
              <w:spacing w:after="0"/>
              <w:rPr>
                <w:sz w:val="6"/>
                <w:szCs w:val="6"/>
                <w:color w:val="auto"/>
              </w:rPr>
            </w:pPr>
          </w:p>
        </w:tc>
        <w:tc>
          <w:tcPr>
            <w:tcW w:w="400" w:type="dxa"/>
            <w:vAlign w:val="bottom"/>
          </w:tcPr>
          <w:p>
            <w:pPr>
              <w:spacing w:after="0"/>
              <w:rPr>
                <w:sz w:val="6"/>
                <w:szCs w:val="6"/>
                <w:color w:val="auto"/>
              </w:rPr>
            </w:pPr>
          </w:p>
        </w:tc>
      </w:tr>
      <w:tr>
        <w:trPr>
          <w:trHeight w:val="268"/>
        </w:trPr>
        <w:tc>
          <w:tcPr>
            <w:tcW w:w="340" w:type="dxa"/>
            <w:vAlign w:val="bottom"/>
            <w:tcBorders>
              <w:right w:val="single" w:sz="8" w:color="181818"/>
            </w:tcBorders>
          </w:tcPr>
          <w:p>
            <w:pPr>
              <w:spacing w:after="0"/>
              <w:rPr>
                <w:sz w:val="23"/>
                <w:szCs w:val="23"/>
                <w:color w:val="auto"/>
              </w:rPr>
            </w:pPr>
          </w:p>
        </w:tc>
        <w:tc>
          <w:tcPr>
            <w:tcW w:w="3120" w:type="dxa"/>
            <w:vAlign w:val="bottom"/>
          </w:tcPr>
          <w:p>
            <w:pPr>
              <w:ind w:left="80"/>
              <w:spacing w:after="0"/>
              <w:rPr>
                <w:sz w:val="20"/>
                <w:szCs w:val="20"/>
                <w:color w:val="auto"/>
              </w:rPr>
            </w:pPr>
            <w:r>
              <w:rPr>
                <w:rFonts w:ascii="Arial" w:cs="Arial" w:eastAsia="Arial" w:hAnsi="Arial"/>
                <w:sz w:val="14"/>
                <w:szCs w:val="14"/>
                <w:b w:val="1"/>
                <w:bCs w:val="1"/>
                <w:color w:val="181818"/>
              </w:rPr>
              <w:t>Scott A. Lang</w:t>
            </w:r>
          </w:p>
        </w:tc>
        <w:tc>
          <w:tcPr>
            <w:tcW w:w="2460" w:type="dxa"/>
            <w:vAlign w:val="bottom"/>
          </w:tcPr>
          <w:p>
            <w:pPr>
              <w:jc w:val="right"/>
              <w:ind w:right="268"/>
              <w:spacing w:after="0"/>
              <w:rPr>
                <w:sz w:val="20"/>
                <w:szCs w:val="20"/>
                <w:color w:val="auto"/>
              </w:rPr>
            </w:pPr>
            <w:r>
              <w:rPr>
                <w:rFonts w:ascii="Arial" w:cs="Arial" w:eastAsia="Arial" w:hAnsi="Arial"/>
                <w:sz w:val="14"/>
                <w:szCs w:val="14"/>
                <w:color w:val="auto"/>
              </w:rPr>
              <w:t>1,999,972</w:t>
            </w:r>
          </w:p>
        </w:tc>
        <w:tc>
          <w:tcPr>
            <w:tcW w:w="2640" w:type="dxa"/>
            <w:vAlign w:val="bottom"/>
          </w:tcPr>
          <w:p>
            <w:pPr>
              <w:jc w:val="right"/>
              <w:ind w:right="368"/>
              <w:spacing w:after="0"/>
              <w:rPr>
                <w:sz w:val="20"/>
                <w:szCs w:val="20"/>
                <w:color w:val="auto"/>
              </w:rPr>
            </w:pPr>
            <w:r>
              <w:rPr>
                <w:rFonts w:ascii="Arial" w:cs="Arial" w:eastAsia="Arial" w:hAnsi="Arial"/>
                <w:sz w:val="14"/>
                <w:szCs w:val="14"/>
                <w:color w:val="auto"/>
              </w:rPr>
              <w:t>1,435,776</w:t>
            </w:r>
          </w:p>
        </w:tc>
        <w:tc>
          <w:tcPr>
            <w:tcW w:w="2300" w:type="dxa"/>
            <w:vAlign w:val="bottom"/>
            <w:tcBorders>
              <w:right w:val="single" w:sz="8" w:color="181818"/>
            </w:tcBorders>
          </w:tcPr>
          <w:p>
            <w:pPr>
              <w:jc w:val="right"/>
              <w:ind w:right="48"/>
              <w:spacing w:after="0"/>
              <w:rPr>
                <w:sz w:val="20"/>
                <w:szCs w:val="20"/>
                <w:color w:val="auto"/>
              </w:rPr>
            </w:pPr>
            <w:r>
              <w:rPr>
                <w:rFonts w:ascii="Arial" w:cs="Arial" w:eastAsia="Arial" w:hAnsi="Arial"/>
                <w:sz w:val="14"/>
                <w:szCs w:val="14"/>
                <w:color w:val="auto"/>
              </w:rPr>
              <w:t>3,435,748</w:t>
            </w:r>
          </w:p>
        </w:tc>
        <w:tc>
          <w:tcPr>
            <w:tcW w:w="400" w:type="dxa"/>
            <w:vAlign w:val="bottom"/>
          </w:tcPr>
          <w:p>
            <w:pPr>
              <w:spacing w:after="0"/>
              <w:rPr>
                <w:sz w:val="23"/>
                <w:szCs w:val="23"/>
                <w:color w:val="auto"/>
              </w:rPr>
            </w:pPr>
          </w:p>
        </w:tc>
      </w:tr>
      <w:tr>
        <w:trPr>
          <w:trHeight w:val="70"/>
        </w:trPr>
        <w:tc>
          <w:tcPr>
            <w:tcW w:w="340" w:type="dxa"/>
            <w:vAlign w:val="bottom"/>
            <w:tcBorders>
              <w:right w:val="single" w:sz="8" w:color="181818"/>
            </w:tcBorders>
          </w:tcPr>
          <w:p>
            <w:pPr>
              <w:spacing w:after="0"/>
              <w:rPr>
                <w:sz w:val="6"/>
                <w:szCs w:val="6"/>
                <w:color w:val="auto"/>
              </w:rPr>
            </w:pPr>
          </w:p>
        </w:tc>
        <w:tc>
          <w:tcPr>
            <w:tcW w:w="3120" w:type="dxa"/>
            <w:vAlign w:val="bottom"/>
            <w:tcBorders>
              <w:bottom w:val="single" w:sz="8" w:color="181818"/>
            </w:tcBorders>
          </w:tcPr>
          <w:p>
            <w:pPr>
              <w:spacing w:after="0"/>
              <w:rPr>
                <w:sz w:val="6"/>
                <w:szCs w:val="6"/>
                <w:color w:val="auto"/>
              </w:rPr>
            </w:pPr>
          </w:p>
        </w:tc>
        <w:tc>
          <w:tcPr>
            <w:tcW w:w="2460" w:type="dxa"/>
            <w:vAlign w:val="bottom"/>
            <w:tcBorders>
              <w:bottom w:val="single" w:sz="8" w:color="181818"/>
            </w:tcBorders>
          </w:tcPr>
          <w:p>
            <w:pPr>
              <w:spacing w:after="0"/>
              <w:rPr>
                <w:sz w:val="6"/>
                <w:szCs w:val="6"/>
                <w:color w:val="auto"/>
              </w:rPr>
            </w:pPr>
          </w:p>
        </w:tc>
        <w:tc>
          <w:tcPr>
            <w:tcW w:w="2640" w:type="dxa"/>
            <w:vAlign w:val="bottom"/>
            <w:tcBorders>
              <w:bottom w:val="single" w:sz="8" w:color="181818"/>
            </w:tcBorders>
          </w:tcPr>
          <w:p>
            <w:pPr>
              <w:spacing w:after="0"/>
              <w:rPr>
                <w:sz w:val="6"/>
                <w:szCs w:val="6"/>
                <w:color w:val="auto"/>
              </w:rPr>
            </w:pPr>
          </w:p>
        </w:tc>
        <w:tc>
          <w:tcPr>
            <w:tcW w:w="2300" w:type="dxa"/>
            <w:vAlign w:val="bottom"/>
            <w:tcBorders>
              <w:bottom w:val="single" w:sz="8" w:color="181818"/>
              <w:right w:val="single" w:sz="8" w:color="181818"/>
            </w:tcBorders>
          </w:tcPr>
          <w:p>
            <w:pPr>
              <w:spacing w:after="0"/>
              <w:rPr>
                <w:sz w:val="6"/>
                <w:szCs w:val="6"/>
                <w:color w:val="auto"/>
              </w:rPr>
            </w:pPr>
          </w:p>
        </w:tc>
        <w:tc>
          <w:tcPr>
            <w:tcW w:w="400" w:type="dxa"/>
            <w:vAlign w:val="bottom"/>
          </w:tcPr>
          <w:p>
            <w:pPr>
              <w:spacing w:after="0"/>
              <w:rPr>
                <w:sz w:val="6"/>
                <w:szCs w:val="6"/>
                <w:color w:val="auto"/>
              </w:rPr>
            </w:pPr>
          </w:p>
        </w:tc>
      </w:tr>
      <w:tr>
        <w:trPr>
          <w:trHeight w:val="601"/>
        </w:trPr>
        <w:tc>
          <w:tcPr>
            <w:tcW w:w="3460" w:type="dxa"/>
            <w:vAlign w:val="bottom"/>
            <w:tcBorders>
              <w:bottom w:val="single" w:sz="8" w:color="181818"/>
            </w:tcBorders>
            <w:gridSpan w:val="2"/>
          </w:tcPr>
          <w:p>
            <w:pPr>
              <w:spacing w:after="0"/>
              <w:rPr>
                <w:sz w:val="24"/>
                <w:szCs w:val="24"/>
                <w:color w:val="auto"/>
              </w:rPr>
            </w:pPr>
          </w:p>
        </w:tc>
        <w:tc>
          <w:tcPr>
            <w:tcW w:w="2460" w:type="dxa"/>
            <w:vAlign w:val="bottom"/>
            <w:tcBorders>
              <w:bottom w:val="single" w:sz="8" w:color="181818"/>
            </w:tcBorders>
          </w:tcPr>
          <w:p>
            <w:pPr>
              <w:spacing w:after="0"/>
              <w:rPr>
                <w:sz w:val="24"/>
                <w:szCs w:val="24"/>
                <w:color w:val="auto"/>
              </w:rPr>
            </w:pPr>
          </w:p>
        </w:tc>
        <w:tc>
          <w:tcPr>
            <w:tcW w:w="2640" w:type="dxa"/>
            <w:vAlign w:val="bottom"/>
            <w:tcBorders>
              <w:bottom w:val="single" w:sz="8" w:color="181818"/>
            </w:tcBorders>
          </w:tcPr>
          <w:p>
            <w:pPr>
              <w:spacing w:after="0"/>
              <w:rPr>
                <w:sz w:val="24"/>
                <w:szCs w:val="24"/>
                <w:color w:val="auto"/>
              </w:rPr>
            </w:pPr>
          </w:p>
        </w:tc>
        <w:tc>
          <w:tcPr>
            <w:tcW w:w="2700" w:type="dxa"/>
            <w:vAlign w:val="bottom"/>
            <w:tcBorders>
              <w:bottom w:val="single" w:sz="8" w:color="181818"/>
            </w:tcBorders>
            <w:gridSpan w:val="2"/>
          </w:tcPr>
          <w:p>
            <w:pPr>
              <w:spacing w:after="0"/>
              <w:rPr>
                <w:sz w:val="24"/>
                <w:szCs w:val="24"/>
                <w:color w:val="auto"/>
              </w:rPr>
            </w:pPr>
          </w:p>
        </w:tc>
      </w:tr>
      <w:tr>
        <w:trPr>
          <w:trHeight w:val="196"/>
        </w:trPr>
        <w:tc>
          <w:tcPr>
            <w:tcW w:w="3460" w:type="dxa"/>
            <w:vAlign w:val="bottom"/>
            <w:gridSpan w:val="2"/>
          </w:tcPr>
          <w:p>
            <w:pPr>
              <w:ind w:left="20"/>
              <w:spacing w:after="0"/>
              <w:rPr>
                <w:sz w:val="20"/>
                <w:szCs w:val="20"/>
                <w:color w:val="auto"/>
              </w:rPr>
            </w:pPr>
            <w:r>
              <w:rPr>
                <w:rFonts w:ascii="Arial" w:cs="Arial" w:eastAsia="Arial" w:hAnsi="Arial"/>
                <w:sz w:val="14"/>
                <w:szCs w:val="14"/>
                <w:color w:val="09314A"/>
              </w:rPr>
              <w:t xml:space="preserve">42 </w:t>
            </w:r>
            <w:r>
              <w:rPr>
                <w:rFonts w:ascii="Arial" w:cs="Arial" w:eastAsia="Arial" w:hAnsi="Arial"/>
                <w:sz w:val="14"/>
                <w:szCs w:val="14"/>
                <w:b w:val="1"/>
                <w:bCs w:val="1"/>
                <w:color w:val="09314A"/>
              </w:rPr>
              <w:t>2026 PROXY STATEMENT</w:t>
            </w:r>
          </w:p>
        </w:tc>
        <w:tc>
          <w:tcPr>
            <w:tcW w:w="2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700" w:type="dxa"/>
            <w:vAlign w:val="bottom"/>
            <w:gridSpan w:val="2"/>
          </w:tcPr>
          <w:p>
            <w:pPr>
              <w:ind w:left="1720"/>
              <w:spacing w:after="0"/>
              <w:rPr>
                <w:sz w:val="20"/>
                <w:szCs w:val="20"/>
                <w:color w:val="auto"/>
              </w:rPr>
            </w:pPr>
            <w:r>
              <w:rPr>
                <w:rFonts w:ascii="Arial" w:cs="Arial" w:eastAsia="Arial" w:hAnsi="Arial"/>
                <w:sz w:val="14"/>
                <w:szCs w:val="14"/>
                <w:b w:val="1"/>
                <w:bCs w:val="1"/>
                <w:color w:val="09314A"/>
              </w:rPr>
              <w:t>ANTERIX INC.</w:t>
            </w:r>
          </w:p>
        </w:tc>
      </w:tr>
      <w:tr>
        <w:trPr>
          <w:trHeight w:val="196"/>
        </w:trPr>
        <w:tc>
          <w:tcPr>
            <w:tcW w:w="340" w:type="dxa"/>
            <w:vAlign w:val="bottom"/>
            <w:tcBorders>
              <w:bottom w:val="single" w:sz="8" w:color="9A9A9A"/>
            </w:tcBorders>
          </w:tcPr>
          <w:p>
            <w:pPr>
              <w:spacing w:after="0"/>
              <w:rPr>
                <w:sz w:val="17"/>
                <w:szCs w:val="17"/>
                <w:color w:val="auto"/>
              </w:rPr>
            </w:pPr>
          </w:p>
        </w:tc>
        <w:tc>
          <w:tcPr>
            <w:tcW w:w="3120" w:type="dxa"/>
            <w:vAlign w:val="bottom"/>
            <w:tcBorders>
              <w:bottom w:val="single" w:sz="8" w:color="9A9A9A"/>
            </w:tcBorders>
          </w:tcPr>
          <w:p>
            <w:pPr>
              <w:spacing w:after="0"/>
              <w:rPr>
                <w:sz w:val="17"/>
                <w:szCs w:val="17"/>
                <w:color w:val="auto"/>
              </w:rPr>
            </w:pPr>
          </w:p>
        </w:tc>
        <w:tc>
          <w:tcPr>
            <w:tcW w:w="2460" w:type="dxa"/>
            <w:vAlign w:val="bottom"/>
            <w:tcBorders>
              <w:bottom w:val="single" w:sz="8" w:color="9A9A9A"/>
            </w:tcBorders>
          </w:tcPr>
          <w:p>
            <w:pPr>
              <w:spacing w:after="0"/>
              <w:rPr>
                <w:sz w:val="17"/>
                <w:szCs w:val="17"/>
                <w:color w:val="auto"/>
              </w:rPr>
            </w:pPr>
          </w:p>
        </w:tc>
        <w:tc>
          <w:tcPr>
            <w:tcW w:w="2640" w:type="dxa"/>
            <w:vAlign w:val="bottom"/>
            <w:tcBorders>
              <w:bottom w:val="single" w:sz="8" w:color="9A9A9A"/>
            </w:tcBorders>
          </w:tcPr>
          <w:p>
            <w:pPr>
              <w:spacing w:after="0"/>
              <w:rPr>
                <w:sz w:val="17"/>
                <w:szCs w:val="17"/>
                <w:color w:val="auto"/>
              </w:rPr>
            </w:pPr>
          </w:p>
        </w:tc>
        <w:tc>
          <w:tcPr>
            <w:tcW w:w="230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603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0325"/>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7" w:right="40" w:hanging="327"/>
        <w:spacing w:after="0" w:line="279" w:lineRule="auto"/>
        <w:tabs>
          <w:tab w:leader="none" w:pos="290" w:val="left"/>
        </w:tabs>
        <w:numPr>
          <w:ilvl w:val="0"/>
          <w:numId w:val="47"/>
        </w:numPr>
        <w:rPr>
          <w:rFonts w:ascii="Arial" w:cs="Arial" w:eastAsia="Arial" w:hAnsi="Arial"/>
          <w:sz w:val="14"/>
          <w:szCs w:val="14"/>
          <w:b w:val="1"/>
          <w:bCs w:val="1"/>
          <w:color w:val="181818"/>
        </w:rPr>
      </w:pPr>
      <w:r>
        <w:rPr>
          <w:rFonts w:ascii="Arial" w:cs="Arial" w:eastAsia="Arial" w:hAnsi="Arial"/>
          <w:sz w:val="14"/>
          <w:szCs w:val="14"/>
          <w:color w:val="auto"/>
        </w:rPr>
        <w:t>The amount reported in the Option Awards column for Mr. Guttman-McCabe represents: (i) the grant date fair value of the 85,000 Retention Options; (ii) the grant date value of 67,774 PSOs granted on October 4, 2024; and (iii) the incremental fair value attributable to a modification of the 67,774 PSOs to an equal number of time-based stock options. The amount reported in the Option Awards column for Mr. Gerbrandt represents: (i) the grant date fair value of 129,236 PSOs granted on October 4, 2024; and (ii) the incremental fair value attributable to a modification of 67,774 PSOs to an equal number of time-based stock options. The value of the PSOs assuming the maximum level of performance would have been $999,984 and $999,984 for Messrs. Guttman-McCabe and Gerbrandt, respectively. The following table summarizes the elements included in the “Option Awards” column reported for Fiscal 2025 for Messrs. Guttman-McCabe and Gerbrandt.</w:t>
      </w:r>
    </w:p>
    <w:p>
      <w:pPr>
        <w:spacing w:after="0" w:line="85" w:lineRule="exact"/>
        <w:rPr>
          <w:sz w:val="20"/>
          <w:szCs w:val="20"/>
          <w:color w:val="auto"/>
        </w:rPr>
      </w:pPr>
    </w:p>
    <w:tbl>
      <w:tblPr>
        <w:tblLayout w:type="fixed"/>
        <w:tblInd w:w="337" w:type="dxa"/>
        <w:tblCellMar>
          <w:top w:w="0" w:type="dxa"/>
          <w:left w:w="0" w:type="dxa"/>
          <w:bottom w:w="0" w:type="dxa"/>
          <w:right w:w="0" w:type="dxa"/>
        </w:tblCellMar>
      </w:tblPr>
      <w:tr>
        <w:trPr>
          <w:trHeight w:val="201"/>
        </w:trPr>
        <w:tc>
          <w:tcPr>
            <w:tcW w:w="3100" w:type="dxa"/>
            <w:vAlign w:val="bottom"/>
            <w:tcBorders>
              <w:top w:val="single" w:sz="8" w:color="181818"/>
              <w:left w:val="single" w:sz="8" w:color="181818"/>
            </w:tcBorders>
            <w:shd w:val="clear" w:color="auto" w:fill="1B6F80"/>
          </w:tcPr>
          <w:p>
            <w:pPr>
              <w:spacing w:after="0"/>
              <w:rPr>
                <w:sz w:val="17"/>
                <w:szCs w:val="17"/>
                <w:color w:val="auto"/>
              </w:rPr>
            </w:pPr>
          </w:p>
        </w:tc>
        <w:tc>
          <w:tcPr>
            <w:tcW w:w="2500" w:type="dxa"/>
            <w:vAlign w:val="bottom"/>
            <w:tcBorders>
              <w:top w:val="single" w:sz="8" w:color="181818"/>
            </w:tcBorders>
            <w:shd w:val="clear" w:color="auto" w:fill="1B6F80"/>
          </w:tcPr>
          <w:p>
            <w:pPr>
              <w:jc w:val="right"/>
              <w:ind w:right="288"/>
              <w:spacing w:after="0"/>
              <w:rPr>
                <w:sz w:val="20"/>
                <w:szCs w:val="20"/>
                <w:color w:val="auto"/>
              </w:rPr>
            </w:pPr>
            <w:r>
              <w:rPr>
                <w:rFonts w:ascii="Arial" w:cs="Arial" w:eastAsia="Arial" w:hAnsi="Arial"/>
                <w:sz w:val="14"/>
                <w:szCs w:val="14"/>
                <w:b w:val="1"/>
                <w:bCs w:val="1"/>
                <w:color w:val="FFFFFF"/>
              </w:rPr>
              <w:t>Aggregate Grant Date</w:t>
            </w:r>
          </w:p>
        </w:tc>
        <w:tc>
          <w:tcPr>
            <w:tcW w:w="2660" w:type="dxa"/>
            <w:vAlign w:val="bottom"/>
            <w:tcBorders>
              <w:top w:val="single" w:sz="8" w:color="181818"/>
            </w:tcBorders>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Aggregate Incremental Fair</w:t>
            </w:r>
          </w:p>
        </w:tc>
        <w:tc>
          <w:tcPr>
            <w:tcW w:w="2280" w:type="dxa"/>
            <w:vAlign w:val="bottom"/>
            <w:tcBorders>
              <w:top w:val="single" w:sz="8" w:color="181818"/>
              <w:right w:val="single" w:sz="8" w:color="181818"/>
            </w:tcBorders>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Total Stock Awards +</w:t>
            </w:r>
          </w:p>
        </w:tc>
      </w:tr>
      <w:tr>
        <w:trPr>
          <w:trHeight w:val="176"/>
        </w:trPr>
        <w:tc>
          <w:tcPr>
            <w:tcW w:w="3100" w:type="dxa"/>
            <w:vAlign w:val="bottom"/>
            <w:tcBorders>
              <w:left w:val="single" w:sz="8" w:color="181818"/>
            </w:tcBorders>
            <w:shd w:val="clear" w:color="auto" w:fill="1B6F80"/>
          </w:tcPr>
          <w:p>
            <w:pPr>
              <w:spacing w:after="0"/>
              <w:rPr>
                <w:sz w:val="15"/>
                <w:szCs w:val="15"/>
                <w:color w:val="auto"/>
              </w:rPr>
            </w:pPr>
          </w:p>
        </w:tc>
        <w:tc>
          <w:tcPr>
            <w:tcW w:w="2500" w:type="dxa"/>
            <w:vAlign w:val="bottom"/>
            <w:shd w:val="clear" w:color="auto" w:fill="1B6F80"/>
          </w:tcPr>
          <w:p>
            <w:pPr>
              <w:jc w:val="right"/>
              <w:ind w:right="288"/>
              <w:spacing w:after="0"/>
              <w:rPr>
                <w:sz w:val="20"/>
                <w:szCs w:val="20"/>
                <w:color w:val="auto"/>
              </w:rPr>
            </w:pPr>
            <w:r>
              <w:rPr>
                <w:rFonts w:ascii="Arial" w:cs="Arial" w:eastAsia="Arial" w:hAnsi="Arial"/>
                <w:sz w:val="14"/>
                <w:szCs w:val="14"/>
                <w:b w:val="1"/>
                <w:bCs w:val="1"/>
                <w:color w:val="FFFFFF"/>
              </w:rPr>
              <w:t>Fair Value of PSOs</w:t>
            </w:r>
          </w:p>
        </w:tc>
        <w:tc>
          <w:tcPr>
            <w:tcW w:w="2660" w:type="dxa"/>
            <w:vAlign w:val="bottom"/>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Value of Conversion</w:t>
            </w:r>
          </w:p>
        </w:tc>
        <w:tc>
          <w:tcPr>
            <w:tcW w:w="2280" w:type="dxa"/>
            <w:vAlign w:val="bottom"/>
            <w:tcBorders>
              <w:right w:val="single" w:sz="8" w:color="181818"/>
            </w:tcBorders>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Option Awards as Shown</w:t>
            </w:r>
          </w:p>
        </w:tc>
      </w:tr>
      <w:tr>
        <w:trPr>
          <w:trHeight w:val="175"/>
        </w:trPr>
        <w:tc>
          <w:tcPr>
            <w:tcW w:w="3100" w:type="dxa"/>
            <w:vAlign w:val="bottom"/>
            <w:tcBorders>
              <w:left w:val="single" w:sz="8" w:color="181818"/>
            </w:tcBorders>
            <w:shd w:val="clear" w:color="auto" w:fill="1B6F80"/>
          </w:tcPr>
          <w:p>
            <w:pPr>
              <w:spacing w:after="0"/>
              <w:rPr>
                <w:sz w:val="15"/>
                <w:szCs w:val="15"/>
                <w:color w:val="auto"/>
              </w:rPr>
            </w:pPr>
          </w:p>
        </w:tc>
        <w:tc>
          <w:tcPr>
            <w:tcW w:w="2500" w:type="dxa"/>
            <w:vAlign w:val="bottom"/>
            <w:shd w:val="clear" w:color="auto" w:fill="1B6F80"/>
          </w:tcPr>
          <w:p>
            <w:pPr>
              <w:jc w:val="right"/>
              <w:ind w:right="288"/>
              <w:spacing w:after="0"/>
              <w:rPr>
                <w:sz w:val="20"/>
                <w:szCs w:val="20"/>
                <w:color w:val="auto"/>
              </w:rPr>
            </w:pPr>
            <w:r>
              <w:rPr>
                <w:rFonts w:ascii="Arial" w:cs="Arial" w:eastAsia="Arial" w:hAnsi="Arial"/>
                <w:sz w:val="14"/>
                <w:szCs w:val="14"/>
                <w:b w:val="1"/>
                <w:bCs w:val="1"/>
                <w:color w:val="FFFFFF"/>
              </w:rPr>
              <w:t>and Retention</w:t>
            </w:r>
          </w:p>
        </w:tc>
        <w:tc>
          <w:tcPr>
            <w:tcW w:w="2660" w:type="dxa"/>
            <w:vAlign w:val="bottom"/>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of PSOs to Time-Based</w:t>
            </w:r>
          </w:p>
        </w:tc>
        <w:tc>
          <w:tcPr>
            <w:tcW w:w="2280" w:type="dxa"/>
            <w:vAlign w:val="bottom"/>
            <w:tcBorders>
              <w:right w:val="single" w:sz="8" w:color="181818"/>
            </w:tcBorders>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in the Summary</w:t>
            </w:r>
          </w:p>
        </w:tc>
      </w:tr>
      <w:tr>
        <w:trPr>
          <w:trHeight w:val="162"/>
        </w:trPr>
        <w:tc>
          <w:tcPr>
            <w:tcW w:w="3100" w:type="dxa"/>
            <w:vAlign w:val="bottom"/>
            <w:tcBorders>
              <w:left w:val="single" w:sz="8" w:color="181818"/>
            </w:tcBorders>
            <w:shd w:val="clear" w:color="auto" w:fill="1B6F80"/>
          </w:tcPr>
          <w:p>
            <w:pPr>
              <w:spacing w:after="0"/>
              <w:rPr>
                <w:sz w:val="14"/>
                <w:szCs w:val="14"/>
                <w:color w:val="auto"/>
              </w:rPr>
            </w:pPr>
          </w:p>
        </w:tc>
        <w:tc>
          <w:tcPr>
            <w:tcW w:w="2500" w:type="dxa"/>
            <w:vAlign w:val="bottom"/>
            <w:shd w:val="clear" w:color="auto" w:fill="1B6F80"/>
          </w:tcPr>
          <w:p>
            <w:pPr>
              <w:jc w:val="right"/>
              <w:ind w:right="288"/>
              <w:spacing w:after="0"/>
              <w:rPr>
                <w:sz w:val="20"/>
                <w:szCs w:val="20"/>
                <w:color w:val="auto"/>
              </w:rPr>
            </w:pPr>
            <w:r>
              <w:rPr>
                <w:rFonts w:ascii="Arial" w:cs="Arial" w:eastAsia="Arial" w:hAnsi="Arial"/>
                <w:sz w:val="14"/>
                <w:szCs w:val="14"/>
                <w:b w:val="1"/>
                <w:bCs w:val="1"/>
                <w:color w:val="FFFFFF"/>
              </w:rPr>
              <w:t>Options Granted</w:t>
            </w:r>
          </w:p>
        </w:tc>
        <w:tc>
          <w:tcPr>
            <w:tcW w:w="2660" w:type="dxa"/>
            <w:vAlign w:val="bottom"/>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Stock Options</w:t>
            </w:r>
          </w:p>
        </w:tc>
        <w:tc>
          <w:tcPr>
            <w:tcW w:w="2280" w:type="dxa"/>
            <w:vAlign w:val="bottom"/>
            <w:tcBorders>
              <w:right w:val="single" w:sz="8" w:color="181818"/>
            </w:tcBorders>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Compensation Table</w:t>
            </w:r>
          </w:p>
        </w:tc>
      </w:tr>
      <w:tr>
        <w:trPr>
          <w:trHeight w:val="202"/>
        </w:trPr>
        <w:tc>
          <w:tcPr>
            <w:tcW w:w="3100" w:type="dxa"/>
            <w:vAlign w:val="bottom"/>
            <w:tcBorders>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Name</w:t>
            </w:r>
          </w:p>
        </w:tc>
        <w:tc>
          <w:tcPr>
            <w:tcW w:w="2500" w:type="dxa"/>
            <w:vAlign w:val="bottom"/>
            <w:shd w:val="clear" w:color="auto" w:fill="1B6F80"/>
          </w:tcPr>
          <w:p>
            <w:pPr>
              <w:jc w:val="right"/>
              <w:ind w:right="288"/>
              <w:spacing w:after="0"/>
              <w:rPr>
                <w:sz w:val="20"/>
                <w:szCs w:val="20"/>
                <w:color w:val="auto"/>
              </w:rPr>
            </w:pPr>
            <w:r>
              <w:rPr>
                <w:rFonts w:ascii="Arial" w:cs="Arial" w:eastAsia="Arial" w:hAnsi="Arial"/>
                <w:sz w:val="14"/>
                <w:szCs w:val="14"/>
                <w:b w:val="1"/>
                <w:bCs w:val="1"/>
                <w:color w:val="FFFFFF"/>
              </w:rPr>
              <w:t>($)</w:t>
            </w:r>
          </w:p>
        </w:tc>
        <w:tc>
          <w:tcPr>
            <w:tcW w:w="2660" w:type="dxa"/>
            <w:vAlign w:val="bottom"/>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w:t>
            </w:r>
          </w:p>
        </w:tc>
        <w:tc>
          <w:tcPr>
            <w:tcW w:w="2280" w:type="dxa"/>
            <w:vAlign w:val="bottom"/>
            <w:tcBorders>
              <w:right w:val="single" w:sz="8" w:color="181818"/>
            </w:tcBorders>
            <w:shd w:val="clear" w:color="auto" w:fill="1B6F80"/>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3100" w:type="dxa"/>
            <w:vAlign w:val="bottom"/>
            <w:tcBorders>
              <w:left w:val="single" w:sz="8" w:color="181818"/>
            </w:tcBorders>
            <w:shd w:val="clear" w:color="auto" w:fill="1B6F80"/>
          </w:tcPr>
          <w:p>
            <w:pPr>
              <w:spacing w:after="0"/>
              <w:rPr>
                <w:sz w:val="6"/>
                <w:szCs w:val="6"/>
                <w:color w:val="auto"/>
              </w:rPr>
            </w:pPr>
          </w:p>
        </w:tc>
        <w:tc>
          <w:tcPr>
            <w:tcW w:w="2500" w:type="dxa"/>
            <w:vAlign w:val="bottom"/>
            <w:shd w:val="clear" w:color="auto" w:fill="1B6F80"/>
          </w:tcPr>
          <w:p>
            <w:pPr>
              <w:spacing w:after="0"/>
              <w:rPr>
                <w:sz w:val="6"/>
                <w:szCs w:val="6"/>
                <w:color w:val="auto"/>
              </w:rPr>
            </w:pPr>
          </w:p>
        </w:tc>
        <w:tc>
          <w:tcPr>
            <w:tcW w:w="2660" w:type="dxa"/>
            <w:vAlign w:val="bottom"/>
            <w:shd w:val="clear" w:color="auto" w:fill="1B6F80"/>
          </w:tcPr>
          <w:p>
            <w:pPr>
              <w:spacing w:after="0"/>
              <w:rPr>
                <w:sz w:val="6"/>
                <w:szCs w:val="6"/>
                <w:color w:val="auto"/>
              </w:rPr>
            </w:pPr>
          </w:p>
        </w:tc>
        <w:tc>
          <w:tcPr>
            <w:tcW w:w="2280" w:type="dxa"/>
            <w:vAlign w:val="bottom"/>
            <w:tcBorders>
              <w:right w:val="single" w:sz="8" w:color="181818"/>
            </w:tcBorders>
            <w:shd w:val="clear" w:color="auto" w:fill="1B6F80"/>
          </w:tcPr>
          <w:p>
            <w:pPr>
              <w:spacing w:after="0"/>
              <w:rPr>
                <w:sz w:val="6"/>
                <w:szCs w:val="6"/>
                <w:color w:val="auto"/>
              </w:rPr>
            </w:pPr>
          </w:p>
        </w:tc>
      </w:tr>
      <w:tr>
        <w:trPr>
          <w:trHeight w:val="268"/>
        </w:trPr>
        <w:tc>
          <w:tcPr>
            <w:tcW w:w="3100" w:type="dxa"/>
            <w:vAlign w:val="bottom"/>
            <w:tcBorders>
              <w:left w:val="single" w:sz="8" w:color="181818"/>
            </w:tcBorders>
            <w:shd w:val="clear" w:color="auto" w:fill="AED0C7"/>
          </w:tcPr>
          <w:p>
            <w:pPr>
              <w:spacing w:after="0"/>
              <w:rPr>
                <w:sz w:val="23"/>
                <w:szCs w:val="23"/>
                <w:color w:val="auto"/>
              </w:rPr>
            </w:pPr>
          </w:p>
        </w:tc>
        <w:tc>
          <w:tcPr>
            <w:tcW w:w="2500" w:type="dxa"/>
            <w:vAlign w:val="bottom"/>
            <w:shd w:val="clear" w:color="auto" w:fill="AED0C7"/>
          </w:tcPr>
          <w:p>
            <w:pPr>
              <w:jc w:val="right"/>
              <w:ind w:right="288"/>
              <w:spacing w:after="0"/>
              <w:rPr>
                <w:sz w:val="20"/>
                <w:szCs w:val="20"/>
                <w:color w:val="auto"/>
              </w:rPr>
            </w:pPr>
            <w:r>
              <w:rPr>
                <w:rFonts w:ascii="Arial" w:cs="Arial" w:eastAsia="Arial" w:hAnsi="Arial"/>
                <w:sz w:val="14"/>
                <w:szCs w:val="14"/>
                <w:b w:val="1"/>
                <w:bCs w:val="1"/>
                <w:color w:val="181818"/>
              </w:rPr>
              <w:t>(a)</w:t>
            </w:r>
          </w:p>
        </w:tc>
        <w:tc>
          <w:tcPr>
            <w:tcW w:w="2660" w:type="dxa"/>
            <w:vAlign w:val="bottom"/>
            <w:shd w:val="clear" w:color="auto" w:fill="AED0C7"/>
          </w:tcPr>
          <w:p>
            <w:pPr>
              <w:jc w:val="right"/>
              <w:ind w:right="368"/>
              <w:spacing w:after="0"/>
              <w:rPr>
                <w:sz w:val="20"/>
                <w:szCs w:val="20"/>
                <w:color w:val="auto"/>
              </w:rPr>
            </w:pPr>
            <w:r>
              <w:rPr>
                <w:rFonts w:ascii="Arial" w:cs="Arial" w:eastAsia="Arial" w:hAnsi="Arial"/>
                <w:sz w:val="14"/>
                <w:szCs w:val="14"/>
                <w:b w:val="1"/>
                <w:bCs w:val="1"/>
                <w:color w:val="181818"/>
              </w:rPr>
              <w:t>(b)</w:t>
            </w:r>
          </w:p>
        </w:tc>
        <w:tc>
          <w:tcPr>
            <w:tcW w:w="2280" w:type="dxa"/>
            <w:vAlign w:val="bottom"/>
            <w:tcBorders>
              <w:right w:val="single" w:sz="8" w:color="181818"/>
            </w:tcBorders>
            <w:shd w:val="clear" w:color="auto" w:fill="AED0C7"/>
          </w:tcPr>
          <w:p>
            <w:pPr>
              <w:jc w:val="right"/>
              <w:ind w:right="48"/>
              <w:spacing w:after="0"/>
              <w:rPr>
                <w:sz w:val="20"/>
                <w:szCs w:val="20"/>
                <w:color w:val="auto"/>
              </w:rPr>
            </w:pPr>
            <w:r>
              <w:rPr>
                <w:rFonts w:ascii="Arial" w:cs="Arial" w:eastAsia="Arial" w:hAnsi="Arial"/>
                <w:sz w:val="14"/>
                <w:szCs w:val="14"/>
                <w:b w:val="1"/>
                <w:bCs w:val="1"/>
                <w:color w:val="181818"/>
              </w:rPr>
              <w:t>((a) + (b))</w:t>
            </w:r>
          </w:p>
        </w:tc>
      </w:tr>
      <w:tr>
        <w:trPr>
          <w:trHeight w:val="70"/>
        </w:trPr>
        <w:tc>
          <w:tcPr>
            <w:tcW w:w="3100" w:type="dxa"/>
            <w:vAlign w:val="bottom"/>
            <w:tcBorders>
              <w:left w:val="single" w:sz="8" w:color="181818"/>
            </w:tcBorders>
            <w:shd w:val="clear" w:color="auto" w:fill="AED0C7"/>
          </w:tcPr>
          <w:p>
            <w:pPr>
              <w:spacing w:after="0"/>
              <w:rPr>
                <w:sz w:val="6"/>
                <w:szCs w:val="6"/>
                <w:color w:val="auto"/>
              </w:rPr>
            </w:pPr>
          </w:p>
        </w:tc>
        <w:tc>
          <w:tcPr>
            <w:tcW w:w="2500" w:type="dxa"/>
            <w:vAlign w:val="bottom"/>
            <w:shd w:val="clear" w:color="auto" w:fill="AED0C7"/>
          </w:tcPr>
          <w:p>
            <w:pPr>
              <w:spacing w:after="0"/>
              <w:rPr>
                <w:sz w:val="6"/>
                <w:szCs w:val="6"/>
                <w:color w:val="auto"/>
              </w:rPr>
            </w:pPr>
          </w:p>
        </w:tc>
        <w:tc>
          <w:tcPr>
            <w:tcW w:w="2660" w:type="dxa"/>
            <w:vAlign w:val="bottom"/>
            <w:shd w:val="clear" w:color="auto" w:fill="AED0C7"/>
          </w:tcPr>
          <w:p>
            <w:pPr>
              <w:spacing w:after="0"/>
              <w:rPr>
                <w:sz w:val="6"/>
                <w:szCs w:val="6"/>
                <w:color w:val="auto"/>
              </w:rPr>
            </w:pPr>
          </w:p>
        </w:tc>
        <w:tc>
          <w:tcPr>
            <w:tcW w:w="2280" w:type="dxa"/>
            <w:vAlign w:val="bottom"/>
            <w:tcBorders>
              <w:right w:val="single" w:sz="8" w:color="181818"/>
            </w:tcBorders>
            <w:shd w:val="clear" w:color="auto" w:fill="AED0C7"/>
          </w:tcPr>
          <w:p>
            <w:pPr>
              <w:spacing w:after="0"/>
              <w:rPr>
                <w:sz w:val="6"/>
                <w:szCs w:val="6"/>
                <w:color w:val="auto"/>
              </w:rPr>
            </w:pPr>
          </w:p>
        </w:tc>
      </w:tr>
      <w:tr>
        <w:trPr>
          <w:trHeight w:val="268"/>
        </w:trPr>
        <w:tc>
          <w:tcPr>
            <w:tcW w:w="310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Christopher E. Guttman-McCabe</w:t>
            </w:r>
          </w:p>
        </w:tc>
        <w:tc>
          <w:tcPr>
            <w:tcW w:w="2500" w:type="dxa"/>
            <w:vAlign w:val="bottom"/>
          </w:tcPr>
          <w:p>
            <w:pPr>
              <w:jc w:val="right"/>
              <w:ind w:right="288"/>
              <w:spacing w:after="0"/>
              <w:rPr>
                <w:sz w:val="20"/>
                <w:szCs w:val="20"/>
                <w:color w:val="auto"/>
              </w:rPr>
            </w:pPr>
            <w:r>
              <w:rPr>
                <w:rFonts w:ascii="Arial" w:cs="Arial" w:eastAsia="Arial" w:hAnsi="Arial"/>
                <w:sz w:val="14"/>
                <w:szCs w:val="14"/>
                <w:color w:val="auto"/>
              </w:rPr>
              <w:t>2,581,834</w:t>
            </w:r>
          </w:p>
        </w:tc>
        <w:tc>
          <w:tcPr>
            <w:tcW w:w="2660" w:type="dxa"/>
            <w:vAlign w:val="bottom"/>
          </w:tcPr>
          <w:p>
            <w:pPr>
              <w:jc w:val="right"/>
              <w:ind w:right="368"/>
              <w:spacing w:after="0"/>
              <w:rPr>
                <w:sz w:val="20"/>
                <w:szCs w:val="20"/>
                <w:color w:val="auto"/>
              </w:rPr>
            </w:pPr>
            <w:r>
              <w:rPr>
                <w:rFonts w:ascii="Arial" w:cs="Arial" w:eastAsia="Arial" w:hAnsi="Arial"/>
                <w:sz w:val="14"/>
                <w:szCs w:val="14"/>
                <w:color w:val="auto"/>
              </w:rPr>
              <w:t>315,641</w:t>
            </w:r>
          </w:p>
        </w:tc>
        <w:tc>
          <w:tcPr>
            <w:tcW w:w="2280" w:type="dxa"/>
            <w:vAlign w:val="bottom"/>
            <w:tcBorders>
              <w:right w:val="single" w:sz="8" w:color="181818"/>
            </w:tcBorders>
          </w:tcPr>
          <w:p>
            <w:pPr>
              <w:jc w:val="right"/>
              <w:ind w:right="48"/>
              <w:spacing w:after="0"/>
              <w:rPr>
                <w:sz w:val="20"/>
                <w:szCs w:val="20"/>
                <w:color w:val="auto"/>
              </w:rPr>
            </w:pPr>
            <w:r>
              <w:rPr>
                <w:rFonts w:ascii="Arial" w:cs="Arial" w:eastAsia="Arial" w:hAnsi="Arial"/>
                <w:sz w:val="14"/>
                <w:szCs w:val="14"/>
                <w:color w:val="auto"/>
              </w:rPr>
              <w:t>2,897,475</w:t>
            </w:r>
          </w:p>
        </w:tc>
      </w:tr>
      <w:tr>
        <w:trPr>
          <w:trHeight w:val="70"/>
        </w:trPr>
        <w:tc>
          <w:tcPr>
            <w:tcW w:w="3100" w:type="dxa"/>
            <w:vAlign w:val="bottom"/>
            <w:tcBorders>
              <w:left w:val="single" w:sz="8" w:color="181818"/>
              <w:bottom w:val="single" w:sz="8" w:color="181818"/>
            </w:tcBorders>
          </w:tcPr>
          <w:p>
            <w:pPr>
              <w:spacing w:after="0"/>
              <w:rPr>
                <w:sz w:val="6"/>
                <w:szCs w:val="6"/>
                <w:color w:val="auto"/>
              </w:rPr>
            </w:pPr>
          </w:p>
        </w:tc>
        <w:tc>
          <w:tcPr>
            <w:tcW w:w="2500" w:type="dxa"/>
            <w:vAlign w:val="bottom"/>
            <w:tcBorders>
              <w:bottom w:val="single" w:sz="8" w:color="181818"/>
            </w:tcBorders>
          </w:tcPr>
          <w:p>
            <w:pPr>
              <w:spacing w:after="0"/>
              <w:rPr>
                <w:sz w:val="6"/>
                <w:szCs w:val="6"/>
                <w:color w:val="auto"/>
              </w:rPr>
            </w:pPr>
          </w:p>
        </w:tc>
        <w:tc>
          <w:tcPr>
            <w:tcW w:w="2660" w:type="dxa"/>
            <w:vAlign w:val="bottom"/>
            <w:tcBorders>
              <w:bottom w:val="single" w:sz="8" w:color="181818"/>
            </w:tcBorders>
          </w:tcPr>
          <w:p>
            <w:pPr>
              <w:spacing w:after="0"/>
              <w:rPr>
                <w:sz w:val="6"/>
                <w:szCs w:val="6"/>
                <w:color w:val="auto"/>
              </w:rPr>
            </w:pPr>
          </w:p>
        </w:tc>
        <w:tc>
          <w:tcPr>
            <w:tcW w:w="2280" w:type="dxa"/>
            <w:vAlign w:val="bottom"/>
            <w:tcBorders>
              <w:bottom w:val="single" w:sz="8" w:color="181818"/>
              <w:right w:val="single" w:sz="8" w:color="181818"/>
            </w:tcBorders>
          </w:tcPr>
          <w:p>
            <w:pPr>
              <w:spacing w:after="0"/>
              <w:rPr>
                <w:sz w:val="6"/>
                <w:szCs w:val="6"/>
                <w:color w:val="auto"/>
              </w:rPr>
            </w:pPr>
          </w:p>
        </w:tc>
      </w:tr>
      <w:tr>
        <w:trPr>
          <w:trHeight w:val="261"/>
        </w:trPr>
        <w:tc>
          <w:tcPr>
            <w:tcW w:w="310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Ryan L. Gerbrandt</w:t>
            </w:r>
          </w:p>
        </w:tc>
        <w:tc>
          <w:tcPr>
            <w:tcW w:w="2500" w:type="dxa"/>
            <w:vAlign w:val="bottom"/>
          </w:tcPr>
          <w:p>
            <w:pPr>
              <w:jc w:val="right"/>
              <w:ind w:right="288"/>
              <w:spacing w:after="0"/>
              <w:rPr>
                <w:sz w:val="20"/>
                <w:szCs w:val="20"/>
                <w:color w:val="auto"/>
              </w:rPr>
            </w:pPr>
            <w:r>
              <w:rPr>
                <w:rFonts w:ascii="Arial" w:cs="Arial" w:eastAsia="Arial" w:hAnsi="Arial"/>
                <w:sz w:val="14"/>
                <w:szCs w:val="14"/>
                <w:color w:val="auto"/>
              </w:rPr>
              <w:t>1,999,971</w:t>
            </w:r>
          </w:p>
        </w:tc>
        <w:tc>
          <w:tcPr>
            <w:tcW w:w="2660" w:type="dxa"/>
            <w:vAlign w:val="bottom"/>
          </w:tcPr>
          <w:p>
            <w:pPr>
              <w:jc w:val="right"/>
              <w:ind w:right="368"/>
              <w:spacing w:after="0"/>
              <w:rPr>
                <w:sz w:val="20"/>
                <w:szCs w:val="20"/>
                <w:color w:val="auto"/>
              </w:rPr>
            </w:pPr>
            <w:r>
              <w:rPr>
                <w:rFonts w:ascii="Arial" w:cs="Arial" w:eastAsia="Arial" w:hAnsi="Arial"/>
                <w:sz w:val="14"/>
                <w:szCs w:val="14"/>
                <w:color w:val="auto"/>
              </w:rPr>
              <w:t>315,641</w:t>
            </w:r>
          </w:p>
        </w:tc>
        <w:tc>
          <w:tcPr>
            <w:tcW w:w="2280" w:type="dxa"/>
            <w:vAlign w:val="bottom"/>
            <w:tcBorders>
              <w:right w:val="single" w:sz="8" w:color="181818"/>
            </w:tcBorders>
          </w:tcPr>
          <w:p>
            <w:pPr>
              <w:jc w:val="right"/>
              <w:ind w:right="48"/>
              <w:spacing w:after="0"/>
              <w:rPr>
                <w:sz w:val="20"/>
                <w:szCs w:val="20"/>
                <w:color w:val="auto"/>
              </w:rPr>
            </w:pPr>
            <w:r>
              <w:rPr>
                <w:rFonts w:ascii="Arial" w:cs="Arial" w:eastAsia="Arial" w:hAnsi="Arial"/>
                <w:sz w:val="14"/>
                <w:szCs w:val="14"/>
                <w:color w:val="auto"/>
              </w:rPr>
              <w:t>2,315,612</w:t>
            </w:r>
          </w:p>
        </w:tc>
      </w:tr>
      <w:tr>
        <w:trPr>
          <w:trHeight w:val="70"/>
        </w:trPr>
        <w:tc>
          <w:tcPr>
            <w:tcW w:w="3100" w:type="dxa"/>
            <w:vAlign w:val="bottom"/>
            <w:tcBorders>
              <w:left w:val="single" w:sz="8" w:color="181818"/>
              <w:bottom w:val="single" w:sz="8" w:color="181818"/>
            </w:tcBorders>
          </w:tcPr>
          <w:p>
            <w:pPr>
              <w:spacing w:after="0"/>
              <w:rPr>
                <w:sz w:val="6"/>
                <w:szCs w:val="6"/>
                <w:color w:val="auto"/>
              </w:rPr>
            </w:pPr>
          </w:p>
        </w:tc>
        <w:tc>
          <w:tcPr>
            <w:tcW w:w="2500" w:type="dxa"/>
            <w:vAlign w:val="bottom"/>
            <w:tcBorders>
              <w:bottom w:val="single" w:sz="8" w:color="181818"/>
            </w:tcBorders>
          </w:tcPr>
          <w:p>
            <w:pPr>
              <w:spacing w:after="0"/>
              <w:rPr>
                <w:sz w:val="6"/>
                <w:szCs w:val="6"/>
                <w:color w:val="auto"/>
              </w:rPr>
            </w:pPr>
          </w:p>
        </w:tc>
        <w:tc>
          <w:tcPr>
            <w:tcW w:w="2660" w:type="dxa"/>
            <w:vAlign w:val="bottom"/>
            <w:tcBorders>
              <w:bottom w:val="single" w:sz="8" w:color="181818"/>
            </w:tcBorders>
          </w:tcPr>
          <w:p>
            <w:pPr>
              <w:spacing w:after="0"/>
              <w:rPr>
                <w:sz w:val="6"/>
                <w:szCs w:val="6"/>
                <w:color w:val="auto"/>
              </w:rPr>
            </w:pPr>
          </w:p>
        </w:tc>
        <w:tc>
          <w:tcPr>
            <w:tcW w:w="2280" w:type="dxa"/>
            <w:vAlign w:val="bottom"/>
            <w:tcBorders>
              <w:bottom w:val="single" w:sz="8" w:color="181818"/>
              <w:right w:val="single" w:sz="8" w:color="181818"/>
            </w:tcBorders>
          </w:tcPr>
          <w:p>
            <w:pPr>
              <w:spacing w:after="0"/>
              <w:rPr>
                <w:sz w:val="6"/>
                <w:szCs w:val="6"/>
                <w:color w:val="auto"/>
              </w:rPr>
            </w:pPr>
          </w:p>
        </w:tc>
      </w:tr>
    </w:tbl>
    <w:p>
      <w:pPr>
        <w:spacing w:after="0" w:line="149" w:lineRule="exact"/>
        <w:rPr>
          <w:sz w:val="20"/>
          <w:szCs w:val="20"/>
          <w:color w:val="auto"/>
        </w:rPr>
      </w:pPr>
    </w:p>
    <w:p>
      <w:pPr>
        <w:ind w:left="327" w:right="160" w:hanging="327"/>
        <w:spacing w:after="0" w:line="286" w:lineRule="auto"/>
        <w:tabs>
          <w:tab w:leader="none" w:pos="300" w:val="left"/>
        </w:tabs>
        <w:numPr>
          <w:ilvl w:val="0"/>
          <w:numId w:val="48"/>
        </w:numPr>
        <w:rPr>
          <w:rFonts w:ascii="Arial" w:cs="Arial" w:eastAsia="Arial" w:hAnsi="Arial"/>
          <w:sz w:val="14"/>
          <w:szCs w:val="14"/>
          <w:b w:val="1"/>
          <w:bCs w:val="1"/>
          <w:color w:val="181818"/>
        </w:rPr>
      </w:pPr>
      <w:r>
        <w:rPr>
          <w:rFonts w:ascii="Arial" w:cs="Arial" w:eastAsia="Arial" w:hAnsi="Arial"/>
          <w:sz w:val="14"/>
          <w:szCs w:val="14"/>
          <w:color w:val="auto"/>
        </w:rPr>
        <w:t>Represents Mr. Gerbrandt's cash severance, which comprises of: (i) two times the sum of his annualized salary and target bonus, for an aggregate amount of $1.3 million, payable over two years; (ii) a pro-rata target bonus of $196,745 for Fiscal 2026; (iii) $54,000 for Company-provided COBRA premiums; and (iv) $25,000 of outplacement services. In addition, this amount includes matching contributions of $10,500 made by the Company in connection with our 401(k) Plan.</w:t>
      </w:r>
    </w:p>
    <w:p>
      <w:pPr>
        <w:spacing w:after="0" w:line="31" w:lineRule="exact"/>
        <w:rPr>
          <w:rFonts w:ascii="Arial" w:cs="Arial" w:eastAsia="Arial" w:hAnsi="Arial"/>
          <w:sz w:val="14"/>
          <w:szCs w:val="14"/>
          <w:b w:val="1"/>
          <w:bCs w:val="1"/>
          <w:color w:val="181818"/>
        </w:rPr>
      </w:pPr>
    </w:p>
    <w:p>
      <w:pPr>
        <w:ind w:left="287" w:hanging="287"/>
        <w:spacing w:after="0"/>
        <w:tabs>
          <w:tab w:leader="none" w:pos="287" w:val="left"/>
        </w:tabs>
        <w:numPr>
          <w:ilvl w:val="0"/>
          <w:numId w:val="48"/>
        </w:numPr>
        <w:rPr>
          <w:rFonts w:ascii="Arial" w:cs="Arial" w:eastAsia="Arial" w:hAnsi="Arial"/>
          <w:sz w:val="14"/>
          <w:szCs w:val="14"/>
          <w:b w:val="1"/>
          <w:bCs w:val="1"/>
          <w:color w:val="181818"/>
        </w:rPr>
      </w:pPr>
      <w:r>
        <w:rPr>
          <w:rFonts w:ascii="Arial" w:cs="Arial" w:eastAsia="Arial" w:hAnsi="Arial"/>
          <w:sz w:val="14"/>
          <w:szCs w:val="14"/>
          <w:color w:val="auto"/>
        </w:rPr>
        <w:t>Represents Ms. Martin's consultant fees received prior to her employment start date.</w:t>
      </w:r>
    </w:p>
    <w:p>
      <w:pPr>
        <w:spacing w:after="0" w:line="241" w:lineRule="exact"/>
        <w:rPr>
          <w:sz w:val="20"/>
          <w:szCs w:val="20"/>
          <w:color w:val="auto"/>
        </w:rPr>
      </w:pPr>
    </w:p>
    <w:p>
      <w:pPr>
        <w:jc w:val="both"/>
        <w:ind w:left="7"/>
        <w:spacing w:after="0" w:line="320" w:lineRule="auto"/>
        <w:rPr>
          <w:sz w:val="20"/>
          <w:szCs w:val="20"/>
          <w:color w:val="auto"/>
        </w:rPr>
      </w:pPr>
      <w:r>
        <w:rPr>
          <w:rFonts w:ascii="Arial" w:cs="Arial" w:eastAsia="Arial" w:hAnsi="Arial"/>
          <w:sz w:val="16"/>
          <w:szCs w:val="16"/>
          <w:i w:val="1"/>
          <w:iCs w:val="1"/>
          <w:color w:val="auto"/>
        </w:rPr>
        <w:t>The table below sets forth (a) the total stock award compensation amounts for the October 2024 grants excluding any modification charges, (b) the stock award modification charges required by the applicable accounting and SEC rules, and (c) the total stock award compensation amounts for 2025 as shown in the Summary Compensation Table:</w:t>
      </w:r>
    </w:p>
    <w:p>
      <w:pPr>
        <w:spacing w:after="0" w:line="70" w:lineRule="exact"/>
        <w:rPr>
          <w:sz w:val="20"/>
          <w:szCs w:val="20"/>
          <w:color w:val="auto"/>
        </w:rPr>
      </w:pPr>
    </w:p>
    <w:tbl>
      <w:tblPr>
        <w:tblLayout w:type="fixed"/>
        <w:tblInd w:w="17" w:type="dxa"/>
        <w:tblCellMar>
          <w:top w:w="0" w:type="dxa"/>
          <w:left w:w="0" w:type="dxa"/>
          <w:bottom w:w="0" w:type="dxa"/>
          <w:right w:w="0" w:type="dxa"/>
        </w:tblCellMar>
      </w:tblPr>
      <w:tr>
        <w:trPr>
          <w:trHeight w:val="187"/>
        </w:trPr>
        <w:tc>
          <w:tcPr>
            <w:tcW w:w="3280" w:type="dxa"/>
            <w:vAlign w:val="bottom"/>
            <w:tcBorders>
              <w:top w:val="single" w:sz="8" w:color="181818"/>
              <w:left w:val="single" w:sz="8" w:color="181818"/>
            </w:tcBorders>
            <w:shd w:val="clear" w:color="auto" w:fill="1B6F80"/>
          </w:tcPr>
          <w:p>
            <w:pPr>
              <w:spacing w:after="0"/>
              <w:rPr>
                <w:sz w:val="16"/>
                <w:szCs w:val="16"/>
                <w:color w:val="auto"/>
              </w:rPr>
            </w:pPr>
          </w:p>
        </w:tc>
        <w:tc>
          <w:tcPr>
            <w:tcW w:w="2920" w:type="dxa"/>
            <w:vAlign w:val="bottom"/>
            <w:tcBorders>
              <w:top w:val="single" w:sz="8" w:color="181818"/>
            </w:tcBorders>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2025 Option Awards</w:t>
            </w:r>
          </w:p>
        </w:tc>
        <w:tc>
          <w:tcPr>
            <w:tcW w:w="2800" w:type="dxa"/>
            <w:vAlign w:val="bottom"/>
            <w:tcBorders>
              <w:top w:val="single" w:sz="8" w:color="181818"/>
            </w:tcBorders>
            <w:shd w:val="clear" w:color="auto" w:fill="1B6F80"/>
          </w:tcPr>
          <w:p>
            <w:pPr>
              <w:spacing w:after="0"/>
              <w:rPr>
                <w:sz w:val="16"/>
                <w:szCs w:val="16"/>
                <w:color w:val="auto"/>
              </w:rPr>
            </w:pPr>
          </w:p>
        </w:tc>
        <w:tc>
          <w:tcPr>
            <w:tcW w:w="228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Total Option Awards as</w:t>
            </w:r>
          </w:p>
        </w:tc>
      </w:tr>
      <w:tr>
        <w:trPr>
          <w:trHeight w:val="175"/>
        </w:trPr>
        <w:tc>
          <w:tcPr>
            <w:tcW w:w="3280" w:type="dxa"/>
            <w:vAlign w:val="bottom"/>
            <w:tcBorders>
              <w:left w:val="single" w:sz="8" w:color="181818"/>
            </w:tcBorders>
            <w:shd w:val="clear" w:color="auto" w:fill="1B6F80"/>
          </w:tcPr>
          <w:p>
            <w:pPr>
              <w:spacing w:after="0"/>
              <w:rPr>
                <w:sz w:val="15"/>
                <w:szCs w:val="15"/>
                <w:color w:val="auto"/>
              </w:rPr>
            </w:pPr>
          </w:p>
        </w:tc>
        <w:tc>
          <w:tcPr>
            <w:tcW w:w="2920" w:type="dxa"/>
            <w:vAlign w:val="bottom"/>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(Without Option Award</w:t>
            </w:r>
          </w:p>
        </w:tc>
        <w:tc>
          <w:tcPr>
            <w:tcW w:w="2800" w:type="dxa"/>
            <w:vAlign w:val="bottom"/>
            <w:shd w:val="clear" w:color="auto" w:fill="1B6F80"/>
          </w:tcPr>
          <w:p>
            <w:pPr>
              <w:jc w:val="right"/>
              <w:ind w:right="468"/>
              <w:spacing w:after="0"/>
              <w:rPr>
                <w:sz w:val="20"/>
                <w:szCs w:val="20"/>
                <w:color w:val="auto"/>
              </w:rPr>
            </w:pPr>
            <w:r>
              <w:rPr>
                <w:rFonts w:ascii="Arial" w:cs="Arial" w:eastAsia="Arial" w:hAnsi="Arial"/>
                <w:sz w:val="14"/>
                <w:szCs w:val="14"/>
                <w:b w:val="1"/>
                <w:bCs w:val="1"/>
                <w:color w:val="FFFFFF"/>
              </w:rPr>
              <w:t>Option Award Modification</w:t>
            </w:r>
          </w:p>
        </w:tc>
        <w:tc>
          <w:tcPr>
            <w:tcW w:w="228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Shown in the Summary</w:t>
            </w:r>
          </w:p>
        </w:tc>
      </w:tr>
      <w:tr>
        <w:trPr>
          <w:trHeight w:val="176"/>
        </w:trPr>
        <w:tc>
          <w:tcPr>
            <w:tcW w:w="3280" w:type="dxa"/>
            <w:vAlign w:val="bottom"/>
            <w:tcBorders>
              <w:left w:val="single" w:sz="8" w:color="181818"/>
            </w:tcBorders>
            <w:shd w:val="clear" w:color="auto" w:fill="1B6F80"/>
          </w:tcPr>
          <w:p>
            <w:pPr>
              <w:spacing w:after="0"/>
              <w:rPr>
                <w:sz w:val="15"/>
                <w:szCs w:val="15"/>
                <w:color w:val="auto"/>
              </w:rPr>
            </w:pPr>
          </w:p>
        </w:tc>
        <w:tc>
          <w:tcPr>
            <w:tcW w:w="2920" w:type="dxa"/>
            <w:vAlign w:val="bottom"/>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Modification Charges)</w:t>
            </w:r>
          </w:p>
        </w:tc>
        <w:tc>
          <w:tcPr>
            <w:tcW w:w="2800" w:type="dxa"/>
            <w:vAlign w:val="bottom"/>
            <w:shd w:val="clear" w:color="auto" w:fill="1B6F80"/>
          </w:tcPr>
          <w:p>
            <w:pPr>
              <w:jc w:val="right"/>
              <w:ind w:right="468"/>
              <w:spacing w:after="0"/>
              <w:rPr>
                <w:sz w:val="20"/>
                <w:szCs w:val="20"/>
                <w:color w:val="auto"/>
              </w:rPr>
            </w:pPr>
            <w:r>
              <w:rPr>
                <w:rFonts w:ascii="Arial" w:cs="Arial" w:eastAsia="Arial" w:hAnsi="Arial"/>
                <w:sz w:val="14"/>
                <w:szCs w:val="14"/>
                <w:b w:val="1"/>
                <w:bCs w:val="1"/>
                <w:color w:val="FFFFFF"/>
              </w:rPr>
              <w:t>Charges</w:t>
            </w:r>
          </w:p>
        </w:tc>
        <w:tc>
          <w:tcPr>
            <w:tcW w:w="228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Compensation Table</w:t>
            </w:r>
          </w:p>
        </w:tc>
      </w:tr>
      <w:tr>
        <w:trPr>
          <w:trHeight w:val="202"/>
        </w:trPr>
        <w:tc>
          <w:tcPr>
            <w:tcW w:w="3280" w:type="dxa"/>
            <w:vAlign w:val="bottom"/>
            <w:tcBorders>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Name</w:t>
            </w:r>
          </w:p>
        </w:tc>
        <w:tc>
          <w:tcPr>
            <w:tcW w:w="2920" w:type="dxa"/>
            <w:vAlign w:val="bottom"/>
            <w:shd w:val="clear" w:color="auto" w:fill="1B6F80"/>
          </w:tcPr>
          <w:p>
            <w:pPr>
              <w:jc w:val="right"/>
              <w:ind w:right="368"/>
              <w:spacing w:after="0"/>
              <w:rPr>
                <w:sz w:val="20"/>
                <w:szCs w:val="20"/>
                <w:color w:val="auto"/>
              </w:rPr>
            </w:pPr>
            <w:r>
              <w:rPr>
                <w:rFonts w:ascii="Arial" w:cs="Arial" w:eastAsia="Arial" w:hAnsi="Arial"/>
                <w:sz w:val="14"/>
                <w:szCs w:val="14"/>
                <w:b w:val="1"/>
                <w:bCs w:val="1"/>
                <w:color w:val="FFFFFF"/>
              </w:rPr>
              <w:t>($)</w:t>
            </w:r>
          </w:p>
        </w:tc>
        <w:tc>
          <w:tcPr>
            <w:tcW w:w="2800" w:type="dxa"/>
            <w:vAlign w:val="bottom"/>
            <w:shd w:val="clear" w:color="auto" w:fill="1B6F80"/>
          </w:tcPr>
          <w:p>
            <w:pPr>
              <w:jc w:val="right"/>
              <w:ind w:right="468"/>
              <w:spacing w:after="0"/>
              <w:rPr>
                <w:sz w:val="20"/>
                <w:szCs w:val="20"/>
                <w:color w:val="auto"/>
              </w:rPr>
            </w:pPr>
            <w:r>
              <w:rPr>
                <w:rFonts w:ascii="Arial" w:cs="Arial" w:eastAsia="Arial" w:hAnsi="Arial"/>
                <w:sz w:val="14"/>
                <w:szCs w:val="14"/>
                <w:b w:val="1"/>
                <w:bCs w:val="1"/>
                <w:color w:val="FFFFFF"/>
              </w:rPr>
              <w:t>($)</w:t>
            </w:r>
          </w:p>
        </w:tc>
        <w:tc>
          <w:tcPr>
            <w:tcW w:w="228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70"/>
        </w:trPr>
        <w:tc>
          <w:tcPr>
            <w:tcW w:w="3280" w:type="dxa"/>
            <w:vAlign w:val="bottom"/>
            <w:tcBorders>
              <w:left w:val="single" w:sz="8" w:color="181818"/>
            </w:tcBorders>
            <w:shd w:val="clear" w:color="auto" w:fill="1B6F80"/>
          </w:tcPr>
          <w:p>
            <w:pPr>
              <w:spacing w:after="0"/>
              <w:rPr>
                <w:sz w:val="6"/>
                <w:szCs w:val="6"/>
                <w:color w:val="auto"/>
              </w:rPr>
            </w:pPr>
          </w:p>
        </w:tc>
        <w:tc>
          <w:tcPr>
            <w:tcW w:w="2920" w:type="dxa"/>
            <w:vAlign w:val="bottom"/>
            <w:shd w:val="clear" w:color="auto" w:fill="1B6F80"/>
          </w:tcPr>
          <w:p>
            <w:pPr>
              <w:spacing w:after="0"/>
              <w:rPr>
                <w:sz w:val="6"/>
                <w:szCs w:val="6"/>
                <w:color w:val="auto"/>
              </w:rPr>
            </w:pPr>
          </w:p>
        </w:tc>
        <w:tc>
          <w:tcPr>
            <w:tcW w:w="2800" w:type="dxa"/>
            <w:vAlign w:val="bottom"/>
            <w:shd w:val="clear" w:color="auto" w:fill="1B6F80"/>
          </w:tcPr>
          <w:p>
            <w:pPr>
              <w:spacing w:after="0"/>
              <w:rPr>
                <w:sz w:val="6"/>
                <w:szCs w:val="6"/>
                <w:color w:val="auto"/>
              </w:rPr>
            </w:pPr>
          </w:p>
        </w:tc>
        <w:tc>
          <w:tcPr>
            <w:tcW w:w="2280" w:type="dxa"/>
            <w:vAlign w:val="bottom"/>
            <w:tcBorders>
              <w:right w:val="single" w:sz="8" w:color="181818"/>
            </w:tcBorders>
            <w:shd w:val="clear" w:color="auto" w:fill="1B6F80"/>
          </w:tcPr>
          <w:p>
            <w:pPr>
              <w:spacing w:after="0"/>
              <w:rPr>
                <w:sz w:val="6"/>
                <w:szCs w:val="6"/>
                <w:color w:val="auto"/>
              </w:rPr>
            </w:pPr>
          </w:p>
        </w:tc>
      </w:tr>
      <w:tr>
        <w:trPr>
          <w:trHeight w:val="268"/>
        </w:trPr>
        <w:tc>
          <w:tcPr>
            <w:tcW w:w="3280" w:type="dxa"/>
            <w:vAlign w:val="bottom"/>
            <w:tcBorders>
              <w:left w:val="single" w:sz="8" w:color="181818"/>
            </w:tcBorders>
            <w:shd w:val="clear" w:color="auto" w:fill="AED0C7"/>
          </w:tcPr>
          <w:p>
            <w:pPr>
              <w:spacing w:after="0"/>
              <w:rPr>
                <w:sz w:val="23"/>
                <w:szCs w:val="23"/>
                <w:color w:val="auto"/>
              </w:rPr>
            </w:pPr>
          </w:p>
        </w:tc>
        <w:tc>
          <w:tcPr>
            <w:tcW w:w="2920" w:type="dxa"/>
            <w:vAlign w:val="bottom"/>
            <w:shd w:val="clear" w:color="auto" w:fill="AED0C7"/>
          </w:tcPr>
          <w:p>
            <w:pPr>
              <w:jc w:val="right"/>
              <w:ind w:right="368"/>
              <w:spacing w:after="0"/>
              <w:rPr>
                <w:sz w:val="20"/>
                <w:szCs w:val="20"/>
                <w:color w:val="auto"/>
              </w:rPr>
            </w:pPr>
            <w:r>
              <w:rPr>
                <w:rFonts w:ascii="Arial" w:cs="Arial" w:eastAsia="Arial" w:hAnsi="Arial"/>
                <w:sz w:val="14"/>
                <w:szCs w:val="14"/>
                <w:b w:val="1"/>
                <w:bCs w:val="1"/>
                <w:color w:val="181818"/>
              </w:rPr>
              <w:t>(a)</w:t>
            </w:r>
          </w:p>
        </w:tc>
        <w:tc>
          <w:tcPr>
            <w:tcW w:w="2800" w:type="dxa"/>
            <w:vAlign w:val="bottom"/>
            <w:shd w:val="clear" w:color="auto" w:fill="AED0C7"/>
          </w:tcPr>
          <w:p>
            <w:pPr>
              <w:jc w:val="right"/>
              <w:ind w:right="468"/>
              <w:spacing w:after="0"/>
              <w:rPr>
                <w:sz w:val="20"/>
                <w:szCs w:val="20"/>
                <w:color w:val="auto"/>
              </w:rPr>
            </w:pPr>
            <w:r>
              <w:rPr>
                <w:rFonts w:ascii="Arial" w:cs="Arial" w:eastAsia="Arial" w:hAnsi="Arial"/>
                <w:sz w:val="14"/>
                <w:szCs w:val="14"/>
                <w:b w:val="1"/>
                <w:bCs w:val="1"/>
                <w:color w:val="181818"/>
              </w:rPr>
              <w:t>(b)</w:t>
            </w:r>
          </w:p>
        </w:tc>
        <w:tc>
          <w:tcPr>
            <w:tcW w:w="2280" w:type="dxa"/>
            <w:vAlign w:val="bottom"/>
            <w:tcBorders>
              <w:right w:val="single" w:sz="8" w:color="181818"/>
            </w:tcBorders>
            <w:shd w:val="clear" w:color="auto" w:fill="AED0C7"/>
          </w:tcPr>
          <w:p>
            <w:pPr>
              <w:jc w:val="right"/>
              <w:ind w:right="68"/>
              <w:spacing w:after="0"/>
              <w:rPr>
                <w:sz w:val="20"/>
                <w:szCs w:val="20"/>
                <w:color w:val="auto"/>
              </w:rPr>
            </w:pPr>
            <w:r>
              <w:rPr>
                <w:rFonts w:ascii="Arial" w:cs="Arial" w:eastAsia="Arial" w:hAnsi="Arial"/>
                <w:sz w:val="14"/>
                <w:szCs w:val="14"/>
                <w:b w:val="1"/>
                <w:bCs w:val="1"/>
                <w:color w:val="181818"/>
              </w:rPr>
              <w:t>((a) + (b))</w:t>
            </w:r>
          </w:p>
        </w:tc>
      </w:tr>
      <w:tr>
        <w:trPr>
          <w:trHeight w:val="70"/>
        </w:trPr>
        <w:tc>
          <w:tcPr>
            <w:tcW w:w="3280" w:type="dxa"/>
            <w:vAlign w:val="bottom"/>
            <w:tcBorders>
              <w:left w:val="single" w:sz="8" w:color="181818"/>
            </w:tcBorders>
            <w:shd w:val="clear" w:color="auto" w:fill="AED0C7"/>
          </w:tcPr>
          <w:p>
            <w:pPr>
              <w:spacing w:after="0"/>
              <w:rPr>
                <w:sz w:val="6"/>
                <w:szCs w:val="6"/>
                <w:color w:val="auto"/>
              </w:rPr>
            </w:pPr>
          </w:p>
        </w:tc>
        <w:tc>
          <w:tcPr>
            <w:tcW w:w="2920" w:type="dxa"/>
            <w:vAlign w:val="bottom"/>
            <w:shd w:val="clear" w:color="auto" w:fill="AED0C7"/>
          </w:tcPr>
          <w:p>
            <w:pPr>
              <w:spacing w:after="0"/>
              <w:rPr>
                <w:sz w:val="6"/>
                <w:szCs w:val="6"/>
                <w:color w:val="auto"/>
              </w:rPr>
            </w:pPr>
          </w:p>
        </w:tc>
        <w:tc>
          <w:tcPr>
            <w:tcW w:w="2800" w:type="dxa"/>
            <w:vAlign w:val="bottom"/>
            <w:shd w:val="clear" w:color="auto" w:fill="AED0C7"/>
          </w:tcPr>
          <w:p>
            <w:pPr>
              <w:spacing w:after="0"/>
              <w:rPr>
                <w:sz w:val="6"/>
                <w:szCs w:val="6"/>
                <w:color w:val="auto"/>
              </w:rPr>
            </w:pPr>
          </w:p>
        </w:tc>
        <w:tc>
          <w:tcPr>
            <w:tcW w:w="2280" w:type="dxa"/>
            <w:vAlign w:val="bottom"/>
            <w:tcBorders>
              <w:right w:val="single" w:sz="8" w:color="181818"/>
            </w:tcBorders>
            <w:shd w:val="clear" w:color="auto" w:fill="AED0C7"/>
          </w:tcPr>
          <w:p>
            <w:pPr>
              <w:spacing w:after="0"/>
              <w:rPr>
                <w:sz w:val="6"/>
                <w:szCs w:val="6"/>
                <w:color w:val="auto"/>
              </w:rPr>
            </w:pPr>
          </w:p>
        </w:tc>
      </w:tr>
      <w:tr>
        <w:trPr>
          <w:trHeight w:val="268"/>
        </w:trPr>
        <w:tc>
          <w:tcPr>
            <w:tcW w:w="32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Scott A. Lang</w:t>
            </w:r>
          </w:p>
        </w:tc>
        <w:tc>
          <w:tcPr>
            <w:tcW w:w="29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1,435,776</w:t>
            </w:r>
          </w:p>
        </w:tc>
        <w:tc>
          <w:tcPr>
            <w:tcW w:w="228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1,435,776</w:t>
            </w:r>
          </w:p>
        </w:tc>
      </w:tr>
      <w:tr>
        <w:trPr>
          <w:trHeight w:val="56"/>
        </w:trPr>
        <w:tc>
          <w:tcPr>
            <w:tcW w:w="3280" w:type="dxa"/>
            <w:vAlign w:val="bottom"/>
            <w:tcBorders>
              <w:left w:val="single" w:sz="8" w:color="181818"/>
              <w:bottom w:val="single" w:sz="8" w:color="181818"/>
            </w:tcBorders>
          </w:tcPr>
          <w:p>
            <w:pPr>
              <w:spacing w:after="0"/>
              <w:rPr>
                <w:sz w:val="4"/>
                <w:szCs w:val="4"/>
                <w:color w:val="auto"/>
              </w:rPr>
            </w:pPr>
          </w:p>
        </w:tc>
        <w:tc>
          <w:tcPr>
            <w:tcW w:w="2920" w:type="dxa"/>
            <w:vAlign w:val="bottom"/>
            <w:tcBorders>
              <w:bottom w:val="single" w:sz="8" w:color="181818"/>
            </w:tcBorders>
          </w:tcPr>
          <w:p>
            <w:pPr>
              <w:spacing w:after="0"/>
              <w:rPr>
                <w:sz w:val="4"/>
                <w:szCs w:val="4"/>
                <w:color w:val="auto"/>
              </w:rPr>
            </w:pPr>
          </w:p>
        </w:tc>
        <w:tc>
          <w:tcPr>
            <w:tcW w:w="2800" w:type="dxa"/>
            <w:vAlign w:val="bottom"/>
            <w:tcBorders>
              <w:bottom w:val="single" w:sz="8" w:color="181818"/>
            </w:tcBorders>
          </w:tcPr>
          <w:p>
            <w:pPr>
              <w:spacing w:after="0"/>
              <w:rPr>
                <w:sz w:val="4"/>
                <w:szCs w:val="4"/>
                <w:color w:val="auto"/>
              </w:rPr>
            </w:pPr>
          </w:p>
        </w:tc>
        <w:tc>
          <w:tcPr>
            <w:tcW w:w="2280" w:type="dxa"/>
            <w:vAlign w:val="bottom"/>
            <w:tcBorders>
              <w:bottom w:val="single" w:sz="8" w:color="181818"/>
              <w:right w:val="single" w:sz="8" w:color="181818"/>
            </w:tcBorders>
          </w:tcPr>
          <w:p>
            <w:pPr>
              <w:spacing w:after="0"/>
              <w:rPr>
                <w:sz w:val="4"/>
                <w:szCs w:val="4"/>
                <w:color w:val="auto"/>
              </w:rPr>
            </w:pPr>
          </w:p>
        </w:tc>
      </w:tr>
      <w:tr>
        <w:trPr>
          <w:trHeight w:val="261"/>
        </w:trPr>
        <w:tc>
          <w:tcPr>
            <w:tcW w:w="32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Christopher E. Guttman-McCabe</w:t>
            </w:r>
          </w:p>
        </w:tc>
        <w:tc>
          <w:tcPr>
            <w:tcW w:w="2920" w:type="dxa"/>
            <w:vAlign w:val="bottom"/>
          </w:tcPr>
          <w:p>
            <w:pPr>
              <w:jc w:val="right"/>
              <w:ind w:right="368"/>
              <w:spacing w:after="0"/>
              <w:rPr>
                <w:sz w:val="20"/>
                <w:szCs w:val="20"/>
                <w:color w:val="auto"/>
              </w:rPr>
            </w:pPr>
            <w:r>
              <w:rPr>
                <w:rFonts w:ascii="Arial" w:cs="Arial" w:eastAsia="Arial" w:hAnsi="Arial"/>
                <w:sz w:val="14"/>
                <w:szCs w:val="14"/>
                <w:color w:val="auto"/>
              </w:rPr>
              <w:t>2,581,834</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315,641</w:t>
            </w:r>
          </w:p>
        </w:tc>
        <w:tc>
          <w:tcPr>
            <w:tcW w:w="228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2,897,475</w:t>
            </w:r>
          </w:p>
        </w:tc>
      </w:tr>
      <w:tr>
        <w:trPr>
          <w:trHeight w:val="70"/>
        </w:trPr>
        <w:tc>
          <w:tcPr>
            <w:tcW w:w="3280" w:type="dxa"/>
            <w:vAlign w:val="bottom"/>
            <w:tcBorders>
              <w:left w:val="single" w:sz="8" w:color="181818"/>
              <w:bottom w:val="single" w:sz="8" w:color="181818"/>
            </w:tcBorders>
          </w:tcPr>
          <w:p>
            <w:pPr>
              <w:spacing w:after="0"/>
              <w:rPr>
                <w:sz w:val="6"/>
                <w:szCs w:val="6"/>
                <w:color w:val="auto"/>
              </w:rPr>
            </w:pPr>
          </w:p>
        </w:tc>
        <w:tc>
          <w:tcPr>
            <w:tcW w:w="2920" w:type="dxa"/>
            <w:vAlign w:val="bottom"/>
            <w:tcBorders>
              <w:bottom w:val="single" w:sz="8" w:color="181818"/>
            </w:tcBorders>
          </w:tcPr>
          <w:p>
            <w:pPr>
              <w:spacing w:after="0"/>
              <w:rPr>
                <w:sz w:val="6"/>
                <w:szCs w:val="6"/>
                <w:color w:val="auto"/>
              </w:rPr>
            </w:pPr>
          </w:p>
        </w:tc>
        <w:tc>
          <w:tcPr>
            <w:tcW w:w="2800" w:type="dxa"/>
            <w:vAlign w:val="bottom"/>
            <w:tcBorders>
              <w:bottom w:val="single" w:sz="8" w:color="181818"/>
            </w:tcBorders>
          </w:tcPr>
          <w:p>
            <w:pPr>
              <w:spacing w:after="0"/>
              <w:rPr>
                <w:sz w:val="6"/>
                <w:szCs w:val="6"/>
                <w:color w:val="auto"/>
              </w:rPr>
            </w:pPr>
          </w:p>
        </w:tc>
        <w:tc>
          <w:tcPr>
            <w:tcW w:w="2280" w:type="dxa"/>
            <w:vAlign w:val="bottom"/>
            <w:tcBorders>
              <w:bottom w:val="single" w:sz="8" w:color="181818"/>
              <w:right w:val="single" w:sz="8" w:color="181818"/>
            </w:tcBorders>
          </w:tcPr>
          <w:p>
            <w:pPr>
              <w:spacing w:after="0"/>
              <w:rPr>
                <w:sz w:val="6"/>
                <w:szCs w:val="6"/>
                <w:color w:val="auto"/>
              </w:rPr>
            </w:pPr>
          </w:p>
        </w:tc>
      </w:tr>
      <w:tr>
        <w:trPr>
          <w:trHeight w:val="262"/>
        </w:trPr>
        <w:tc>
          <w:tcPr>
            <w:tcW w:w="32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Ryan L. Gerbrandt</w:t>
            </w:r>
          </w:p>
        </w:tc>
        <w:tc>
          <w:tcPr>
            <w:tcW w:w="2920" w:type="dxa"/>
            <w:vAlign w:val="bottom"/>
          </w:tcPr>
          <w:p>
            <w:pPr>
              <w:jc w:val="right"/>
              <w:ind w:right="368"/>
              <w:spacing w:after="0"/>
              <w:rPr>
                <w:sz w:val="20"/>
                <w:szCs w:val="20"/>
                <w:color w:val="auto"/>
              </w:rPr>
            </w:pPr>
            <w:r>
              <w:rPr>
                <w:rFonts w:ascii="Arial" w:cs="Arial" w:eastAsia="Arial" w:hAnsi="Arial"/>
                <w:sz w:val="14"/>
                <w:szCs w:val="14"/>
                <w:color w:val="auto"/>
              </w:rPr>
              <w:t>1,999,971</w:t>
            </w:r>
          </w:p>
        </w:tc>
        <w:tc>
          <w:tcPr>
            <w:tcW w:w="2800" w:type="dxa"/>
            <w:vAlign w:val="bottom"/>
          </w:tcPr>
          <w:p>
            <w:pPr>
              <w:jc w:val="right"/>
              <w:ind w:right="528"/>
              <w:spacing w:after="0"/>
              <w:rPr>
                <w:sz w:val="20"/>
                <w:szCs w:val="20"/>
                <w:color w:val="auto"/>
              </w:rPr>
            </w:pPr>
            <w:r>
              <w:rPr>
                <w:rFonts w:ascii="Arial" w:cs="Arial" w:eastAsia="Arial" w:hAnsi="Arial"/>
                <w:sz w:val="14"/>
                <w:szCs w:val="14"/>
                <w:color w:val="auto"/>
              </w:rPr>
              <w:t>315,641</w:t>
            </w:r>
          </w:p>
        </w:tc>
        <w:tc>
          <w:tcPr>
            <w:tcW w:w="228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2,315,612</w:t>
            </w:r>
          </w:p>
        </w:tc>
      </w:tr>
      <w:tr>
        <w:trPr>
          <w:trHeight w:val="69"/>
        </w:trPr>
        <w:tc>
          <w:tcPr>
            <w:tcW w:w="3280" w:type="dxa"/>
            <w:vAlign w:val="bottom"/>
            <w:tcBorders>
              <w:left w:val="single" w:sz="8" w:color="181818"/>
              <w:bottom w:val="single" w:sz="8" w:color="181818"/>
            </w:tcBorders>
          </w:tcPr>
          <w:p>
            <w:pPr>
              <w:spacing w:after="0"/>
              <w:rPr>
                <w:sz w:val="6"/>
                <w:szCs w:val="6"/>
                <w:color w:val="auto"/>
              </w:rPr>
            </w:pPr>
          </w:p>
        </w:tc>
        <w:tc>
          <w:tcPr>
            <w:tcW w:w="2920" w:type="dxa"/>
            <w:vAlign w:val="bottom"/>
            <w:tcBorders>
              <w:bottom w:val="single" w:sz="8" w:color="181818"/>
            </w:tcBorders>
          </w:tcPr>
          <w:p>
            <w:pPr>
              <w:spacing w:after="0"/>
              <w:rPr>
                <w:sz w:val="6"/>
                <w:szCs w:val="6"/>
                <w:color w:val="auto"/>
              </w:rPr>
            </w:pPr>
          </w:p>
        </w:tc>
        <w:tc>
          <w:tcPr>
            <w:tcW w:w="2800" w:type="dxa"/>
            <w:vAlign w:val="bottom"/>
            <w:tcBorders>
              <w:bottom w:val="single" w:sz="8" w:color="181818"/>
            </w:tcBorders>
          </w:tcPr>
          <w:p>
            <w:pPr>
              <w:spacing w:after="0"/>
              <w:rPr>
                <w:sz w:val="6"/>
                <w:szCs w:val="6"/>
                <w:color w:val="auto"/>
              </w:rPr>
            </w:pPr>
          </w:p>
        </w:tc>
        <w:tc>
          <w:tcPr>
            <w:tcW w:w="2280" w:type="dxa"/>
            <w:vAlign w:val="bottom"/>
            <w:tcBorders>
              <w:bottom w:val="single" w:sz="8" w:color="181818"/>
              <w:right w:val="single" w:sz="8" w:color="181818"/>
            </w:tcBorders>
          </w:tcPr>
          <w:p>
            <w:pPr>
              <w:spacing w:after="0"/>
              <w:rPr>
                <w:sz w:val="6"/>
                <w:szCs w:val="6"/>
                <w:color w:val="auto"/>
              </w:rPr>
            </w:pPr>
          </w:p>
        </w:tc>
      </w:tr>
    </w:tbl>
    <w:p>
      <w:pPr>
        <w:spacing w:after="0" w:line="306" w:lineRule="exact"/>
        <w:rPr>
          <w:sz w:val="20"/>
          <w:szCs w:val="20"/>
          <w:color w:val="auto"/>
        </w:rPr>
      </w:pPr>
    </w:p>
    <w:p>
      <w:pPr>
        <w:jc w:val="both"/>
        <w:ind w:left="7"/>
        <w:spacing w:after="0" w:line="344" w:lineRule="auto"/>
        <w:rPr>
          <w:sz w:val="20"/>
          <w:szCs w:val="20"/>
          <w:color w:val="auto"/>
        </w:rPr>
      </w:pPr>
      <w:r>
        <w:rPr>
          <w:rFonts w:ascii="Arial" w:cs="Arial" w:eastAsia="Arial" w:hAnsi="Arial"/>
          <w:sz w:val="16"/>
          <w:szCs w:val="16"/>
          <w:color w:val="auto"/>
        </w:rPr>
        <w:t>The incremental compensation fair value is measured as the excess of the fair value of the modified award over the fair value of the original award immediately before its terms were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345440</wp:posOffset>
            </wp:positionV>
            <wp:extent cx="71577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47" w:name="page48"/>
    <w:bookmarkEnd w:id="47"/>
    <w:p>
      <w:pPr>
        <w:ind w:left="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1B6F80"/>
        </w:rPr>
        <w:t>2026 Grants of Plan-Based Awards</w:t>
      </w:r>
    </w:p>
    <w:p>
      <w:pPr>
        <w:spacing w:after="0" w:line="125" w:lineRule="exact"/>
        <w:rPr>
          <w:sz w:val="20"/>
          <w:szCs w:val="20"/>
          <w:color w:val="auto"/>
        </w:rPr>
      </w:pPr>
    </w:p>
    <w:p>
      <w:pPr>
        <w:jc w:val="both"/>
        <w:ind w:left="7"/>
        <w:spacing w:after="0" w:line="313" w:lineRule="auto"/>
        <w:rPr>
          <w:sz w:val="20"/>
          <w:szCs w:val="20"/>
          <w:color w:val="auto"/>
        </w:rPr>
      </w:pPr>
      <w:r>
        <w:rPr>
          <w:rFonts w:ascii="Arial" w:cs="Arial" w:eastAsia="Arial" w:hAnsi="Arial"/>
          <w:sz w:val="16"/>
          <w:szCs w:val="16"/>
          <w:i w:val="1"/>
          <w:iCs w:val="1"/>
          <w:color w:val="auto"/>
        </w:rPr>
        <w:t>The following table provides certain information regarding each plan-based award granted to our NEOs during Fiscal 2026. The non-equity incentive plan awards set forth below were made under our Short-Term Incentive Program. All stock options and RSUs set forth below were made under our 2023 Stock Plan. For a description of the acceleration of vesting provisions applicable to the stock options and RSUs granted to our NEOs, see the section of this Proxy Statement entitled “Potential Payments Upon Termination or Change in Control.”</w:t>
      </w:r>
    </w:p>
    <w:p>
      <w:pPr>
        <w:spacing w:after="0" w:line="76" w:lineRule="exact"/>
        <w:rPr>
          <w:sz w:val="20"/>
          <w:szCs w:val="20"/>
          <w:color w:val="auto"/>
        </w:rPr>
      </w:pPr>
    </w:p>
    <w:tbl>
      <w:tblPr>
        <w:tblLayout w:type="fixed"/>
        <w:tblInd w:w="17"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980" w:type="dxa"/>
            <w:vAlign w:val="bottom"/>
            <w:tcBorders>
              <w:right w:val="single" w:sz="8" w:color="181818"/>
            </w:tcBorders>
          </w:tcPr>
          <w:p>
            <w:pPr>
              <w:spacing w:after="0"/>
              <w:rPr>
                <w:sz w:val="14"/>
                <w:szCs w:val="14"/>
                <w:color w:val="auto"/>
              </w:rPr>
            </w:pPr>
          </w:p>
        </w:tc>
        <w:tc>
          <w:tcPr>
            <w:tcW w:w="2220" w:type="dxa"/>
            <w:vAlign w:val="bottom"/>
            <w:tcBorders>
              <w:top w:val="single" w:sz="8" w:color="181818"/>
            </w:tcBorders>
            <w:gridSpan w:val="2"/>
            <w:shd w:val="clear" w:color="auto" w:fill="09314A"/>
          </w:tcPr>
          <w:p>
            <w:pPr>
              <w:jc w:val="center"/>
              <w:ind w:left="557"/>
              <w:spacing w:after="0"/>
              <w:rPr>
                <w:sz w:val="20"/>
                <w:szCs w:val="20"/>
                <w:color w:val="auto"/>
              </w:rPr>
            </w:pPr>
            <w:r>
              <w:rPr>
                <w:rFonts w:ascii="Arial" w:cs="Arial" w:eastAsia="Arial" w:hAnsi="Arial"/>
                <w:sz w:val="13"/>
                <w:szCs w:val="13"/>
                <w:b w:val="1"/>
                <w:bCs w:val="1"/>
                <w:color w:val="FFFFFF"/>
                <w:w w:val="97"/>
              </w:rPr>
              <w:t>Estimated future payouts</w:t>
            </w:r>
          </w:p>
        </w:tc>
        <w:tc>
          <w:tcPr>
            <w:tcW w:w="660" w:type="dxa"/>
            <w:vAlign w:val="bottom"/>
            <w:tcBorders>
              <w:top w:val="single" w:sz="8" w:color="181818"/>
              <w:right w:val="single" w:sz="8" w:color="181818"/>
            </w:tcBorders>
            <w:shd w:val="clear" w:color="auto" w:fill="09314A"/>
          </w:tcPr>
          <w:p>
            <w:pPr>
              <w:spacing w:after="0"/>
              <w:rPr>
                <w:sz w:val="14"/>
                <w:szCs w:val="14"/>
                <w:color w:val="auto"/>
              </w:rPr>
            </w:pPr>
          </w:p>
        </w:tc>
        <w:tc>
          <w:tcPr>
            <w:tcW w:w="2520" w:type="dxa"/>
            <w:vAlign w:val="bottom"/>
            <w:tcBorders>
              <w:top w:val="single" w:sz="8" w:color="181818"/>
              <w:right w:val="single" w:sz="8" w:color="181818"/>
            </w:tcBorders>
            <w:gridSpan w:val="3"/>
            <w:shd w:val="clear" w:color="auto" w:fill="135368"/>
          </w:tcPr>
          <w:p>
            <w:pPr>
              <w:jc w:val="center"/>
              <w:spacing w:after="0"/>
              <w:rPr>
                <w:sz w:val="20"/>
                <w:szCs w:val="20"/>
                <w:color w:val="auto"/>
              </w:rPr>
            </w:pPr>
            <w:r>
              <w:rPr>
                <w:rFonts w:ascii="Arial" w:cs="Arial" w:eastAsia="Arial" w:hAnsi="Arial"/>
                <w:sz w:val="13"/>
                <w:szCs w:val="13"/>
                <w:b w:val="1"/>
                <w:bCs w:val="1"/>
                <w:color w:val="FFFFFF"/>
                <w:w w:val="97"/>
              </w:rPr>
              <w:t>Estimated future payouts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80" w:type="dxa"/>
            <w:vAlign w:val="bottom"/>
            <w:tcBorders>
              <w:right w:val="single" w:sz="8" w:color="181818"/>
            </w:tcBorders>
          </w:tcPr>
          <w:p>
            <w:pPr>
              <w:spacing w:after="0"/>
              <w:rPr>
                <w:sz w:val="12"/>
                <w:szCs w:val="12"/>
                <w:color w:val="auto"/>
              </w:rPr>
            </w:pPr>
          </w:p>
        </w:tc>
        <w:tc>
          <w:tcPr>
            <w:tcW w:w="2880" w:type="dxa"/>
            <w:vAlign w:val="bottom"/>
            <w:tcBorders>
              <w:right w:val="single" w:sz="8" w:color="181818"/>
            </w:tcBorders>
            <w:gridSpan w:val="3"/>
            <w:shd w:val="clear" w:color="auto" w:fill="09314A"/>
          </w:tcPr>
          <w:p>
            <w:pPr>
              <w:jc w:val="center"/>
              <w:spacing w:after="0"/>
              <w:rPr>
                <w:sz w:val="20"/>
                <w:szCs w:val="20"/>
                <w:color w:val="auto"/>
              </w:rPr>
            </w:pPr>
            <w:r>
              <w:rPr>
                <w:rFonts w:ascii="Arial" w:cs="Arial" w:eastAsia="Arial" w:hAnsi="Arial"/>
                <w:sz w:val="13"/>
                <w:szCs w:val="13"/>
                <w:b w:val="1"/>
                <w:bCs w:val="1"/>
                <w:color w:val="FFFFFF"/>
                <w:w w:val="96"/>
              </w:rPr>
              <w:t>under non-equity incentive plan</w:t>
            </w:r>
          </w:p>
        </w:tc>
        <w:tc>
          <w:tcPr>
            <w:tcW w:w="2520" w:type="dxa"/>
            <w:vAlign w:val="bottom"/>
            <w:tcBorders>
              <w:right w:val="single" w:sz="8" w:color="181818"/>
            </w:tcBorders>
            <w:gridSpan w:val="3"/>
            <w:shd w:val="clear" w:color="auto" w:fill="135368"/>
          </w:tcPr>
          <w:p>
            <w:pPr>
              <w:jc w:val="center"/>
              <w:spacing w:after="0"/>
              <w:rPr>
                <w:sz w:val="20"/>
                <w:szCs w:val="20"/>
                <w:color w:val="auto"/>
              </w:rPr>
            </w:pPr>
            <w:r>
              <w:rPr>
                <w:rFonts w:ascii="Arial" w:cs="Arial" w:eastAsia="Arial" w:hAnsi="Arial"/>
                <w:sz w:val="13"/>
                <w:szCs w:val="13"/>
                <w:b w:val="1"/>
                <w:bCs w:val="1"/>
                <w:color w:val="FFFFFF"/>
                <w:w w:val="97"/>
              </w:rPr>
              <w:t>under equity incentive plan</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160" w:type="dxa"/>
            <w:vAlign w:val="bottom"/>
            <w:tcBorders>
              <w:bottom w:val="single" w:sz="8" w:color="181818"/>
            </w:tcBorders>
          </w:tcPr>
          <w:p>
            <w:pPr>
              <w:spacing w:after="0"/>
              <w:rPr>
                <w:sz w:val="17"/>
                <w:szCs w:val="17"/>
                <w:color w:val="auto"/>
              </w:rPr>
            </w:pPr>
          </w:p>
        </w:tc>
        <w:tc>
          <w:tcPr>
            <w:tcW w:w="980" w:type="dxa"/>
            <w:vAlign w:val="bottom"/>
            <w:tcBorders>
              <w:bottom w:val="single" w:sz="8" w:color="181818"/>
              <w:right w:val="single" w:sz="8" w:color="181818"/>
            </w:tcBorders>
          </w:tcPr>
          <w:p>
            <w:pPr>
              <w:spacing w:after="0"/>
              <w:rPr>
                <w:sz w:val="17"/>
                <w:szCs w:val="17"/>
                <w:color w:val="auto"/>
              </w:rPr>
            </w:pPr>
          </w:p>
        </w:tc>
        <w:tc>
          <w:tcPr>
            <w:tcW w:w="920" w:type="dxa"/>
            <w:vAlign w:val="bottom"/>
            <w:tcBorders>
              <w:bottom w:val="single" w:sz="8" w:color="181818"/>
            </w:tcBorders>
            <w:shd w:val="clear" w:color="auto" w:fill="09314A"/>
          </w:tcPr>
          <w:p>
            <w:pPr>
              <w:spacing w:after="0"/>
              <w:rPr>
                <w:sz w:val="17"/>
                <w:szCs w:val="17"/>
                <w:color w:val="auto"/>
              </w:rPr>
            </w:pPr>
          </w:p>
        </w:tc>
        <w:tc>
          <w:tcPr>
            <w:tcW w:w="1300" w:type="dxa"/>
            <w:vAlign w:val="bottom"/>
            <w:tcBorders>
              <w:bottom w:val="single" w:sz="8" w:color="181818"/>
            </w:tcBorders>
            <w:shd w:val="clear" w:color="auto" w:fill="09314A"/>
          </w:tcPr>
          <w:p>
            <w:pPr>
              <w:jc w:val="center"/>
              <w:ind w:right="237"/>
              <w:spacing w:after="0"/>
              <w:rPr>
                <w:sz w:val="20"/>
                <w:szCs w:val="20"/>
                <w:color w:val="auto"/>
              </w:rPr>
            </w:pPr>
            <w:r>
              <w:rPr>
                <w:rFonts w:ascii="Arial" w:cs="Arial" w:eastAsia="Arial" w:hAnsi="Arial"/>
                <w:sz w:val="13"/>
                <w:szCs w:val="13"/>
                <w:b w:val="1"/>
                <w:bCs w:val="1"/>
                <w:color w:val="FFFFFF"/>
                <w:w w:val="91"/>
              </w:rPr>
              <w:t xml:space="preserve">awards </w:t>
            </w:r>
            <w:r>
              <w:rPr>
                <w:rFonts w:ascii="Arial" w:cs="Arial" w:eastAsia="Arial" w:hAnsi="Arial"/>
                <w:sz w:val="16"/>
                <w:szCs w:val="16"/>
                <w:b w:val="1"/>
                <w:bCs w:val="1"/>
                <w:color w:val="FFFFFF"/>
                <w:w w:val="91"/>
                <w:vertAlign w:val="superscript"/>
              </w:rPr>
              <w:t>(1)</w:t>
            </w:r>
          </w:p>
        </w:tc>
        <w:tc>
          <w:tcPr>
            <w:tcW w:w="660" w:type="dxa"/>
            <w:vAlign w:val="bottom"/>
            <w:tcBorders>
              <w:bottom w:val="single" w:sz="8" w:color="181818"/>
              <w:right w:val="single" w:sz="8" w:color="181818"/>
            </w:tcBorders>
            <w:shd w:val="clear" w:color="auto" w:fill="09314A"/>
          </w:tcPr>
          <w:p>
            <w:pPr>
              <w:spacing w:after="0"/>
              <w:rPr>
                <w:sz w:val="17"/>
                <w:szCs w:val="17"/>
                <w:color w:val="auto"/>
              </w:rPr>
            </w:pPr>
          </w:p>
        </w:tc>
        <w:tc>
          <w:tcPr>
            <w:tcW w:w="980" w:type="dxa"/>
            <w:vAlign w:val="bottom"/>
            <w:tcBorders>
              <w:bottom w:val="single" w:sz="8" w:color="181818"/>
            </w:tcBorders>
            <w:shd w:val="clear" w:color="auto" w:fill="135368"/>
          </w:tcPr>
          <w:p>
            <w:pPr>
              <w:spacing w:after="0"/>
              <w:rPr>
                <w:sz w:val="17"/>
                <w:szCs w:val="17"/>
                <w:color w:val="auto"/>
              </w:rPr>
            </w:pPr>
          </w:p>
        </w:tc>
        <w:tc>
          <w:tcPr>
            <w:tcW w:w="780" w:type="dxa"/>
            <w:vAlign w:val="bottom"/>
            <w:tcBorders>
              <w:bottom w:val="single" w:sz="8" w:color="181818"/>
            </w:tcBorders>
            <w:shd w:val="clear" w:color="auto" w:fill="135368"/>
          </w:tcPr>
          <w:p>
            <w:pPr>
              <w:jc w:val="center"/>
              <w:ind w:right="157"/>
              <w:spacing w:after="0"/>
              <w:rPr>
                <w:sz w:val="20"/>
                <w:szCs w:val="20"/>
                <w:color w:val="auto"/>
              </w:rPr>
            </w:pPr>
            <w:r>
              <w:rPr>
                <w:rFonts w:ascii="Arial" w:cs="Arial" w:eastAsia="Arial" w:hAnsi="Arial"/>
                <w:sz w:val="13"/>
                <w:szCs w:val="13"/>
                <w:b w:val="1"/>
                <w:bCs w:val="1"/>
                <w:color w:val="FFFFFF"/>
                <w:w w:val="98"/>
              </w:rPr>
              <w:t>awards</w:t>
            </w:r>
          </w:p>
        </w:tc>
        <w:tc>
          <w:tcPr>
            <w:tcW w:w="760" w:type="dxa"/>
            <w:vAlign w:val="bottom"/>
            <w:tcBorders>
              <w:bottom w:val="single" w:sz="8" w:color="181818"/>
              <w:right w:val="single" w:sz="8" w:color="181818"/>
            </w:tcBorders>
            <w:shd w:val="clear" w:color="auto" w:fill="135368"/>
          </w:tcPr>
          <w:p>
            <w:pPr>
              <w:spacing w:after="0"/>
              <w:rPr>
                <w:sz w:val="17"/>
                <w:szCs w:val="17"/>
                <w:color w:val="auto"/>
              </w:rPr>
            </w:pPr>
          </w:p>
        </w:tc>
        <w:tc>
          <w:tcPr>
            <w:tcW w:w="800" w:type="dxa"/>
            <w:vAlign w:val="bottom"/>
            <w:tcBorders>
              <w:bottom w:val="single" w:sz="8" w:color="181818"/>
            </w:tcBorders>
          </w:tcPr>
          <w:p>
            <w:pPr>
              <w:spacing w:after="0"/>
              <w:rPr>
                <w:sz w:val="17"/>
                <w:szCs w:val="17"/>
                <w:color w:val="auto"/>
              </w:rPr>
            </w:pPr>
          </w:p>
        </w:tc>
        <w:tc>
          <w:tcPr>
            <w:tcW w:w="1140" w:type="dxa"/>
            <w:vAlign w:val="bottom"/>
            <w:tcBorders>
              <w:bottom w:val="single" w:sz="8" w:color="181818"/>
            </w:tcBorders>
          </w:tcPr>
          <w:p>
            <w:pPr>
              <w:spacing w:after="0"/>
              <w:rPr>
                <w:sz w:val="17"/>
                <w:szCs w:val="17"/>
                <w:color w:val="auto"/>
              </w:rPr>
            </w:pPr>
          </w:p>
        </w:tc>
        <w:tc>
          <w:tcPr>
            <w:tcW w:w="840" w:type="dxa"/>
            <w:vAlign w:val="bottom"/>
            <w:tcBorders>
              <w:bottom w:val="single" w:sz="8" w:color="181818"/>
            </w:tcBorders>
          </w:tcPr>
          <w:p>
            <w:pPr>
              <w:spacing w:after="0"/>
              <w:rPr>
                <w:sz w:val="17"/>
                <w:szCs w:val="17"/>
                <w:color w:val="auto"/>
              </w:rPr>
            </w:pPr>
          </w:p>
        </w:tc>
        <w:tc>
          <w:tcPr>
            <w:tcW w:w="960" w:type="dxa"/>
            <w:vAlign w:val="bottom"/>
            <w:tcBorders>
              <w:bottom w:val="single" w:sz="8" w:color="181818"/>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60" w:type="dxa"/>
            <w:vAlign w:val="bottom"/>
            <w:tcBorders>
              <w:left w:val="single" w:sz="8" w:color="181818"/>
            </w:tcBorders>
            <w:shd w:val="clear" w:color="auto" w:fill="1B6F80"/>
          </w:tcPr>
          <w:p>
            <w:pPr>
              <w:spacing w:after="0"/>
              <w:rPr>
                <w:sz w:val="14"/>
                <w:szCs w:val="14"/>
                <w:color w:val="auto"/>
              </w:rPr>
            </w:pPr>
          </w:p>
        </w:tc>
        <w:tc>
          <w:tcPr>
            <w:tcW w:w="980" w:type="dxa"/>
            <w:vAlign w:val="bottom"/>
            <w:tcBorders>
              <w:right w:val="single" w:sz="8" w:color="1B6F80"/>
            </w:tcBorders>
            <w:shd w:val="clear" w:color="auto" w:fill="1B6F80"/>
          </w:tcPr>
          <w:p>
            <w:pPr>
              <w:spacing w:after="0"/>
              <w:rPr>
                <w:sz w:val="14"/>
                <w:szCs w:val="14"/>
                <w:color w:val="auto"/>
              </w:rPr>
            </w:pPr>
          </w:p>
        </w:tc>
        <w:tc>
          <w:tcPr>
            <w:tcW w:w="920" w:type="dxa"/>
            <w:vAlign w:val="bottom"/>
            <w:shd w:val="clear" w:color="auto" w:fill="1B6F80"/>
          </w:tcPr>
          <w:p>
            <w:pPr>
              <w:spacing w:after="0"/>
              <w:rPr>
                <w:sz w:val="14"/>
                <w:szCs w:val="14"/>
                <w:color w:val="auto"/>
              </w:rPr>
            </w:pPr>
          </w:p>
        </w:tc>
        <w:tc>
          <w:tcPr>
            <w:tcW w:w="1300" w:type="dxa"/>
            <w:vAlign w:val="bottom"/>
            <w:shd w:val="clear" w:color="auto" w:fill="1B6F80"/>
          </w:tcPr>
          <w:p>
            <w:pPr>
              <w:spacing w:after="0"/>
              <w:rPr>
                <w:sz w:val="14"/>
                <w:szCs w:val="14"/>
                <w:color w:val="auto"/>
              </w:rPr>
            </w:pPr>
          </w:p>
        </w:tc>
        <w:tc>
          <w:tcPr>
            <w:tcW w:w="660" w:type="dxa"/>
            <w:vAlign w:val="bottom"/>
            <w:tcBorders>
              <w:right w:val="single" w:sz="8" w:color="1B6F80"/>
            </w:tcBorders>
            <w:shd w:val="clear" w:color="auto" w:fill="1B6F80"/>
          </w:tcPr>
          <w:p>
            <w:pPr>
              <w:spacing w:after="0"/>
              <w:rPr>
                <w:sz w:val="14"/>
                <w:szCs w:val="14"/>
                <w:color w:val="auto"/>
              </w:rPr>
            </w:pPr>
          </w:p>
        </w:tc>
        <w:tc>
          <w:tcPr>
            <w:tcW w:w="980" w:type="dxa"/>
            <w:vAlign w:val="bottom"/>
            <w:shd w:val="clear" w:color="auto" w:fill="1B6F80"/>
          </w:tcPr>
          <w:p>
            <w:pPr>
              <w:spacing w:after="0"/>
              <w:rPr>
                <w:sz w:val="14"/>
                <w:szCs w:val="14"/>
                <w:color w:val="auto"/>
              </w:rPr>
            </w:pPr>
          </w:p>
        </w:tc>
        <w:tc>
          <w:tcPr>
            <w:tcW w:w="780" w:type="dxa"/>
            <w:vAlign w:val="bottom"/>
            <w:shd w:val="clear" w:color="auto" w:fill="1B6F80"/>
          </w:tcPr>
          <w:p>
            <w:pPr>
              <w:spacing w:after="0"/>
              <w:rPr>
                <w:sz w:val="14"/>
                <w:szCs w:val="14"/>
                <w:color w:val="auto"/>
              </w:rPr>
            </w:pPr>
          </w:p>
        </w:tc>
        <w:tc>
          <w:tcPr>
            <w:tcW w:w="760" w:type="dxa"/>
            <w:vAlign w:val="bottom"/>
            <w:tcBorders>
              <w:right w:val="single" w:sz="8" w:color="1B6F80"/>
            </w:tcBorders>
            <w:shd w:val="clear" w:color="auto" w:fill="1B6F80"/>
          </w:tcPr>
          <w:p>
            <w:pPr>
              <w:spacing w:after="0"/>
              <w:rPr>
                <w:sz w:val="14"/>
                <w:szCs w:val="14"/>
                <w:color w:val="auto"/>
              </w:rPr>
            </w:pPr>
          </w:p>
        </w:tc>
        <w:tc>
          <w:tcPr>
            <w:tcW w:w="800" w:type="dxa"/>
            <w:vAlign w:val="bottom"/>
            <w:shd w:val="clear" w:color="auto" w:fill="1B6F80"/>
          </w:tcPr>
          <w:p>
            <w:pPr>
              <w:spacing w:after="0"/>
              <w:rPr>
                <w:sz w:val="14"/>
                <w:szCs w:val="14"/>
                <w:color w:val="auto"/>
              </w:rPr>
            </w:pPr>
          </w:p>
        </w:tc>
        <w:tc>
          <w:tcPr>
            <w:tcW w:w="1140" w:type="dxa"/>
            <w:vAlign w:val="bottom"/>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All Other</w:t>
            </w:r>
          </w:p>
        </w:tc>
        <w:tc>
          <w:tcPr>
            <w:tcW w:w="840" w:type="dxa"/>
            <w:vAlign w:val="bottom"/>
            <w:shd w:val="clear" w:color="auto" w:fill="1B6F80"/>
          </w:tcPr>
          <w:p>
            <w:pPr>
              <w:spacing w:after="0"/>
              <w:rPr>
                <w:sz w:val="14"/>
                <w:szCs w:val="14"/>
                <w:color w:val="auto"/>
              </w:rPr>
            </w:pPr>
          </w:p>
        </w:tc>
        <w:tc>
          <w:tcPr>
            <w:tcW w:w="960" w:type="dxa"/>
            <w:vAlign w:val="bottom"/>
            <w:tcBorders>
              <w:right w:val="single" w:sz="8" w:color="181818"/>
            </w:tcBorders>
            <w:shd w:val="clear" w:color="auto" w:fill="1B6F80"/>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60" w:type="dxa"/>
            <w:vAlign w:val="bottom"/>
            <w:tcBorders>
              <w:left w:val="single" w:sz="8" w:color="181818"/>
            </w:tcBorders>
            <w:shd w:val="clear" w:color="auto" w:fill="1B6F80"/>
          </w:tcPr>
          <w:p>
            <w:pPr>
              <w:spacing w:after="0"/>
              <w:rPr>
                <w:sz w:val="12"/>
                <w:szCs w:val="12"/>
                <w:color w:val="auto"/>
              </w:rPr>
            </w:pPr>
          </w:p>
        </w:tc>
        <w:tc>
          <w:tcPr>
            <w:tcW w:w="980" w:type="dxa"/>
            <w:vAlign w:val="bottom"/>
            <w:tcBorders>
              <w:right w:val="single" w:sz="8" w:color="1B6F80"/>
            </w:tcBorders>
            <w:shd w:val="clear" w:color="auto" w:fill="1B6F80"/>
          </w:tcPr>
          <w:p>
            <w:pPr>
              <w:spacing w:after="0"/>
              <w:rPr>
                <w:sz w:val="12"/>
                <w:szCs w:val="12"/>
                <w:color w:val="auto"/>
              </w:rPr>
            </w:pPr>
          </w:p>
        </w:tc>
        <w:tc>
          <w:tcPr>
            <w:tcW w:w="920" w:type="dxa"/>
            <w:vAlign w:val="bottom"/>
            <w:shd w:val="clear" w:color="auto" w:fill="1B6F80"/>
          </w:tcPr>
          <w:p>
            <w:pPr>
              <w:spacing w:after="0"/>
              <w:rPr>
                <w:sz w:val="12"/>
                <w:szCs w:val="12"/>
                <w:color w:val="auto"/>
              </w:rPr>
            </w:pPr>
          </w:p>
        </w:tc>
        <w:tc>
          <w:tcPr>
            <w:tcW w:w="1300" w:type="dxa"/>
            <w:vAlign w:val="bottom"/>
            <w:shd w:val="clear" w:color="auto" w:fill="1B6F80"/>
          </w:tcPr>
          <w:p>
            <w:pPr>
              <w:spacing w:after="0"/>
              <w:rPr>
                <w:sz w:val="12"/>
                <w:szCs w:val="12"/>
                <w:color w:val="auto"/>
              </w:rPr>
            </w:pPr>
          </w:p>
        </w:tc>
        <w:tc>
          <w:tcPr>
            <w:tcW w:w="660" w:type="dxa"/>
            <w:vAlign w:val="bottom"/>
            <w:tcBorders>
              <w:right w:val="single" w:sz="8" w:color="1B6F80"/>
            </w:tcBorders>
            <w:shd w:val="clear" w:color="auto" w:fill="1B6F80"/>
          </w:tcPr>
          <w:p>
            <w:pPr>
              <w:spacing w:after="0"/>
              <w:rPr>
                <w:sz w:val="12"/>
                <w:szCs w:val="12"/>
                <w:color w:val="auto"/>
              </w:rPr>
            </w:pPr>
          </w:p>
        </w:tc>
        <w:tc>
          <w:tcPr>
            <w:tcW w:w="980" w:type="dxa"/>
            <w:vAlign w:val="bottom"/>
            <w:shd w:val="clear" w:color="auto" w:fill="1B6F80"/>
          </w:tcPr>
          <w:p>
            <w:pPr>
              <w:spacing w:after="0"/>
              <w:rPr>
                <w:sz w:val="12"/>
                <w:szCs w:val="12"/>
                <w:color w:val="auto"/>
              </w:rPr>
            </w:pPr>
          </w:p>
        </w:tc>
        <w:tc>
          <w:tcPr>
            <w:tcW w:w="780" w:type="dxa"/>
            <w:vAlign w:val="bottom"/>
            <w:shd w:val="clear" w:color="auto" w:fill="1B6F80"/>
          </w:tcPr>
          <w:p>
            <w:pPr>
              <w:spacing w:after="0"/>
              <w:rPr>
                <w:sz w:val="12"/>
                <w:szCs w:val="12"/>
                <w:color w:val="auto"/>
              </w:rPr>
            </w:pPr>
          </w:p>
        </w:tc>
        <w:tc>
          <w:tcPr>
            <w:tcW w:w="760" w:type="dxa"/>
            <w:vAlign w:val="bottom"/>
            <w:tcBorders>
              <w:right w:val="single" w:sz="8" w:color="1B6F80"/>
            </w:tcBorders>
            <w:shd w:val="clear" w:color="auto" w:fill="1B6F80"/>
          </w:tcPr>
          <w:p>
            <w:pPr>
              <w:spacing w:after="0"/>
              <w:rPr>
                <w:sz w:val="12"/>
                <w:szCs w:val="12"/>
                <w:color w:val="auto"/>
              </w:rPr>
            </w:pP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All</w:t>
            </w:r>
          </w:p>
        </w:tc>
        <w:tc>
          <w:tcPr>
            <w:tcW w:w="1140" w:type="dxa"/>
            <w:vAlign w:val="bottom"/>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Option</w:t>
            </w:r>
          </w:p>
        </w:tc>
        <w:tc>
          <w:tcPr>
            <w:tcW w:w="84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Exercise</w:t>
            </w:r>
          </w:p>
        </w:tc>
        <w:tc>
          <w:tcPr>
            <w:tcW w:w="960" w:type="dxa"/>
            <w:vAlign w:val="bottom"/>
            <w:tcBorders>
              <w:right w:val="single" w:sz="8" w:color="181818"/>
            </w:tcBorders>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148"/>
        </w:trPr>
        <w:tc>
          <w:tcPr>
            <w:tcW w:w="1160" w:type="dxa"/>
            <w:vAlign w:val="bottom"/>
            <w:tcBorders>
              <w:left w:val="single" w:sz="8" w:color="181818"/>
            </w:tcBorders>
            <w:shd w:val="clear" w:color="auto" w:fill="1B6F80"/>
          </w:tcPr>
          <w:p>
            <w:pPr>
              <w:spacing w:after="0"/>
              <w:rPr>
                <w:sz w:val="12"/>
                <w:szCs w:val="12"/>
                <w:color w:val="auto"/>
              </w:rPr>
            </w:pPr>
          </w:p>
        </w:tc>
        <w:tc>
          <w:tcPr>
            <w:tcW w:w="980" w:type="dxa"/>
            <w:vAlign w:val="bottom"/>
            <w:tcBorders>
              <w:right w:val="single" w:sz="8" w:color="1B6F80"/>
            </w:tcBorders>
            <w:shd w:val="clear" w:color="auto" w:fill="1B6F80"/>
          </w:tcPr>
          <w:p>
            <w:pPr>
              <w:spacing w:after="0"/>
              <w:rPr>
                <w:sz w:val="12"/>
                <w:szCs w:val="12"/>
                <w:color w:val="auto"/>
              </w:rPr>
            </w:pPr>
          </w:p>
        </w:tc>
        <w:tc>
          <w:tcPr>
            <w:tcW w:w="920" w:type="dxa"/>
            <w:vAlign w:val="bottom"/>
            <w:shd w:val="clear" w:color="auto" w:fill="1B6F80"/>
          </w:tcPr>
          <w:p>
            <w:pPr>
              <w:spacing w:after="0"/>
              <w:rPr>
                <w:sz w:val="12"/>
                <w:szCs w:val="12"/>
                <w:color w:val="auto"/>
              </w:rPr>
            </w:pPr>
          </w:p>
        </w:tc>
        <w:tc>
          <w:tcPr>
            <w:tcW w:w="1300" w:type="dxa"/>
            <w:vAlign w:val="bottom"/>
            <w:shd w:val="clear" w:color="auto" w:fill="1B6F80"/>
          </w:tcPr>
          <w:p>
            <w:pPr>
              <w:spacing w:after="0"/>
              <w:rPr>
                <w:sz w:val="12"/>
                <w:szCs w:val="12"/>
                <w:color w:val="auto"/>
              </w:rPr>
            </w:pPr>
          </w:p>
        </w:tc>
        <w:tc>
          <w:tcPr>
            <w:tcW w:w="660" w:type="dxa"/>
            <w:vAlign w:val="bottom"/>
            <w:tcBorders>
              <w:right w:val="single" w:sz="8" w:color="1B6F80"/>
            </w:tcBorders>
            <w:shd w:val="clear" w:color="auto" w:fill="1B6F80"/>
          </w:tcPr>
          <w:p>
            <w:pPr>
              <w:spacing w:after="0"/>
              <w:rPr>
                <w:sz w:val="12"/>
                <w:szCs w:val="12"/>
                <w:color w:val="auto"/>
              </w:rPr>
            </w:pPr>
          </w:p>
        </w:tc>
        <w:tc>
          <w:tcPr>
            <w:tcW w:w="980" w:type="dxa"/>
            <w:vAlign w:val="bottom"/>
            <w:shd w:val="clear" w:color="auto" w:fill="1B6F80"/>
          </w:tcPr>
          <w:p>
            <w:pPr>
              <w:spacing w:after="0"/>
              <w:rPr>
                <w:sz w:val="12"/>
                <w:szCs w:val="12"/>
                <w:color w:val="auto"/>
              </w:rPr>
            </w:pPr>
          </w:p>
        </w:tc>
        <w:tc>
          <w:tcPr>
            <w:tcW w:w="780" w:type="dxa"/>
            <w:vAlign w:val="bottom"/>
            <w:shd w:val="clear" w:color="auto" w:fill="1B6F80"/>
          </w:tcPr>
          <w:p>
            <w:pPr>
              <w:spacing w:after="0"/>
              <w:rPr>
                <w:sz w:val="12"/>
                <w:szCs w:val="12"/>
                <w:color w:val="auto"/>
              </w:rPr>
            </w:pPr>
          </w:p>
        </w:tc>
        <w:tc>
          <w:tcPr>
            <w:tcW w:w="760" w:type="dxa"/>
            <w:vAlign w:val="bottom"/>
            <w:tcBorders>
              <w:right w:val="single" w:sz="8" w:color="1B6F80"/>
            </w:tcBorders>
            <w:shd w:val="clear" w:color="auto" w:fill="1B6F80"/>
          </w:tcPr>
          <w:p>
            <w:pPr>
              <w:spacing w:after="0"/>
              <w:rPr>
                <w:sz w:val="12"/>
                <w:szCs w:val="12"/>
                <w:color w:val="auto"/>
              </w:rPr>
            </w:pP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Stock</w:t>
            </w:r>
          </w:p>
        </w:tc>
        <w:tc>
          <w:tcPr>
            <w:tcW w:w="1140" w:type="dxa"/>
            <w:vAlign w:val="bottom"/>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Awards:</w:t>
            </w:r>
          </w:p>
        </w:tc>
        <w:tc>
          <w:tcPr>
            <w:tcW w:w="84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or Base</w:t>
            </w:r>
          </w:p>
        </w:tc>
        <w:tc>
          <w:tcPr>
            <w:tcW w:w="960" w:type="dxa"/>
            <w:vAlign w:val="bottom"/>
            <w:tcBorders>
              <w:right w:val="single" w:sz="8" w:color="181818"/>
            </w:tcBorders>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Fair Value</w:t>
            </w:r>
          </w:p>
        </w:tc>
        <w:tc>
          <w:tcPr>
            <w:tcW w:w="0" w:type="dxa"/>
            <w:vAlign w:val="bottom"/>
          </w:tcPr>
          <w:p>
            <w:pPr>
              <w:spacing w:after="0"/>
              <w:rPr>
                <w:sz w:val="1"/>
                <w:szCs w:val="1"/>
                <w:color w:val="auto"/>
              </w:rPr>
            </w:pPr>
          </w:p>
        </w:tc>
      </w:tr>
      <w:tr>
        <w:trPr>
          <w:trHeight w:val="148"/>
        </w:trPr>
        <w:tc>
          <w:tcPr>
            <w:tcW w:w="1160" w:type="dxa"/>
            <w:vAlign w:val="bottom"/>
            <w:tcBorders>
              <w:left w:val="single" w:sz="8" w:color="181818"/>
            </w:tcBorders>
            <w:shd w:val="clear" w:color="auto" w:fill="1B6F80"/>
          </w:tcPr>
          <w:p>
            <w:pPr>
              <w:spacing w:after="0"/>
              <w:rPr>
                <w:sz w:val="12"/>
                <w:szCs w:val="12"/>
                <w:color w:val="auto"/>
              </w:rPr>
            </w:pPr>
          </w:p>
        </w:tc>
        <w:tc>
          <w:tcPr>
            <w:tcW w:w="980" w:type="dxa"/>
            <w:vAlign w:val="bottom"/>
            <w:tcBorders>
              <w:right w:val="single" w:sz="8" w:color="1B6F80"/>
            </w:tcBorders>
            <w:shd w:val="clear" w:color="auto" w:fill="1B6F80"/>
          </w:tcPr>
          <w:p>
            <w:pPr>
              <w:spacing w:after="0"/>
              <w:rPr>
                <w:sz w:val="12"/>
                <w:szCs w:val="12"/>
                <w:color w:val="auto"/>
              </w:rPr>
            </w:pPr>
          </w:p>
        </w:tc>
        <w:tc>
          <w:tcPr>
            <w:tcW w:w="920" w:type="dxa"/>
            <w:vAlign w:val="bottom"/>
            <w:shd w:val="clear" w:color="auto" w:fill="1B6F80"/>
          </w:tcPr>
          <w:p>
            <w:pPr>
              <w:spacing w:after="0"/>
              <w:rPr>
                <w:sz w:val="12"/>
                <w:szCs w:val="12"/>
                <w:color w:val="auto"/>
              </w:rPr>
            </w:pPr>
          </w:p>
        </w:tc>
        <w:tc>
          <w:tcPr>
            <w:tcW w:w="1300" w:type="dxa"/>
            <w:vAlign w:val="bottom"/>
            <w:shd w:val="clear" w:color="auto" w:fill="1B6F80"/>
          </w:tcPr>
          <w:p>
            <w:pPr>
              <w:spacing w:after="0"/>
              <w:rPr>
                <w:sz w:val="12"/>
                <w:szCs w:val="12"/>
                <w:color w:val="auto"/>
              </w:rPr>
            </w:pPr>
          </w:p>
        </w:tc>
        <w:tc>
          <w:tcPr>
            <w:tcW w:w="660" w:type="dxa"/>
            <w:vAlign w:val="bottom"/>
            <w:tcBorders>
              <w:right w:val="single" w:sz="8" w:color="1B6F80"/>
            </w:tcBorders>
            <w:shd w:val="clear" w:color="auto" w:fill="1B6F80"/>
          </w:tcPr>
          <w:p>
            <w:pPr>
              <w:spacing w:after="0"/>
              <w:rPr>
                <w:sz w:val="12"/>
                <w:szCs w:val="12"/>
                <w:color w:val="auto"/>
              </w:rPr>
            </w:pPr>
          </w:p>
        </w:tc>
        <w:tc>
          <w:tcPr>
            <w:tcW w:w="980" w:type="dxa"/>
            <w:vAlign w:val="bottom"/>
            <w:shd w:val="clear" w:color="auto" w:fill="1B6F80"/>
          </w:tcPr>
          <w:p>
            <w:pPr>
              <w:spacing w:after="0"/>
              <w:rPr>
                <w:sz w:val="12"/>
                <w:szCs w:val="12"/>
                <w:color w:val="auto"/>
              </w:rPr>
            </w:pPr>
          </w:p>
        </w:tc>
        <w:tc>
          <w:tcPr>
            <w:tcW w:w="780" w:type="dxa"/>
            <w:vAlign w:val="bottom"/>
            <w:shd w:val="clear" w:color="auto" w:fill="1B6F80"/>
          </w:tcPr>
          <w:p>
            <w:pPr>
              <w:spacing w:after="0"/>
              <w:rPr>
                <w:sz w:val="12"/>
                <w:szCs w:val="12"/>
                <w:color w:val="auto"/>
              </w:rPr>
            </w:pPr>
          </w:p>
        </w:tc>
        <w:tc>
          <w:tcPr>
            <w:tcW w:w="760" w:type="dxa"/>
            <w:vAlign w:val="bottom"/>
            <w:tcBorders>
              <w:right w:val="single" w:sz="8" w:color="1B6F80"/>
            </w:tcBorders>
            <w:shd w:val="clear" w:color="auto" w:fill="1B6F80"/>
          </w:tcPr>
          <w:p>
            <w:pPr>
              <w:spacing w:after="0"/>
              <w:rPr>
                <w:sz w:val="12"/>
                <w:szCs w:val="12"/>
                <w:color w:val="auto"/>
              </w:rPr>
            </w:pP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Awards:</w:t>
            </w:r>
          </w:p>
        </w:tc>
        <w:tc>
          <w:tcPr>
            <w:tcW w:w="1140" w:type="dxa"/>
            <w:vAlign w:val="bottom"/>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Securities</w:t>
            </w:r>
          </w:p>
        </w:tc>
        <w:tc>
          <w:tcPr>
            <w:tcW w:w="84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Price of</w:t>
            </w:r>
          </w:p>
        </w:tc>
        <w:tc>
          <w:tcPr>
            <w:tcW w:w="960" w:type="dxa"/>
            <w:vAlign w:val="bottom"/>
            <w:tcBorders>
              <w:right w:val="single" w:sz="8" w:color="181818"/>
            </w:tcBorders>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of Stock</w:t>
            </w:r>
          </w:p>
        </w:tc>
        <w:tc>
          <w:tcPr>
            <w:tcW w:w="0" w:type="dxa"/>
            <w:vAlign w:val="bottom"/>
          </w:tcPr>
          <w:p>
            <w:pPr>
              <w:spacing w:after="0"/>
              <w:rPr>
                <w:sz w:val="1"/>
                <w:szCs w:val="1"/>
                <w:color w:val="auto"/>
              </w:rPr>
            </w:pPr>
          </w:p>
        </w:tc>
      </w:tr>
      <w:tr>
        <w:trPr>
          <w:trHeight w:val="148"/>
        </w:trPr>
        <w:tc>
          <w:tcPr>
            <w:tcW w:w="1160" w:type="dxa"/>
            <w:vAlign w:val="bottom"/>
            <w:tcBorders>
              <w:left w:val="single" w:sz="8" w:color="181818"/>
            </w:tcBorders>
            <w:shd w:val="clear" w:color="auto" w:fill="1B6F80"/>
          </w:tcPr>
          <w:p>
            <w:pPr>
              <w:spacing w:after="0"/>
              <w:rPr>
                <w:sz w:val="12"/>
                <w:szCs w:val="12"/>
                <w:color w:val="auto"/>
              </w:rPr>
            </w:pPr>
          </w:p>
        </w:tc>
        <w:tc>
          <w:tcPr>
            <w:tcW w:w="980" w:type="dxa"/>
            <w:vAlign w:val="bottom"/>
            <w:tcBorders>
              <w:right w:val="single" w:sz="8" w:color="1B6F80"/>
            </w:tcBorders>
            <w:shd w:val="clear" w:color="auto" w:fill="1B6F80"/>
          </w:tcPr>
          <w:p>
            <w:pPr>
              <w:spacing w:after="0"/>
              <w:rPr>
                <w:sz w:val="12"/>
                <w:szCs w:val="12"/>
                <w:color w:val="auto"/>
              </w:rPr>
            </w:pPr>
          </w:p>
        </w:tc>
        <w:tc>
          <w:tcPr>
            <w:tcW w:w="920" w:type="dxa"/>
            <w:vAlign w:val="bottom"/>
            <w:shd w:val="clear" w:color="auto" w:fill="1B6F80"/>
          </w:tcPr>
          <w:p>
            <w:pPr>
              <w:spacing w:after="0"/>
              <w:rPr>
                <w:sz w:val="12"/>
                <w:szCs w:val="12"/>
                <w:color w:val="auto"/>
              </w:rPr>
            </w:pPr>
          </w:p>
        </w:tc>
        <w:tc>
          <w:tcPr>
            <w:tcW w:w="1300" w:type="dxa"/>
            <w:vAlign w:val="bottom"/>
            <w:shd w:val="clear" w:color="auto" w:fill="1B6F80"/>
          </w:tcPr>
          <w:p>
            <w:pPr>
              <w:spacing w:after="0"/>
              <w:rPr>
                <w:sz w:val="12"/>
                <w:szCs w:val="12"/>
                <w:color w:val="auto"/>
              </w:rPr>
            </w:pPr>
          </w:p>
        </w:tc>
        <w:tc>
          <w:tcPr>
            <w:tcW w:w="660" w:type="dxa"/>
            <w:vAlign w:val="bottom"/>
            <w:tcBorders>
              <w:right w:val="single" w:sz="8" w:color="1B6F80"/>
            </w:tcBorders>
            <w:shd w:val="clear" w:color="auto" w:fill="1B6F80"/>
          </w:tcPr>
          <w:p>
            <w:pPr>
              <w:spacing w:after="0"/>
              <w:rPr>
                <w:sz w:val="12"/>
                <w:szCs w:val="12"/>
                <w:color w:val="auto"/>
              </w:rPr>
            </w:pPr>
          </w:p>
        </w:tc>
        <w:tc>
          <w:tcPr>
            <w:tcW w:w="980" w:type="dxa"/>
            <w:vAlign w:val="bottom"/>
            <w:shd w:val="clear" w:color="auto" w:fill="1B6F80"/>
          </w:tcPr>
          <w:p>
            <w:pPr>
              <w:spacing w:after="0"/>
              <w:rPr>
                <w:sz w:val="12"/>
                <w:szCs w:val="12"/>
                <w:color w:val="auto"/>
              </w:rPr>
            </w:pPr>
          </w:p>
        </w:tc>
        <w:tc>
          <w:tcPr>
            <w:tcW w:w="780" w:type="dxa"/>
            <w:vAlign w:val="bottom"/>
            <w:shd w:val="clear" w:color="auto" w:fill="1B6F80"/>
          </w:tcPr>
          <w:p>
            <w:pPr>
              <w:spacing w:after="0"/>
              <w:rPr>
                <w:sz w:val="12"/>
                <w:szCs w:val="12"/>
                <w:color w:val="auto"/>
              </w:rPr>
            </w:pPr>
          </w:p>
        </w:tc>
        <w:tc>
          <w:tcPr>
            <w:tcW w:w="760" w:type="dxa"/>
            <w:vAlign w:val="bottom"/>
            <w:tcBorders>
              <w:right w:val="single" w:sz="8" w:color="1B6F80"/>
            </w:tcBorders>
            <w:shd w:val="clear" w:color="auto" w:fill="1B6F80"/>
          </w:tcPr>
          <w:p>
            <w:pPr>
              <w:spacing w:after="0"/>
              <w:rPr>
                <w:sz w:val="12"/>
                <w:szCs w:val="12"/>
                <w:color w:val="auto"/>
              </w:rPr>
            </w:pP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Shares</w:t>
            </w:r>
          </w:p>
        </w:tc>
        <w:tc>
          <w:tcPr>
            <w:tcW w:w="1140" w:type="dxa"/>
            <w:vAlign w:val="bottom"/>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Underlying</w:t>
            </w:r>
          </w:p>
        </w:tc>
        <w:tc>
          <w:tcPr>
            <w:tcW w:w="84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Option</w:t>
            </w:r>
          </w:p>
        </w:tc>
        <w:tc>
          <w:tcPr>
            <w:tcW w:w="960" w:type="dxa"/>
            <w:vAlign w:val="bottom"/>
            <w:tcBorders>
              <w:right w:val="single" w:sz="8" w:color="181818"/>
            </w:tcBorders>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and Option</w:t>
            </w:r>
          </w:p>
        </w:tc>
        <w:tc>
          <w:tcPr>
            <w:tcW w:w="0" w:type="dxa"/>
            <w:vAlign w:val="bottom"/>
          </w:tcPr>
          <w:p>
            <w:pPr>
              <w:spacing w:after="0"/>
              <w:rPr>
                <w:sz w:val="1"/>
                <w:szCs w:val="1"/>
                <w:color w:val="auto"/>
              </w:rPr>
            </w:pPr>
          </w:p>
        </w:tc>
      </w:tr>
      <w:tr>
        <w:trPr>
          <w:trHeight w:val="156"/>
        </w:trPr>
        <w:tc>
          <w:tcPr>
            <w:tcW w:w="1160" w:type="dxa"/>
            <w:vAlign w:val="bottom"/>
            <w:tcBorders>
              <w:left w:val="single" w:sz="8" w:color="181818"/>
            </w:tcBorders>
            <w:shd w:val="clear" w:color="auto" w:fill="1B6F80"/>
          </w:tcPr>
          <w:p>
            <w:pPr>
              <w:spacing w:after="0"/>
              <w:rPr>
                <w:sz w:val="13"/>
                <w:szCs w:val="13"/>
                <w:color w:val="auto"/>
              </w:rPr>
            </w:pPr>
          </w:p>
        </w:tc>
        <w:tc>
          <w:tcPr>
            <w:tcW w:w="980" w:type="dxa"/>
            <w:vAlign w:val="bottom"/>
            <w:tcBorders>
              <w:right w:val="single" w:sz="8" w:color="1B6F80"/>
            </w:tcBorders>
            <w:shd w:val="clear" w:color="auto" w:fill="1B6F80"/>
          </w:tcPr>
          <w:p>
            <w:pPr>
              <w:jc w:val="center"/>
              <w:spacing w:after="0"/>
              <w:rPr>
                <w:sz w:val="20"/>
                <w:szCs w:val="20"/>
                <w:color w:val="auto"/>
              </w:rPr>
            </w:pPr>
            <w:r>
              <w:rPr>
                <w:rFonts w:ascii="Arial" w:cs="Arial" w:eastAsia="Arial" w:hAnsi="Arial"/>
                <w:sz w:val="13"/>
                <w:szCs w:val="13"/>
                <w:b w:val="1"/>
                <w:bCs w:val="1"/>
                <w:color w:val="FFFFFF"/>
                <w:w w:val="92"/>
              </w:rPr>
              <w:t>Grant</w:t>
            </w:r>
          </w:p>
        </w:tc>
        <w:tc>
          <w:tcPr>
            <w:tcW w:w="92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Threshold</w:t>
            </w:r>
          </w:p>
        </w:tc>
        <w:tc>
          <w:tcPr>
            <w:tcW w:w="1300" w:type="dxa"/>
            <w:vAlign w:val="bottom"/>
            <w:shd w:val="clear" w:color="auto" w:fill="1B6F80"/>
          </w:tcPr>
          <w:p>
            <w:pPr>
              <w:jc w:val="right"/>
              <w:ind w:right="257"/>
              <w:spacing w:after="0"/>
              <w:rPr>
                <w:sz w:val="20"/>
                <w:szCs w:val="20"/>
                <w:color w:val="auto"/>
              </w:rPr>
            </w:pPr>
            <w:r>
              <w:rPr>
                <w:rFonts w:ascii="Arial" w:cs="Arial" w:eastAsia="Arial" w:hAnsi="Arial"/>
                <w:sz w:val="13"/>
                <w:szCs w:val="13"/>
                <w:b w:val="1"/>
                <w:bCs w:val="1"/>
                <w:color w:val="FFFFFF"/>
              </w:rPr>
              <w:t>Target</w:t>
            </w:r>
          </w:p>
        </w:tc>
        <w:tc>
          <w:tcPr>
            <w:tcW w:w="660" w:type="dxa"/>
            <w:vAlign w:val="bottom"/>
            <w:tcBorders>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Maximum</w:t>
            </w:r>
          </w:p>
        </w:tc>
        <w:tc>
          <w:tcPr>
            <w:tcW w:w="98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Threshold</w:t>
            </w:r>
          </w:p>
        </w:tc>
        <w:tc>
          <w:tcPr>
            <w:tcW w:w="780" w:type="dxa"/>
            <w:vAlign w:val="bottom"/>
            <w:shd w:val="clear" w:color="auto" w:fill="1B6F80"/>
          </w:tcPr>
          <w:p>
            <w:pPr>
              <w:ind w:left="240"/>
              <w:spacing w:after="0"/>
              <w:rPr>
                <w:sz w:val="20"/>
                <w:szCs w:val="20"/>
                <w:color w:val="auto"/>
              </w:rPr>
            </w:pPr>
            <w:r>
              <w:rPr>
                <w:rFonts w:ascii="Arial" w:cs="Arial" w:eastAsia="Arial" w:hAnsi="Arial"/>
                <w:sz w:val="13"/>
                <w:szCs w:val="13"/>
                <w:b w:val="1"/>
                <w:bCs w:val="1"/>
                <w:color w:val="FFFFFF"/>
              </w:rPr>
              <w:t>Target</w:t>
            </w:r>
          </w:p>
        </w:tc>
        <w:tc>
          <w:tcPr>
            <w:tcW w:w="760" w:type="dxa"/>
            <w:vAlign w:val="bottom"/>
            <w:tcBorders>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Maximum</w:t>
            </w: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or Units</w:t>
            </w:r>
          </w:p>
        </w:tc>
        <w:tc>
          <w:tcPr>
            <w:tcW w:w="1140" w:type="dxa"/>
            <w:vAlign w:val="bottom"/>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Options</w:t>
            </w:r>
          </w:p>
        </w:tc>
        <w:tc>
          <w:tcPr>
            <w:tcW w:w="84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Awards</w:t>
            </w:r>
          </w:p>
        </w:tc>
        <w:tc>
          <w:tcPr>
            <w:tcW w:w="960" w:type="dxa"/>
            <w:vAlign w:val="bottom"/>
            <w:tcBorders>
              <w:right w:val="single" w:sz="8" w:color="181818"/>
            </w:tcBorders>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240"/>
        </w:trPr>
        <w:tc>
          <w:tcPr>
            <w:tcW w:w="1160" w:type="dxa"/>
            <w:vAlign w:val="bottom"/>
            <w:tcBorders>
              <w:left w:val="single" w:sz="8" w:color="181818"/>
              <w:bottom w:val="single" w:sz="8" w:color="1B6F80"/>
            </w:tcBorders>
            <w:shd w:val="clear" w:color="auto" w:fill="1B6F80"/>
          </w:tcPr>
          <w:p>
            <w:pPr>
              <w:ind w:left="60"/>
              <w:spacing w:after="0"/>
              <w:rPr>
                <w:sz w:val="20"/>
                <w:szCs w:val="20"/>
                <w:color w:val="auto"/>
              </w:rPr>
            </w:pPr>
            <w:r>
              <w:rPr>
                <w:rFonts w:ascii="Arial" w:cs="Arial" w:eastAsia="Arial" w:hAnsi="Arial"/>
                <w:sz w:val="13"/>
                <w:szCs w:val="13"/>
                <w:b w:val="1"/>
                <w:bCs w:val="1"/>
                <w:color w:val="FFFFFF"/>
              </w:rPr>
              <w:t>Name</w:t>
            </w:r>
          </w:p>
        </w:tc>
        <w:tc>
          <w:tcPr>
            <w:tcW w:w="980" w:type="dxa"/>
            <w:vAlign w:val="bottom"/>
            <w:tcBorders>
              <w:bottom w:val="single" w:sz="8" w:color="1B6F80"/>
              <w:right w:val="single" w:sz="8" w:color="1B6F80"/>
            </w:tcBorders>
            <w:shd w:val="clear" w:color="auto" w:fill="1B6F80"/>
          </w:tcPr>
          <w:p>
            <w:pPr>
              <w:jc w:val="center"/>
              <w:spacing w:after="0"/>
              <w:rPr>
                <w:sz w:val="20"/>
                <w:szCs w:val="20"/>
                <w:color w:val="auto"/>
              </w:rPr>
            </w:pPr>
            <w:r>
              <w:rPr>
                <w:rFonts w:ascii="Arial" w:cs="Arial" w:eastAsia="Arial" w:hAnsi="Arial"/>
                <w:sz w:val="13"/>
                <w:szCs w:val="13"/>
                <w:b w:val="1"/>
                <w:bCs w:val="1"/>
                <w:color w:val="FFFFFF"/>
                <w:w w:val="99"/>
              </w:rPr>
              <w:t>Date</w:t>
            </w:r>
          </w:p>
        </w:tc>
        <w:tc>
          <w:tcPr>
            <w:tcW w:w="920" w:type="dxa"/>
            <w:vAlign w:val="bottom"/>
            <w:tcBorders>
              <w:bottom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w:t>
            </w:r>
          </w:p>
        </w:tc>
        <w:tc>
          <w:tcPr>
            <w:tcW w:w="1300" w:type="dxa"/>
            <w:vAlign w:val="bottom"/>
            <w:tcBorders>
              <w:bottom w:val="single" w:sz="8" w:color="1B6F80"/>
            </w:tcBorders>
            <w:shd w:val="clear" w:color="auto" w:fill="1B6F80"/>
          </w:tcPr>
          <w:p>
            <w:pPr>
              <w:jc w:val="right"/>
              <w:ind w:right="257"/>
              <w:spacing w:after="0"/>
              <w:rPr>
                <w:sz w:val="20"/>
                <w:szCs w:val="20"/>
                <w:color w:val="auto"/>
              </w:rPr>
            </w:pPr>
            <w:r>
              <w:rPr>
                <w:rFonts w:ascii="Arial" w:cs="Arial" w:eastAsia="Arial" w:hAnsi="Arial"/>
                <w:sz w:val="13"/>
                <w:szCs w:val="13"/>
                <w:b w:val="1"/>
                <w:bCs w:val="1"/>
                <w:color w:val="FFFFFF"/>
              </w:rPr>
              <w:t>($)</w:t>
            </w:r>
          </w:p>
        </w:tc>
        <w:tc>
          <w:tcPr>
            <w:tcW w:w="660" w:type="dxa"/>
            <w:vAlign w:val="bottom"/>
            <w:tcBorders>
              <w:bottom w:val="single" w:sz="8" w:color="1B6F80"/>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w:t>
            </w:r>
          </w:p>
        </w:tc>
        <w:tc>
          <w:tcPr>
            <w:tcW w:w="980" w:type="dxa"/>
            <w:vAlign w:val="bottom"/>
            <w:tcBorders>
              <w:bottom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bottom w:val="single" w:sz="8" w:color="1B6F80"/>
            </w:tcBorders>
            <w:shd w:val="clear" w:color="auto" w:fill="1B6F80"/>
          </w:tcPr>
          <w:p>
            <w:pPr>
              <w:ind w:left="460"/>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bottom w:val="single" w:sz="8" w:color="1B6F80"/>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6"/>
                <w:szCs w:val="16"/>
                <w:b w:val="1"/>
                <w:bCs w:val="1"/>
                <w:color w:val="FFFFFF"/>
                <w:vertAlign w:val="superscript"/>
              </w:rPr>
              <w:t>(2)</w:t>
            </w:r>
          </w:p>
        </w:tc>
        <w:tc>
          <w:tcPr>
            <w:tcW w:w="1140" w:type="dxa"/>
            <w:vAlign w:val="bottom"/>
            <w:tcBorders>
              <w:bottom w:val="single" w:sz="8" w:color="1B6F80"/>
            </w:tcBorders>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6"/>
                <w:szCs w:val="16"/>
                <w:b w:val="1"/>
                <w:bCs w:val="1"/>
                <w:color w:val="FFFFFF"/>
                <w:vertAlign w:val="superscript"/>
              </w:rPr>
              <w:t>(2)</w:t>
            </w:r>
          </w:p>
        </w:tc>
        <w:tc>
          <w:tcPr>
            <w:tcW w:w="840" w:type="dxa"/>
            <w:vAlign w:val="bottom"/>
            <w:tcBorders>
              <w:bottom w:val="single" w:sz="8" w:color="1B6F80"/>
            </w:tcBorders>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($/Sh)</w:t>
            </w:r>
          </w:p>
        </w:tc>
        <w:tc>
          <w:tcPr>
            <w:tcW w:w="960" w:type="dxa"/>
            <w:vAlign w:val="bottom"/>
            <w:tcBorders>
              <w:bottom w:val="single" w:sz="8" w:color="1B6F80"/>
              <w:right w:val="single" w:sz="8" w:color="181818"/>
            </w:tcBorders>
            <w:shd w:val="clear" w:color="auto" w:fill="1B6F80"/>
          </w:tcPr>
          <w:p>
            <w:pPr>
              <w:jc w:val="right"/>
              <w:ind w:right="77"/>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6"/>
                <w:szCs w:val="16"/>
                <w:b w:val="1"/>
                <w:bCs w:val="1"/>
                <w:color w:val="FFFFFF"/>
                <w:vertAlign w:val="superscript"/>
              </w:rPr>
              <w:t>(3)</w:t>
            </w:r>
          </w:p>
        </w:tc>
        <w:tc>
          <w:tcPr>
            <w:tcW w:w="0" w:type="dxa"/>
            <w:vAlign w:val="bottom"/>
          </w:tcPr>
          <w:p>
            <w:pPr>
              <w:spacing w:after="0"/>
              <w:rPr>
                <w:sz w:val="1"/>
                <w:szCs w:val="1"/>
                <w:color w:val="auto"/>
              </w:rPr>
            </w:pPr>
          </w:p>
        </w:tc>
      </w:tr>
      <w:tr>
        <w:trPr>
          <w:trHeight w:val="229"/>
        </w:trPr>
        <w:tc>
          <w:tcPr>
            <w:tcW w:w="1160" w:type="dxa"/>
            <w:vAlign w:val="bottom"/>
            <w:tcBorders>
              <w:left w:val="single" w:sz="8" w:color="181818"/>
            </w:tcBorders>
            <w:vMerge w:val="restart"/>
          </w:tcPr>
          <w:p>
            <w:pPr>
              <w:ind w:left="60"/>
              <w:spacing w:after="0"/>
              <w:rPr>
                <w:sz w:val="20"/>
                <w:szCs w:val="20"/>
                <w:color w:val="auto"/>
              </w:rPr>
            </w:pPr>
            <w:r>
              <w:rPr>
                <w:rFonts w:ascii="Arial" w:cs="Arial" w:eastAsia="Arial" w:hAnsi="Arial"/>
                <w:sz w:val="13"/>
                <w:szCs w:val="13"/>
                <w:b w:val="1"/>
                <w:bCs w:val="1"/>
                <w:color w:val="181818"/>
              </w:rPr>
              <w:t>Scott A. Lang</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5/21/2025</w:t>
            </w:r>
          </w:p>
        </w:tc>
        <w:tc>
          <w:tcPr>
            <w:tcW w:w="920" w:type="dxa"/>
            <w:vAlign w:val="bottom"/>
          </w:tcPr>
          <w:p>
            <w:pPr>
              <w:ind w:left="72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40"/>
              <w:spacing w:after="0"/>
              <w:rPr>
                <w:sz w:val="20"/>
                <w:szCs w:val="20"/>
                <w:color w:val="auto"/>
              </w:rPr>
            </w:pPr>
            <w:r>
              <w:rPr>
                <w:rFonts w:ascii="Arial" w:cs="Arial" w:eastAsia="Arial" w:hAnsi="Arial"/>
                <w:sz w:val="13"/>
                <w:szCs w:val="13"/>
                <w:color w:val="auto"/>
              </w:rPr>
              <w:t>—</w:t>
            </w:r>
          </w:p>
        </w:tc>
        <w:tc>
          <w:tcPr>
            <w:tcW w:w="780" w:type="dxa"/>
            <w:vAlign w:val="bottom"/>
          </w:tcPr>
          <w:p>
            <w:pPr>
              <w:ind w:left="440"/>
              <w:spacing w:after="0"/>
              <w:rPr>
                <w:sz w:val="20"/>
                <w:szCs w:val="20"/>
                <w:color w:val="auto"/>
              </w:rPr>
            </w:pPr>
            <w:r>
              <w:rPr>
                <w:rFonts w:ascii="Arial" w:cs="Arial" w:eastAsia="Arial" w:hAnsi="Arial"/>
                <w:sz w:val="13"/>
                <w:szCs w:val="13"/>
                <w:color w:val="auto"/>
              </w:rPr>
              <w:t>—</w:t>
            </w: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223,546</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34.96</w:t>
            </w:r>
          </w:p>
        </w:tc>
        <w:tc>
          <w:tcPr>
            <w:tcW w:w="960" w:type="dxa"/>
            <w:vAlign w:val="bottom"/>
            <w:tcBorders>
              <w:right w:val="single" w:sz="8" w:color="181818"/>
            </w:tcBorders>
          </w:tcPr>
          <w:p>
            <w:pPr>
              <w:jc w:val="right"/>
              <w:ind w:right="117"/>
              <w:spacing w:after="0"/>
              <w:rPr>
                <w:sz w:val="20"/>
                <w:szCs w:val="20"/>
                <w:color w:val="auto"/>
              </w:rPr>
            </w:pPr>
            <w:r>
              <w:rPr>
                <w:rFonts w:ascii="Arial" w:cs="Arial" w:eastAsia="Arial" w:hAnsi="Arial"/>
                <w:sz w:val="13"/>
                <w:szCs w:val="13"/>
                <w:color w:val="auto"/>
              </w:rPr>
              <w:t>2,999,987</w:t>
            </w:r>
          </w:p>
        </w:tc>
        <w:tc>
          <w:tcPr>
            <w:tcW w:w="0" w:type="dxa"/>
            <w:vAlign w:val="bottom"/>
          </w:tcPr>
          <w:p>
            <w:pPr>
              <w:spacing w:after="0"/>
              <w:rPr>
                <w:sz w:val="1"/>
                <w:szCs w:val="1"/>
                <w:color w:val="auto"/>
              </w:rPr>
            </w:pPr>
          </w:p>
        </w:tc>
      </w:tr>
      <w:tr>
        <w:trPr>
          <w:trHeight w:val="82"/>
        </w:trPr>
        <w:tc>
          <w:tcPr>
            <w:tcW w:w="1160" w:type="dxa"/>
            <w:vAlign w:val="bottom"/>
            <w:tcBorders>
              <w:left w:val="single" w:sz="8" w:color="181818"/>
            </w:tcBorders>
            <w:vMerge w:val="continue"/>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920" w:type="dxa"/>
            <w:vAlign w:val="bottom"/>
            <w:tcBorders>
              <w:bottom w:val="single" w:sz="8" w:color="181818"/>
            </w:tcBorders>
          </w:tcPr>
          <w:p>
            <w:pPr>
              <w:spacing w:after="0"/>
              <w:rPr>
                <w:sz w:val="7"/>
                <w:szCs w:val="7"/>
                <w:color w:val="auto"/>
              </w:rPr>
            </w:pPr>
          </w:p>
        </w:tc>
        <w:tc>
          <w:tcPr>
            <w:tcW w:w="1300" w:type="dxa"/>
            <w:vAlign w:val="bottom"/>
            <w:tcBorders>
              <w:bottom w:val="single" w:sz="8" w:color="181818"/>
            </w:tcBorders>
          </w:tcPr>
          <w:p>
            <w:pPr>
              <w:spacing w:after="0"/>
              <w:rPr>
                <w:sz w:val="7"/>
                <w:szCs w:val="7"/>
                <w:color w:val="auto"/>
              </w:rPr>
            </w:pPr>
          </w:p>
        </w:tc>
        <w:tc>
          <w:tcPr>
            <w:tcW w:w="660" w:type="dxa"/>
            <w:vAlign w:val="bottom"/>
            <w:tcBorders>
              <w:bottom w:val="single" w:sz="8" w:color="181818"/>
            </w:tcBorders>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76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140" w:type="dxa"/>
            <w:vAlign w:val="bottom"/>
            <w:tcBorders>
              <w:bottom w:val="single" w:sz="8" w:color="181818"/>
            </w:tcBorders>
          </w:tcPr>
          <w:p>
            <w:pPr>
              <w:spacing w:after="0"/>
              <w:rPr>
                <w:sz w:val="7"/>
                <w:szCs w:val="7"/>
                <w:color w:val="auto"/>
              </w:rPr>
            </w:pPr>
          </w:p>
        </w:tc>
        <w:tc>
          <w:tcPr>
            <w:tcW w:w="840" w:type="dxa"/>
            <w:vAlign w:val="bottom"/>
            <w:tcBorders>
              <w:bottom w:val="single" w:sz="8" w:color="181818"/>
            </w:tcBorders>
          </w:tcPr>
          <w:p>
            <w:pPr>
              <w:spacing w:after="0"/>
              <w:rPr>
                <w:sz w:val="7"/>
                <w:szCs w:val="7"/>
                <w:color w:val="auto"/>
              </w:rPr>
            </w:pPr>
          </w:p>
        </w:tc>
        <w:tc>
          <w:tcPr>
            <w:tcW w:w="96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160" w:type="dxa"/>
            <w:vAlign w:val="bottom"/>
            <w:tcBorders>
              <w:left w:val="single" w:sz="8" w:color="181818"/>
            </w:tcBorders>
            <w:vMerge w:val="continue"/>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920" w:type="dxa"/>
            <w:vAlign w:val="bottom"/>
            <w:vMerge w:val="restart"/>
          </w:tcPr>
          <w:p>
            <w:pPr>
              <w:ind w:left="72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right"/>
              <w:ind w:right="297"/>
              <w:spacing w:after="0"/>
              <w:rPr>
                <w:sz w:val="20"/>
                <w:szCs w:val="20"/>
                <w:color w:val="auto"/>
              </w:rPr>
            </w:pPr>
            <w:r>
              <w:rPr>
                <w:rFonts w:ascii="Arial" w:cs="Arial" w:eastAsia="Arial" w:hAnsi="Arial"/>
                <w:sz w:val="13"/>
                <w:szCs w:val="13"/>
                <w:color w:val="auto"/>
              </w:rPr>
              <w:t>564,075</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1,255,067</w:t>
            </w:r>
          </w:p>
        </w:tc>
        <w:tc>
          <w:tcPr>
            <w:tcW w:w="980" w:type="dxa"/>
            <w:vAlign w:val="bottom"/>
            <w:vMerge w:val="restart"/>
          </w:tcPr>
          <w:p>
            <w:pPr>
              <w:ind w:left="7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5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181818"/>
            </w:tcBorders>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160" w:type="dxa"/>
            <w:vAlign w:val="bottom"/>
            <w:tcBorders>
              <w:left w:val="single" w:sz="8" w:color="181818"/>
            </w:tcBorders>
          </w:tcPr>
          <w:p>
            <w:pPr>
              <w:spacing w:after="0"/>
              <w:rPr>
                <w:sz w:val="13"/>
                <w:szCs w:val="13"/>
                <w:color w:val="auto"/>
              </w:rPr>
            </w:pPr>
          </w:p>
        </w:tc>
        <w:tc>
          <w:tcPr>
            <w:tcW w:w="9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960" w:type="dxa"/>
            <w:vAlign w:val="bottom"/>
            <w:tcBorders>
              <w:right w:val="single" w:sz="8" w:color="181818"/>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60" w:type="dxa"/>
            <w:vAlign w:val="bottom"/>
            <w:tcBorders>
              <w:left w:val="single" w:sz="8" w:color="181818"/>
              <w:bottom w:val="single" w:sz="8" w:color="181818"/>
            </w:tcBorders>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920" w:type="dxa"/>
            <w:vAlign w:val="bottom"/>
            <w:tcBorders>
              <w:bottom w:val="single" w:sz="8" w:color="181818"/>
            </w:tcBorders>
          </w:tcPr>
          <w:p>
            <w:pPr>
              <w:spacing w:after="0"/>
              <w:rPr>
                <w:sz w:val="7"/>
                <w:szCs w:val="7"/>
                <w:color w:val="auto"/>
              </w:rPr>
            </w:pPr>
          </w:p>
        </w:tc>
        <w:tc>
          <w:tcPr>
            <w:tcW w:w="1300" w:type="dxa"/>
            <w:vAlign w:val="bottom"/>
            <w:tcBorders>
              <w:bottom w:val="single" w:sz="8" w:color="181818"/>
            </w:tcBorders>
          </w:tcPr>
          <w:p>
            <w:pPr>
              <w:spacing w:after="0"/>
              <w:rPr>
                <w:sz w:val="7"/>
                <w:szCs w:val="7"/>
                <w:color w:val="auto"/>
              </w:rPr>
            </w:pPr>
          </w:p>
        </w:tc>
        <w:tc>
          <w:tcPr>
            <w:tcW w:w="660" w:type="dxa"/>
            <w:vAlign w:val="bottom"/>
            <w:tcBorders>
              <w:bottom w:val="single" w:sz="8" w:color="181818"/>
            </w:tcBorders>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76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140" w:type="dxa"/>
            <w:vAlign w:val="bottom"/>
            <w:tcBorders>
              <w:bottom w:val="single" w:sz="8" w:color="181818"/>
            </w:tcBorders>
          </w:tcPr>
          <w:p>
            <w:pPr>
              <w:spacing w:after="0"/>
              <w:rPr>
                <w:sz w:val="7"/>
                <w:szCs w:val="7"/>
                <w:color w:val="auto"/>
              </w:rPr>
            </w:pPr>
          </w:p>
        </w:tc>
        <w:tc>
          <w:tcPr>
            <w:tcW w:w="840" w:type="dxa"/>
            <w:vAlign w:val="bottom"/>
            <w:tcBorders>
              <w:bottom w:val="single" w:sz="8" w:color="181818"/>
            </w:tcBorders>
          </w:tcPr>
          <w:p>
            <w:pPr>
              <w:spacing w:after="0"/>
              <w:rPr>
                <w:sz w:val="7"/>
                <w:szCs w:val="7"/>
                <w:color w:val="auto"/>
              </w:rPr>
            </w:pPr>
          </w:p>
        </w:tc>
        <w:tc>
          <w:tcPr>
            <w:tcW w:w="96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181818"/>
            </w:tcBorders>
            <w:vMerge w:val="restart"/>
          </w:tcPr>
          <w:p>
            <w:pPr>
              <w:ind w:left="60"/>
              <w:spacing w:after="0"/>
              <w:rPr>
                <w:sz w:val="20"/>
                <w:szCs w:val="20"/>
                <w:color w:val="auto"/>
              </w:rPr>
            </w:pPr>
            <w:r>
              <w:rPr>
                <w:rFonts w:ascii="Arial" w:cs="Arial" w:eastAsia="Arial" w:hAnsi="Arial"/>
                <w:sz w:val="13"/>
                <w:szCs w:val="13"/>
                <w:b w:val="1"/>
                <w:bCs w:val="1"/>
                <w:color w:val="181818"/>
              </w:rPr>
              <w:t>Christopher E.</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5/20/2025</w:t>
            </w:r>
          </w:p>
        </w:tc>
        <w:tc>
          <w:tcPr>
            <w:tcW w:w="920" w:type="dxa"/>
            <w:vAlign w:val="bottom"/>
          </w:tcPr>
          <w:p>
            <w:pPr>
              <w:ind w:left="72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40"/>
              <w:spacing w:after="0"/>
              <w:rPr>
                <w:sz w:val="20"/>
                <w:szCs w:val="20"/>
                <w:color w:val="auto"/>
              </w:rPr>
            </w:pPr>
            <w:r>
              <w:rPr>
                <w:rFonts w:ascii="Arial" w:cs="Arial" w:eastAsia="Arial" w:hAnsi="Arial"/>
                <w:sz w:val="13"/>
                <w:szCs w:val="13"/>
                <w:color w:val="auto"/>
              </w:rPr>
              <w:t>—</w:t>
            </w:r>
          </w:p>
        </w:tc>
        <w:tc>
          <w:tcPr>
            <w:tcW w:w="780" w:type="dxa"/>
            <w:vAlign w:val="bottom"/>
          </w:tcPr>
          <w:p>
            <w:pPr>
              <w:ind w:left="440"/>
              <w:spacing w:after="0"/>
              <w:rPr>
                <w:sz w:val="20"/>
                <w:szCs w:val="20"/>
                <w:color w:val="auto"/>
              </w:rPr>
            </w:pPr>
            <w:r>
              <w:rPr>
                <w:rFonts w:ascii="Arial" w:cs="Arial" w:eastAsia="Arial" w:hAnsi="Arial"/>
                <w:sz w:val="13"/>
                <w:szCs w:val="13"/>
                <w:color w:val="auto"/>
              </w:rPr>
              <w:t>—</w:t>
            </w: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53,491</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34.96</w:t>
            </w:r>
          </w:p>
        </w:tc>
        <w:tc>
          <w:tcPr>
            <w:tcW w:w="960" w:type="dxa"/>
            <w:vAlign w:val="bottom"/>
            <w:tcBorders>
              <w:right w:val="single" w:sz="8" w:color="181818"/>
            </w:tcBorders>
          </w:tcPr>
          <w:p>
            <w:pPr>
              <w:jc w:val="right"/>
              <w:ind w:right="117"/>
              <w:spacing w:after="0"/>
              <w:rPr>
                <w:sz w:val="20"/>
                <w:szCs w:val="20"/>
                <w:color w:val="auto"/>
              </w:rPr>
            </w:pPr>
            <w:r>
              <w:rPr>
                <w:rFonts w:ascii="Arial" w:cs="Arial" w:eastAsia="Arial" w:hAnsi="Arial"/>
                <w:sz w:val="13"/>
                <w:szCs w:val="13"/>
                <w:color w:val="auto"/>
              </w:rPr>
              <w:t>739,246</w:t>
            </w:r>
          </w:p>
        </w:tc>
        <w:tc>
          <w:tcPr>
            <w:tcW w:w="0" w:type="dxa"/>
            <w:vAlign w:val="bottom"/>
          </w:tcPr>
          <w:p>
            <w:pPr>
              <w:spacing w:after="0"/>
              <w:rPr>
                <w:sz w:val="1"/>
                <w:szCs w:val="1"/>
                <w:color w:val="auto"/>
              </w:rPr>
            </w:pPr>
          </w:p>
        </w:tc>
      </w:tr>
      <w:tr>
        <w:trPr>
          <w:trHeight w:val="82"/>
        </w:trPr>
        <w:tc>
          <w:tcPr>
            <w:tcW w:w="1160" w:type="dxa"/>
            <w:vAlign w:val="bottom"/>
            <w:tcBorders>
              <w:left w:val="single" w:sz="8" w:color="181818"/>
            </w:tcBorders>
            <w:vMerge w:val="continue"/>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920" w:type="dxa"/>
            <w:vAlign w:val="bottom"/>
            <w:tcBorders>
              <w:bottom w:val="single" w:sz="8" w:color="181818"/>
            </w:tcBorders>
          </w:tcPr>
          <w:p>
            <w:pPr>
              <w:spacing w:after="0"/>
              <w:rPr>
                <w:sz w:val="7"/>
                <w:szCs w:val="7"/>
                <w:color w:val="auto"/>
              </w:rPr>
            </w:pPr>
          </w:p>
        </w:tc>
        <w:tc>
          <w:tcPr>
            <w:tcW w:w="1300" w:type="dxa"/>
            <w:vAlign w:val="bottom"/>
            <w:tcBorders>
              <w:bottom w:val="single" w:sz="8" w:color="181818"/>
            </w:tcBorders>
          </w:tcPr>
          <w:p>
            <w:pPr>
              <w:spacing w:after="0"/>
              <w:rPr>
                <w:sz w:val="7"/>
                <w:szCs w:val="7"/>
                <w:color w:val="auto"/>
              </w:rPr>
            </w:pPr>
          </w:p>
        </w:tc>
        <w:tc>
          <w:tcPr>
            <w:tcW w:w="660" w:type="dxa"/>
            <w:vAlign w:val="bottom"/>
            <w:tcBorders>
              <w:bottom w:val="single" w:sz="8" w:color="181818"/>
            </w:tcBorders>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76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140" w:type="dxa"/>
            <w:vAlign w:val="bottom"/>
            <w:tcBorders>
              <w:bottom w:val="single" w:sz="8" w:color="181818"/>
            </w:tcBorders>
          </w:tcPr>
          <w:p>
            <w:pPr>
              <w:spacing w:after="0"/>
              <w:rPr>
                <w:sz w:val="7"/>
                <w:szCs w:val="7"/>
                <w:color w:val="auto"/>
              </w:rPr>
            </w:pPr>
          </w:p>
        </w:tc>
        <w:tc>
          <w:tcPr>
            <w:tcW w:w="840" w:type="dxa"/>
            <w:vAlign w:val="bottom"/>
            <w:tcBorders>
              <w:bottom w:val="single" w:sz="8" w:color="181818"/>
            </w:tcBorders>
          </w:tcPr>
          <w:p>
            <w:pPr>
              <w:spacing w:after="0"/>
              <w:rPr>
                <w:sz w:val="7"/>
                <w:szCs w:val="7"/>
                <w:color w:val="auto"/>
              </w:rPr>
            </w:pPr>
          </w:p>
        </w:tc>
        <w:tc>
          <w:tcPr>
            <w:tcW w:w="96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160" w:type="dxa"/>
            <w:vAlign w:val="bottom"/>
            <w:tcBorders>
              <w:left w:val="single" w:sz="8" w:color="181818"/>
            </w:tcBorders>
          </w:tcPr>
          <w:p>
            <w:pPr>
              <w:ind w:left="60"/>
              <w:spacing w:after="0"/>
              <w:rPr>
                <w:sz w:val="20"/>
                <w:szCs w:val="20"/>
                <w:color w:val="auto"/>
              </w:rPr>
            </w:pPr>
            <w:r>
              <w:rPr>
                <w:rFonts w:ascii="Arial" w:cs="Arial" w:eastAsia="Arial" w:hAnsi="Arial"/>
                <w:sz w:val="13"/>
                <w:szCs w:val="13"/>
                <w:b w:val="1"/>
                <w:bCs w:val="1"/>
                <w:color w:val="181818"/>
              </w:rPr>
              <w:t>Guttman-McCabe</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920" w:type="dxa"/>
            <w:vAlign w:val="bottom"/>
            <w:vMerge w:val="restart"/>
          </w:tcPr>
          <w:p>
            <w:pPr>
              <w:ind w:left="72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right"/>
              <w:ind w:right="297"/>
              <w:spacing w:after="0"/>
              <w:rPr>
                <w:sz w:val="20"/>
                <w:szCs w:val="20"/>
                <w:color w:val="auto"/>
              </w:rPr>
            </w:pPr>
            <w:r>
              <w:rPr>
                <w:rFonts w:ascii="Arial" w:cs="Arial" w:eastAsia="Arial" w:hAnsi="Arial"/>
                <w:sz w:val="13"/>
                <w:szCs w:val="13"/>
                <w:color w:val="auto"/>
              </w:rPr>
              <w:t>376,050</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611,081</w:t>
            </w:r>
          </w:p>
        </w:tc>
        <w:tc>
          <w:tcPr>
            <w:tcW w:w="980" w:type="dxa"/>
            <w:vAlign w:val="bottom"/>
            <w:vMerge w:val="restart"/>
          </w:tcPr>
          <w:p>
            <w:pPr>
              <w:ind w:left="7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5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181818"/>
            </w:tcBorders>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5"/>
        </w:trPr>
        <w:tc>
          <w:tcPr>
            <w:tcW w:w="1160" w:type="dxa"/>
            <w:vAlign w:val="bottom"/>
            <w:tcBorders>
              <w:left w:val="single" w:sz="8" w:color="181818"/>
            </w:tcBorders>
          </w:tcPr>
          <w:p>
            <w:pPr>
              <w:spacing w:after="0"/>
              <w:rPr>
                <w:sz w:val="5"/>
                <w:szCs w:val="5"/>
                <w:color w:val="auto"/>
              </w:rPr>
            </w:pPr>
          </w:p>
        </w:tc>
        <w:tc>
          <w:tcPr>
            <w:tcW w:w="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960" w:type="dxa"/>
            <w:vAlign w:val="bottom"/>
            <w:tcBorders>
              <w:right w:val="single" w:sz="8" w:color="18181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160" w:type="dxa"/>
            <w:vAlign w:val="bottom"/>
            <w:tcBorders>
              <w:left w:val="single" w:sz="8" w:color="181818"/>
              <w:bottom w:val="single" w:sz="8" w:color="181818"/>
            </w:tcBorders>
          </w:tcPr>
          <w:p>
            <w:pPr>
              <w:spacing w:after="0"/>
              <w:rPr>
                <w:sz w:val="8"/>
                <w:szCs w:val="8"/>
                <w:color w:val="auto"/>
              </w:rPr>
            </w:pPr>
          </w:p>
        </w:tc>
        <w:tc>
          <w:tcPr>
            <w:tcW w:w="980" w:type="dxa"/>
            <w:vAlign w:val="bottom"/>
            <w:tcBorders>
              <w:bottom w:val="single" w:sz="8" w:color="181818"/>
            </w:tcBorders>
          </w:tcPr>
          <w:p>
            <w:pPr>
              <w:spacing w:after="0"/>
              <w:rPr>
                <w:sz w:val="8"/>
                <w:szCs w:val="8"/>
                <w:color w:val="auto"/>
              </w:rPr>
            </w:pPr>
          </w:p>
        </w:tc>
        <w:tc>
          <w:tcPr>
            <w:tcW w:w="920" w:type="dxa"/>
            <w:vAlign w:val="bottom"/>
            <w:tcBorders>
              <w:bottom w:val="single" w:sz="8" w:color="181818"/>
            </w:tcBorders>
          </w:tcPr>
          <w:p>
            <w:pPr>
              <w:spacing w:after="0"/>
              <w:rPr>
                <w:sz w:val="8"/>
                <w:szCs w:val="8"/>
                <w:color w:val="auto"/>
              </w:rPr>
            </w:pPr>
          </w:p>
        </w:tc>
        <w:tc>
          <w:tcPr>
            <w:tcW w:w="1300" w:type="dxa"/>
            <w:vAlign w:val="bottom"/>
            <w:tcBorders>
              <w:bottom w:val="single" w:sz="8" w:color="181818"/>
            </w:tcBorders>
          </w:tcPr>
          <w:p>
            <w:pPr>
              <w:spacing w:after="0"/>
              <w:rPr>
                <w:sz w:val="8"/>
                <w:szCs w:val="8"/>
                <w:color w:val="auto"/>
              </w:rPr>
            </w:pPr>
          </w:p>
        </w:tc>
        <w:tc>
          <w:tcPr>
            <w:tcW w:w="660" w:type="dxa"/>
            <w:vAlign w:val="bottom"/>
            <w:tcBorders>
              <w:bottom w:val="single" w:sz="8" w:color="181818"/>
            </w:tcBorders>
          </w:tcPr>
          <w:p>
            <w:pPr>
              <w:spacing w:after="0"/>
              <w:rPr>
                <w:sz w:val="8"/>
                <w:szCs w:val="8"/>
                <w:color w:val="auto"/>
              </w:rPr>
            </w:pPr>
          </w:p>
        </w:tc>
        <w:tc>
          <w:tcPr>
            <w:tcW w:w="980" w:type="dxa"/>
            <w:vAlign w:val="bottom"/>
            <w:tcBorders>
              <w:bottom w:val="single" w:sz="8" w:color="181818"/>
            </w:tcBorders>
          </w:tcPr>
          <w:p>
            <w:pPr>
              <w:spacing w:after="0"/>
              <w:rPr>
                <w:sz w:val="8"/>
                <w:szCs w:val="8"/>
                <w:color w:val="auto"/>
              </w:rPr>
            </w:pPr>
          </w:p>
        </w:tc>
        <w:tc>
          <w:tcPr>
            <w:tcW w:w="780" w:type="dxa"/>
            <w:vAlign w:val="bottom"/>
            <w:tcBorders>
              <w:bottom w:val="single" w:sz="8" w:color="181818"/>
            </w:tcBorders>
          </w:tcPr>
          <w:p>
            <w:pPr>
              <w:spacing w:after="0"/>
              <w:rPr>
                <w:sz w:val="8"/>
                <w:szCs w:val="8"/>
                <w:color w:val="auto"/>
              </w:rPr>
            </w:pPr>
          </w:p>
        </w:tc>
        <w:tc>
          <w:tcPr>
            <w:tcW w:w="760" w:type="dxa"/>
            <w:vAlign w:val="bottom"/>
            <w:tcBorders>
              <w:bottom w:val="single" w:sz="8" w:color="181818"/>
            </w:tcBorders>
          </w:tcPr>
          <w:p>
            <w:pPr>
              <w:spacing w:after="0"/>
              <w:rPr>
                <w:sz w:val="8"/>
                <w:szCs w:val="8"/>
                <w:color w:val="auto"/>
              </w:rPr>
            </w:pPr>
          </w:p>
        </w:tc>
        <w:tc>
          <w:tcPr>
            <w:tcW w:w="800" w:type="dxa"/>
            <w:vAlign w:val="bottom"/>
            <w:tcBorders>
              <w:bottom w:val="single" w:sz="8" w:color="181818"/>
            </w:tcBorders>
          </w:tcPr>
          <w:p>
            <w:pPr>
              <w:spacing w:after="0"/>
              <w:rPr>
                <w:sz w:val="8"/>
                <w:szCs w:val="8"/>
                <w:color w:val="auto"/>
              </w:rPr>
            </w:pPr>
          </w:p>
        </w:tc>
        <w:tc>
          <w:tcPr>
            <w:tcW w:w="1140" w:type="dxa"/>
            <w:vAlign w:val="bottom"/>
            <w:tcBorders>
              <w:bottom w:val="single" w:sz="8" w:color="181818"/>
            </w:tcBorders>
          </w:tcPr>
          <w:p>
            <w:pPr>
              <w:spacing w:after="0"/>
              <w:rPr>
                <w:sz w:val="8"/>
                <w:szCs w:val="8"/>
                <w:color w:val="auto"/>
              </w:rPr>
            </w:pPr>
          </w:p>
        </w:tc>
        <w:tc>
          <w:tcPr>
            <w:tcW w:w="840" w:type="dxa"/>
            <w:vAlign w:val="bottom"/>
            <w:tcBorders>
              <w:bottom w:val="single" w:sz="8" w:color="181818"/>
            </w:tcBorders>
          </w:tcPr>
          <w:p>
            <w:pPr>
              <w:spacing w:after="0"/>
              <w:rPr>
                <w:sz w:val="8"/>
                <w:szCs w:val="8"/>
                <w:color w:val="auto"/>
              </w:rPr>
            </w:pPr>
          </w:p>
        </w:tc>
        <w:tc>
          <w:tcPr>
            <w:tcW w:w="960" w:type="dxa"/>
            <w:vAlign w:val="bottom"/>
            <w:tcBorders>
              <w:bottom w:val="single" w:sz="8" w:color="181818"/>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181818"/>
            </w:tcBorders>
            <w:vMerge w:val="restart"/>
          </w:tcPr>
          <w:p>
            <w:pPr>
              <w:ind w:left="60"/>
              <w:spacing w:after="0"/>
              <w:rPr>
                <w:sz w:val="20"/>
                <w:szCs w:val="20"/>
                <w:color w:val="auto"/>
              </w:rPr>
            </w:pPr>
            <w:r>
              <w:rPr>
                <w:rFonts w:ascii="Arial" w:cs="Arial" w:eastAsia="Arial" w:hAnsi="Arial"/>
                <w:sz w:val="13"/>
                <w:szCs w:val="13"/>
                <w:b w:val="1"/>
                <w:bCs w:val="1"/>
                <w:color w:val="181818"/>
              </w:rPr>
              <w:t>Heather Martin</w:t>
            </w:r>
          </w:p>
        </w:tc>
        <w:tc>
          <w:tcPr>
            <w:tcW w:w="980" w:type="dxa"/>
            <w:vAlign w:val="bottom"/>
          </w:tcPr>
          <w:p>
            <w:pPr>
              <w:jc w:val="center"/>
              <w:spacing w:after="0"/>
              <w:rPr>
                <w:sz w:val="20"/>
                <w:szCs w:val="20"/>
                <w:color w:val="auto"/>
              </w:rPr>
            </w:pPr>
            <w:r>
              <w:rPr>
                <w:rFonts w:ascii="Arial" w:cs="Arial" w:eastAsia="Arial" w:hAnsi="Arial"/>
                <w:sz w:val="13"/>
                <w:szCs w:val="13"/>
                <w:color w:val="auto"/>
                <w:w w:val="94"/>
              </w:rPr>
              <w:t>9/9/2025</w:t>
            </w:r>
          </w:p>
        </w:tc>
        <w:tc>
          <w:tcPr>
            <w:tcW w:w="920" w:type="dxa"/>
            <w:vAlign w:val="bottom"/>
          </w:tcPr>
          <w:p>
            <w:pPr>
              <w:ind w:left="72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40"/>
              <w:spacing w:after="0"/>
              <w:rPr>
                <w:sz w:val="20"/>
                <w:szCs w:val="20"/>
                <w:color w:val="auto"/>
              </w:rPr>
            </w:pPr>
            <w:r>
              <w:rPr>
                <w:rFonts w:ascii="Arial" w:cs="Arial" w:eastAsia="Arial" w:hAnsi="Arial"/>
                <w:sz w:val="13"/>
                <w:szCs w:val="13"/>
                <w:color w:val="auto"/>
              </w:rPr>
              <w:t>—</w:t>
            </w:r>
          </w:p>
        </w:tc>
        <w:tc>
          <w:tcPr>
            <w:tcW w:w="780" w:type="dxa"/>
            <w:vAlign w:val="bottom"/>
          </w:tcPr>
          <w:p>
            <w:pPr>
              <w:ind w:left="440"/>
              <w:spacing w:after="0"/>
              <w:rPr>
                <w:sz w:val="20"/>
                <w:szCs w:val="20"/>
                <w:color w:val="auto"/>
              </w:rPr>
            </w:pPr>
            <w:r>
              <w:rPr>
                <w:rFonts w:ascii="Arial" w:cs="Arial" w:eastAsia="Arial" w:hAnsi="Arial"/>
                <w:sz w:val="13"/>
                <w:szCs w:val="13"/>
                <w:color w:val="auto"/>
              </w:rPr>
              <w:t>—</w:t>
            </w: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34,578</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181818"/>
            </w:tcBorders>
          </w:tcPr>
          <w:p>
            <w:pPr>
              <w:jc w:val="right"/>
              <w:ind w:right="117"/>
              <w:spacing w:after="0"/>
              <w:rPr>
                <w:sz w:val="20"/>
                <w:szCs w:val="20"/>
                <w:color w:val="auto"/>
              </w:rPr>
            </w:pPr>
            <w:r>
              <w:rPr>
                <w:rFonts w:ascii="Arial" w:cs="Arial" w:eastAsia="Arial" w:hAnsi="Arial"/>
                <w:sz w:val="13"/>
                <w:szCs w:val="13"/>
                <w:color w:val="auto"/>
              </w:rPr>
              <w:t>749,997</w:t>
            </w:r>
          </w:p>
        </w:tc>
        <w:tc>
          <w:tcPr>
            <w:tcW w:w="0" w:type="dxa"/>
            <w:vAlign w:val="bottom"/>
          </w:tcPr>
          <w:p>
            <w:pPr>
              <w:spacing w:after="0"/>
              <w:rPr>
                <w:sz w:val="1"/>
                <w:szCs w:val="1"/>
                <w:color w:val="auto"/>
              </w:rPr>
            </w:pPr>
          </w:p>
        </w:tc>
      </w:tr>
      <w:tr>
        <w:trPr>
          <w:trHeight w:val="81"/>
        </w:trPr>
        <w:tc>
          <w:tcPr>
            <w:tcW w:w="1160" w:type="dxa"/>
            <w:vAlign w:val="bottom"/>
            <w:tcBorders>
              <w:left w:val="single" w:sz="8" w:color="181818"/>
            </w:tcBorders>
            <w:vMerge w:val="continue"/>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920" w:type="dxa"/>
            <w:vAlign w:val="bottom"/>
            <w:tcBorders>
              <w:bottom w:val="single" w:sz="8" w:color="181818"/>
            </w:tcBorders>
          </w:tcPr>
          <w:p>
            <w:pPr>
              <w:spacing w:after="0"/>
              <w:rPr>
                <w:sz w:val="7"/>
                <w:szCs w:val="7"/>
                <w:color w:val="auto"/>
              </w:rPr>
            </w:pPr>
          </w:p>
        </w:tc>
        <w:tc>
          <w:tcPr>
            <w:tcW w:w="1300" w:type="dxa"/>
            <w:vAlign w:val="bottom"/>
            <w:tcBorders>
              <w:bottom w:val="single" w:sz="8" w:color="181818"/>
            </w:tcBorders>
          </w:tcPr>
          <w:p>
            <w:pPr>
              <w:spacing w:after="0"/>
              <w:rPr>
                <w:sz w:val="7"/>
                <w:szCs w:val="7"/>
                <w:color w:val="auto"/>
              </w:rPr>
            </w:pPr>
          </w:p>
        </w:tc>
        <w:tc>
          <w:tcPr>
            <w:tcW w:w="660" w:type="dxa"/>
            <w:vAlign w:val="bottom"/>
            <w:tcBorders>
              <w:bottom w:val="single" w:sz="8" w:color="181818"/>
            </w:tcBorders>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76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140" w:type="dxa"/>
            <w:vAlign w:val="bottom"/>
            <w:tcBorders>
              <w:bottom w:val="single" w:sz="8" w:color="181818"/>
            </w:tcBorders>
          </w:tcPr>
          <w:p>
            <w:pPr>
              <w:spacing w:after="0"/>
              <w:rPr>
                <w:sz w:val="7"/>
                <w:szCs w:val="7"/>
                <w:color w:val="auto"/>
              </w:rPr>
            </w:pPr>
          </w:p>
        </w:tc>
        <w:tc>
          <w:tcPr>
            <w:tcW w:w="840" w:type="dxa"/>
            <w:vAlign w:val="bottom"/>
            <w:tcBorders>
              <w:bottom w:val="single" w:sz="8" w:color="181818"/>
            </w:tcBorders>
          </w:tcPr>
          <w:p>
            <w:pPr>
              <w:spacing w:after="0"/>
              <w:rPr>
                <w:sz w:val="7"/>
                <w:szCs w:val="7"/>
                <w:color w:val="auto"/>
              </w:rPr>
            </w:pPr>
          </w:p>
        </w:tc>
        <w:tc>
          <w:tcPr>
            <w:tcW w:w="96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160" w:type="dxa"/>
            <w:vAlign w:val="bottom"/>
            <w:tcBorders>
              <w:left w:val="single" w:sz="8" w:color="181818"/>
            </w:tcBorders>
            <w:vMerge w:val="continue"/>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920" w:type="dxa"/>
            <w:vAlign w:val="bottom"/>
            <w:vMerge w:val="restart"/>
          </w:tcPr>
          <w:p>
            <w:pPr>
              <w:ind w:left="72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right"/>
              <w:ind w:right="257"/>
              <w:spacing w:after="0"/>
              <w:rPr>
                <w:sz w:val="20"/>
                <w:szCs w:val="20"/>
                <w:color w:val="auto"/>
              </w:rPr>
            </w:pPr>
            <w:r>
              <w:rPr>
                <w:rFonts w:ascii="Arial" w:cs="Arial" w:eastAsia="Arial" w:hAnsi="Arial"/>
                <w:sz w:val="13"/>
                <w:szCs w:val="13"/>
                <w:color w:val="auto"/>
              </w:rPr>
              <w:t xml:space="preserve">248,400 </w:t>
            </w:r>
            <w:r>
              <w:rPr>
                <w:rFonts w:ascii="Arial" w:cs="Arial" w:eastAsia="Arial" w:hAnsi="Arial"/>
                <w:sz w:val="16"/>
                <w:szCs w:val="16"/>
                <w:color w:val="auto"/>
                <w:vertAlign w:val="superscript"/>
              </w:rPr>
              <w:t>(4)</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403,650</w:t>
            </w:r>
            <w:r>
              <w:rPr>
                <w:rFonts w:ascii="Arial" w:cs="Arial" w:eastAsia="Arial" w:hAnsi="Arial"/>
                <w:sz w:val="16"/>
                <w:szCs w:val="16"/>
                <w:color w:val="auto"/>
                <w:vertAlign w:val="superscript"/>
              </w:rPr>
              <w:t>(4)</w:t>
            </w:r>
          </w:p>
        </w:tc>
        <w:tc>
          <w:tcPr>
            <w:tcW w:w="980" w:type="dxa"/>
            <w:vAlign w:val="bottom"/>
            <w:vMerge w:val="restart"/>
          </w:tcPr>
          <w:p>
            <w:pPr>
              <w:ind w:left="7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5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181818"/>
            </w:tcBorders>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1160" w:type="dxa"/>
            <w:vAlign w:val="bottom"/>
            <w:tcBorders>
              <w:left w:val="single" w:sz="8" w:color="181818"/>
            </w:tcBorders>
          </w:tcPr>
          <w:p>
            <w:pPr>
              <w:spacing w:after="0"/>
              <w:rPr>
                <w:sz w:val="18"/>
                <w:szCs w:val="18"/>
                <w:color w:val="auto"/>
              </w:rPr>
            </w:pPr>
          </w:p>
        </w:tc>
        <w:tc>
          <w:tcPr>
            <w:tcW w:w="9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60" w:type="dxa"/>
            <w:vAlign w:val="bottom"/>
            <w:tcBorders>
              <w:right w:val="single" w:sz="8" w:color="181818"/>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160" w:type="dxa"/>
            <w:vAlign w:val="bottom"/>
            <w:tcBorders>
              <w:left w:val="single" w:sz="8" w:color="181818"/>
              <w:bottom w:val="single" w:sz="8" w:color="181818"/>
            </w:tcBorders>
          </w:tcPr>
          <w:p>
            <w:pPr>
              <w:spacing w:after="0"/>
              <w:rPr>
                <w:sz w:val="2"/>
                <w:szCs w:val="2"/>
                <w:color w:val="auto"/>
              </w:rPr>
            </w:pPr>
          </w:p>
        </w:tc>
        <w:tc>
          <w:tcPr>
            <w:tcW w:w="980" w:type="dxa"/>
            <w:vAlign w:val="bottom"/>
            <w:tcBorders>
              <w:bottom w:val="single" w:sz="8" w:color="181818"/>
            </w:tcBorders>
          </w:tcPr>
          <w:p>
            <w:pPr>
              <w:spacing w:after="0"/>
              <w:rPr>
                <w:sz w:val="2"/>
                <w:szCs w:val="2"/>
                <w:color w:val="auto"/>
              </w:rPr>
            </w:pPr>
          </w:p>
        </w:tc>
        <w:tc>
          <w:tcPr>
            <w:tcW w:w="920" w:type="dxa"/>
            <w:vAlign w:val="bottom"/>
            <w:tcBorders>
              <w:bottom w:val="single" w:sz="8" w:color="181818"/>
            </w:tcBorders>
          </w:tcPr>
          <w:p>
            <w:pPr>
              <w:spacing w:after="0"/>
              <w:rPr>
                <w:sz w:val="2"/>
                <w:szCs w:val="2"/>
                <w:color w:val="auto"/>
              </w:rPr>
            </w:pPr>
          </w:p>
        </w:tc>
        <w:tc>
          <w:tcPr>
            <w:tcW w:w="1300" w:type="dxa"/>
            <w:vAlign w:val="bottom"/>
            <w:tcBorders>
              <w:bottom w:val="single" w:sz="8" w:color="181818"/>
            </w:tcBorders>
          </w:tcPr>
          <w:p>
            <w:pPr>
              <w:spacing w:after="0"/>
              <w:rPr>
                <w:sz w:val="2"/>
                <w:szCs w:val="2"/>
                <w:color w:val="auto"/>
              </w:rPr>
            </w:pPr>
          </w:p>
        </w:tc>
        <w:tc>
          <w:tcPr>
            <w:tcW w:w="660" w:type="dxa"/>
            <w:vAlign w:val="bottom"/>
            <w:tcBorders>
              <w:bottom w:val="single" w:sz="8" w:color="181818"/>
            </w:tcBorders>
          </w:tcPr>
          <w:p>
            <w:pPr>
              <w:spacing w:after="0"/>
              <w:rPr>
                <w:sz w:val="2"/>
                <w:szCs w:val="2"/>
                <w:color w:val="auto"/>
              </w:rPr>
            </w:pPr>
          </w:p>
        </w:tc>
        <w:tc>
          <w:tcPr>
            <w:tcW w:w="980" w:type="dxa"/>
            <w:vAlign w:val="bottom"/>
            <w:tcBorders>
              <w:bottom w:val="single" w:sz="8" w:color="181818"/>
            </w:tcBorders>
          </w:tcPr>
          <w:p>
            <w:pPr>
              <w:spacing w:after="0"/>
              <w:rPr>
                <w:sz w:val="2"/>
                <w:szCs w:val="2"/>
                <w:color w:val="auto"/>
              </w:rPr>
            </w:pPr>
          </w:p>
        </w:tc>
        <w:tc>
          <w:tcPr>
            <w:tcW w:w="780" w:type="dxa"/>
            <w:vAlign w:val="bottom"/>
            <w:tcBorders>
              <w:bottom w:val="single" w:sz="8" w:color="181818"/>
            </w:tcBorders>
          </w:tcPr>
          <w:p>
            <w:pPr>
              <w:spacing w:after="0"/>
              <w:rPr>
                <w:sz w:val="2"/>
                <w:szCs w:val="2"/>
                <w:color w:val="auto"/>
              </w:rPr>
            </w:pPr>
          </w:p>
        </w:tc>
        <w:tc>
          <w:tcPr>
            <w:tcW w:w="760" w:type="dxa"/>
            <w:vAlign w:val="bottom"/>
            <w:tcBorders>
              <w:bottom w:val="single" w:sz="8" w:color="181818"/>
            </w:tcBorders>
          </w:tcPr>
          <w:p>
            <w:pPr>
              <w:spacing w:after="0"/>
              <w:rPr>
                <w:sz w:val="2"/>
                <w:szCs w:val="2"/>
                <w:color w:val="auto"/>
              </w:rPr>
            </w:pPr>
          </w:p>
        </w:tc>
        <w:tc>
          <w:tcPr>
            <w:tcW w:w="800" w:type="dxa"/>
            <w:vAlign w:val="bottom"/>
            <w:tcBorders>
              <w:bottom w:val="single" w:sz="8" w:color="181818"/>
            </w:tcBorders>
          </w:tcPr>
          <w:p>
            <w:pPr>
              <w:spacing w:after="0"/>
              <w:rPr>
                <w:sz w:val="2"/>
                <w:szCs w:val="2"/>
                <w:color w:val="auto"/>
              </w:rPr>
            </w:pPr>
          </w:p>
        </w:tc>
        <w:tc>
          <w:tcPr>
            <w:tcW w:w="1140" w:type="dxa"/>
            <w:vAlign w:val="bottom"/>
            <w:tcBorders>
              <w:bottom w:val="single" w:sz="8" w:color="181818"/>
            </w:tcBorders>
          </w:tcPr>
          <w:p>
            <w:pPr>
              <w:spacing w:after="0"/>
              <w:rPr>
                <w:sz w:val="2"/>
                <w:szCs w:val="2"/>
                <w:color w:val="auto"/>
              </w:rPr>
            </w:pPr>
          </w:p>
        </w:tc>
        <w:tc>
          <w:tcPr>
            <w:tcW w:w="840" w:type="dxa"/>
            <w:vAlign w:val="bottom"/>
            <w:tcBorders>
              <w:bottom w:val="single" w:sz="8" w:color="181818"/>
            </w:tcBorders>
          </w:tcPr>
          <w:p>
            <w:pPr>
              <w:spacing w:after="0"/>
              <w:rPr>
                <w:sz w:val="2"/>
                <w:szCs w:val="2"/>
                <w:color w:val="auto"/>
              </w:rPr>
            </w:pPr>
          </w:p>
        </w:tc>
        <w:tc>
          <w:tcPr>
            <w:tcW w:w="960" w:type="dxa"/>
            <w:vAlign w:val="bottom"/>
            <w:tcBorders>
              <w:bottom w:val="single" w:sz="8" w:color="181818"/>
              <w:right w:val="single" w:sz="8" w:color="18181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181818"/>
            </w:tcBorders>
            <w:vMerge w:val="restart"/>
          </w:tcPr>
          <w:p>
            <w:pPr>
              <w:ind w:left="60"/>
              <w:spacing w:after="0"/>
              <w:rPr>
                <w:sz w:val="20"/>
                <w:szCs w:val="20"/>
                <w:color w:val="auto"/>
              </w:rPr>
            </w:pPr>
            <w:r>
              <w:rPr>
                <w:rFonts w:ascii="Arial" w:cs="Arial" w:eastAsia="Arial" w:hAnsi="Arial"/>
                <w:sz w:val="13"/>
                <w:szCs w:val="13"/>
                <w:b w:val="1"/>
                <w:bCs w:val="1"/>
                <w:color w:val="181818"/>
              </w:rPr>
              <w:t>Ryan L.</w:t>
            </w:r>
          </w:p>
        </w:tc>
        <w:tc>
          <w:tcPr>
            <w:tcW w:w="980" w:type="dxa"/>
            <w:vAlign w:val="bottom"/>
          </w:tcPr>
          <w:p>
            <w:pPr>
              <w:jc w:val="center"/>
              <w:spacing w:after="0"/>
              <w:rPr>
                <w:sz w:val="20"/>
                <w:szCs w:val="20"/>
                <w:color w:val="auto"/>
              </w:rPr>
            </w:pPr>
            <w:r>
              <w:rPr>
                <w:rFonts w:ascii="Arial" w:cs="Arial" w:eastAsia="Arial" w:hAnsi="Arial"/>
                <w:sz w:val="13"/>
                <w:szCs w:val="13"/>
                <w:color w:val="auto"/>
                <w:w w:val="96"/>
              </w:rPr>
              <w:t>5/20/2025</w:t>
            </w:r>
          </w:p>
        </w:tc>
        <w:tc>
          <w:tcPr>
            <w:tcW w:w="920" w:type="dxa"/>
            <w:vAlign w:val="bottom"/>
          </w:tcPr>
          <w:p>
            <w:pPr>
              <w:ind w:left="72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40"/>
              <w:spacing w:after="0"/>
              <w:rPr>
                <w:sz w:val="20"/>
                <w:szCs w:val="20"/>
                <w:color w:val="auto"/>
              </w:rPr>
            </w:pPr>
            <w:r>
              <w:rPr>
                <w:rFonts w:ascii="Arial" w:cs="Arial" w:eastAsia="Arial" w:hAnsi="Arial"/>
                <w:sz w:val="13"/>
                <w:szCs w:val="13"/>
                <w:color w:val="auto"/>
              </w:rPr>
              <w:t>—</w:t>
            </w:r>
          </w:p>
        </w:tc>
        <w:tc>
          <w:tcPr>
            <w:tcW w:w="780" w:type="dxa"/>
            <w:vAlign w:val="bottom"/>
          </w:tcPr>
          <w:p>
            <w:pPr>
              <w:ind w:left="440"/>
              <w:spacing w:after="0"/>
              <w:rPr>
                <w:sz w:val="20"/>
                <w:szCs w:val="20"/>
                <w:color w:val="auto"/>
              </w:rPr>
            </w:pPr>
            <w:r>
              <w:rPr>
                <w:rFonts w:ascii="Arial" w:cs="Arial" w:eastAsia="Arial" w:hAnsi="Arial"/>
                <w:sz w:val="13"/>
                <w:szCs w:val="13"/>
                <w:color w:val="auto"/>
              </w:rPr>
              <w:t>—</w:t>
            </w:r>
          </w:p>
        </w:tc>
        <w:tc>
          <w:tcPr>
            <w:tcW w:w="760" w:type="dxa"/>
            <w:vAlign w:val="bottom"/>
          </w:tcPr>
          <w:p>
            <w:pPr>
              <w:ind w:left="5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7"/>
              <w:spacing w:after="0"/>
              <w:rPr>
                <w:sz w:val="20"/>
                <w:szCs w:val="20"/>
                <w:color w:val="auto"/>
              </w:rPr>
            </w:pPr>
            <w:r>
              <w:rPr>
                <w:rFonts w:ascii="Arial" w:cs="Arial" w:eastAsia="Arial" w:hAnsi="Arial"/>
                <w:sz w:val="13"/>
                <w:szCs w:val="13"/>
                <w:color w:val="auto"/>
              </w:rPr>
              <w:t>53,491</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34.96</w:t>
            </w:r>
          </w:p>
        </w:tc>
        <w:tc>
          <w:tcPr>
            <w:tcW w:w="960" w:type="dxa"/>
            <w:vAlign w:val="bottom"/>
            <w:tcBorders>
              <w:right w:val="single" w:sz="8" w:color="181818"/>
            </w:tcBorders>
          </w:tcPr>
          <w:p>
            <w:pPr>
              <w:jc w:val="right"/>
              <w:ind w:right="117"/>
              <w:spacing w:after="0"/>
              <w:rPr>
                <w:sz w:val="20"/>
                <w:szCs w:val="20"/>
                <w:color w:val="auto"/>
              </w:rPr>
            </w:pPr>
            <w:r>
              <w:rPr>
                <w:rFonts w:ascii="Arial" w:cs="Arial" w:eastAsia="Arial" w:hAnsi="Arial"/>
                <w:sz w:val="13"/>
                <w:szCs w:val="13"/>
                <w:color w:val="auto"/>
              </w:rPr>
              <w:t>739,246</w:t>
            </w:r>
          </w:p>
        </w:tc>
        <w:tc>
          <w:tcPr>
            <w:tcW w:w="0" w:type="dxa"/>
            <w:vAlign w:val="bottom"/>
          </w:tcPr>
          <w:p>
            <w:pPr>
              <w:spacing w:after="0"/>
              <w:rPr>
                <w:sz w:val="1"/>
                <w:szCs w:val="1"/>
                <w:color w:val="auto"/>
              </w:rPr>
            </w:pPr>
          </w:p>
        </w:tc>
      </w:tr>
      <w:tr>
        <w:trPr>
          <w:trHeight w:val="82"/>
        </w:trPr>
        <w:tc>
          <w:tcPr>
            <w:tcW w:w="1160" w:type="dxa"/>
            <w:vAlign w:val="bottom"/>
            <w:tcBorders>
              <w:left w:val="single" w:sz="8" w:color="181818"/>
            </w:tcBorders>
            <w:vMerge w:val="continue"/>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920" w:type="dxa"/>
            <w:vAlign w:val="bottom"/>
            <w:tcBorders>
              <w:bottom w:val="single" w:sz="8" w:color="181818"/>
            </w:tcBorders>
          </w:tcPr>
          <w:p>
            <w:pPr>
              <w:spacing w:after="0"/>
              <w:rPr>
                <w:sz w:val="7"/>
                <w:szCs w:val="7"/>
                <w:color w:val="auto"/>
              </w:rPr>
            </w:pPr>
          </w:p>
        </w:tc>
        <w:tc>
          <w:tcPr>
            <w:tcW w:w="1300" w:type="dxa"/>
            <w:vAlign w:val="bottom"/>
            <w:tcBorders>
              <w:bottom w:val="single" w:sz="8" w:color="181818"/>
            </w:tcBorders>
          </w:tcPr>
          <w:p>
            <w:pPr>
              <w:spacing w:after="0"/>
              <w:rPr>
                <w:sz w:val="7"/>
                <w:szCs w:val="7"/>
                <w:color w:val="auto"/>
              </w:rPr>
            </w:pPr>
          </w:p>
        </w:tc>
        <w:tc>
          <w:tcPr>
            <w:tcW w:w="660" w:type="dxa"/>
            <w:vAlign w:val="bottom"/>
            <w:tcBorders>
              <w:bottom w:val="single" w:sz="8" w:color="181818"/>
            </w:tcBorders>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76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140" w:type="dxa"/>
            <w:vAlign w:val="bottom"/>
            <w:tcBorders>
              <w:bottom w:val="single" w:sz="8" w:color="181818"/>
            </w:tcBorders>
          </w:tcPr>
          <w:p>
            <w:pPr>
              <w:spacing w:after="0"/>
              <w:rPr>
                <w:sz w:val="7"/>
                <w:szCs w:val="7"/>
                <w:color w:val="auto"/>
              </w:rPr>
            </w:pPr>
          </w:p>
        </w:tc>
        <w:tc>
          <w:tcPr>
            <w:tcW w:w="840" w:type="dxa"/>
            <w:vAlign w:val="bottom"/>
            <w:tcBorders>
              <w:bottom w:val="single" w:sz="8" w:color="181818"/>
            </w:tcBorders>
          </w:tcPr>
          <w:p>
            <w:pPr>
              <w:spacing w:after="0"/>
              <w:rPr>
                <w:sz w:val="7"/>
                <w:szCs w:val="7"/>
                <w:color w:val="auto"/>
              </w:rPr>
            </w:pPr>
          </w:p>
        </w:tc>
        <w:tc>
          <w:tcPr>
            <w:tcW w:w="96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160" w:type="dxa"/>
            <w:vAlign w:val="bottom"/>
            <w:tcBorders>
              <w:left w:val="single" w:sz="8" w:color="181818"/>
            </w:tcBorders>
          </w:tcPr>
          <w:p>
            <w:pPr>
              <w:ind w:left="60"/>
              <w:spacing w:after="0"/>
              <w:rPr>
                <w:sz w:val="20"/>
                <w:szCs w:val="20"/>
                <w:color w:val="auto"/>
              </w:rPr>
            </w:pPr>
            <w:r>
              <w:rPr>
                <w:rFonts w:ascii="Arial" w:cs="Arial" w:eastAsia="Arial" w:hAnsi="Arial"/>
                <w:sz w:val="13"/>
                <w:szCs w:val="13"/>
                <w:b w:val="1"/>
                <w:bCs w:val="1"/>
                <w:color w:val="181818"/>
              </w:rPr>
              <w:t>Gerbrandt</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2"/>
              </w:rPr>
              <w:t>N/A</w:t>
            </w:r>
          </w:p>
        </w:tc>
        <w:tc>
          <w:tcPr>
            <w:tcW w:w="920" w:type="dxa"/>
            <w:vAlign w:val="bottom"/>
            <w:vMerge w:val="restart"/>
          </w:tcPr>
          <w:p>
            <w:pPr>
              <w:ind w:left="72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right"/>
              <w:ind w:right="297"/>
              <w:spacing w:after="0"/>
              <w:rPr>
                <w:sz w:val="20"/>
                <w:szCs w:val="20"/>
                <w:color w:val="auto"/>
              </w:rPr>
            </w:pPr>
            <w:r>
              <w:rPr>
                <w:rFonts w:ascii="Arial" w:cs="Arial" w:eastAsia="Arial" w:hAnsi="Arial"/>
                <w:sz w:val="13"/>
                <w:szCs w:val="13"/>
                <w:color w:val="auto"/>
              </w:rPr>
              <w:t>248,520</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403,845</w:t>
            </w:r>
          </w:p>
        </w:tc>
        <w:tc>
          <w:tcPr>
            <w:tcW w:w="980" w:type="dxa"/>
            <w:vAlign w:val="bottom"/>
            <w:vMerge w:val="restart"/>
          </w:tcPr>
          <w:p>
            <w:pPr>
              <w:ind w:left="7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5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181818"/>
            </w:tcBorders>
            <w:vMerge w:val="restart"/>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5"/>
        </w:trPr>
        <w:tc>
          <w:tcPr>
            <w:tcW w:w="1160" w:type="dxa"/>
            <w:vAlign w:val="bottom"/>
            <w:tcBorders>
              <w:left w:val="single" w:sz="8" w:color="181818"/>
            </w:tcBorders>
          </w:tcPr>
          <w:p>
            <w:pPr>
              <w:spacing w:after="0"/>
              <w:rPr>
                <w:sz w:val="5"/>
                <w:szCs w:val="5"/>
                <w:color w:val="auto"/>
              </w:rPr>
            </w:pPr>
          </w:p>
        </w:tc>
        <w:tc>
          <w:tcPr>
            <w:tcW w:w="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960" w:type="dxa"/>
            <w:vAlign w:val="bottom"/>
            <w:tcBorders>
              <w:right w:val="single" w:sz="8" w:color="18181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160" w:type="dxa"/>
            <w:vAlign w:val="bottom"/>
            <w:tcBorders>
              <w:left w:val="single" w:sz="8" w:color="181818"/>
              <w:bottom w:val="single" w:sz="8" w:color="181818"/>
            </w:tcBorders>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920" w:type="dxa"/>
            <w:vAlign w:val="bottom"/>
            <w:tcBorders>
              <w:bottom w:val="single" w:sz="8" w:color="181818"/>
            </w:tcBorders>
          </w:tcPr>
          <w:p>
            <w:pPr>
              <w:spacing w:after="0"/>
              <w:rPr>
                <w:sz w:val="7"/>
                <w:szCs w:val="7"/>
                <w:color w:val="auto"/>
              </w:rPr>
            </w:pPr>
          </w:p>
        </w:tc>
        <w:tc>
          <w:tcPr>
            <w:tcW w:w="1300" w:type="dxa"/>
            <w:vAlign w:val="bottom"/>
            <w:tcBorders>
              <w:bottom w:val="single" w:sz="8" w:color="181818"/>
            </w:tcBorders>
          </w:tcPr>
          <w:p>
            <w:pPr>
              <w:spacing w:after="0"/>
              <w:rPr>
                <w:sz w:val="7"/>
                <w:szCs w:val="7"/>
                <w:color w:val="auto"/>
              </w:rPr>
            </w:pPr>
          </w:p>
        </w:tc>
        <w:tc>
          <w:tcPr>
            <w:tcW w:w="660" w:type="dxa"/>
            <w:vAlign w:val="bottom"/>
            <w:tcBorders>
              <w:bottom w:val="single" w:sz="8" w:color="181818"/>
            </w:tcBorders>
          </w:tcPr>
          <w:p>
            <w:pPr>
              <w:spacing w:after="0"/>
              <w:rPr>
                <w:sz w:val="7"/>
                <w:szCs w:val="7"/>
                <w:color w:val="auto"/>
              </w:rPr>
            </w:pPr>
          </w:p>
        </w:tc>
        <w:tc>
          <w:tcPr>
            <w:tcW w:w="98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76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140" w:type="dxa"/>
            <w:vAlign w:val="bottom"/>
            <w:tcBorders>
              <w:bottom w:val="single" w:sz="8" w:color="181818"/>
            </w:tcBorders>
          </w:tcPr>
          <w:p>
            <w:pPr>
              <w:spacing w:after="0"/>
              <w:rPr>
                <w:sz w:val="7"/>
                <w:szCs w:val="7"/>
                <w:color w:val="auto"/>
              </w:rPr>
            </w:pPr>
          </w:p>
        </w:tc>
        <w:tc>
          <w:tcPr>
            <w:tcW w:w="840" w:type="dxa"/>
            <w:vAlign w:val="bottom"/>
            <w:tcBorders>
              <w:bottom w:val="single" w:sz="8" w:color="181818"/>
            </w:tcBorders>
          </w:tcPr>
          <w:p>
            <w:pPr>
              <w:spacing w:after="0"/>
              <w:rPr>
                <w:sz w:val="7"/>
                <w:szCs w:val="7"/>
                <w:color w:val="auto"/>
              </w:rPr>
            </w:pPr>
          </w:p>
        </w:tc>
        <w:tc>
          <w:tcPr>
            <w:tcW w:w="96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27" w:right="260" w:hanging="327"/>
        <w:spacing w:after="0" w:line="320" w:lineRule="auto"/>
        <w:tabs>
          <w:tab w:leader="none" w:pos="315" w:val="left"/>
        </w:tabs>
        <w:numPr>
          <w:ilvl w:val="0"/>
          <w:numId w:val="49"/>
        </w:numPr>
        <w:rPr>
          <w:rFonts w:ascii="Arial" w:cs="Arial" w:eastAsia="Arial" w:hAnsi="Arial"/>
          <w:sz w:val="14"/>
          <w:szCs w:val="14"/>
          <w:b w:val="1"/>
          <w:bCs w:val="1"/>
          <w:color w:val="181818"/>
        </w:rPr>
      </w:pPr>
      <w:r>
        <w:rPr>
          <w:rFonts w:ascii="Arial" w:cs="Arial" w:eastAsia="Arial" w:hAnsi="Arial"/>
          <w:sz w:val="14"/>
          <w:szCs w:val="14"/>
          <w:color w:val="auto"/>
        </w:rPr>
        <w:t>The amounts set forth in these columns represent the threshold, target, and maximum potential payouts under the Company’s Short-Term Incentive Program. The future payouts assume achievement of certain pre-established corporate and individual performance goals approved and evaluated by the Compensation Committee.</w:t>
      </w:r>
    </w:p>
    <w:p>
      <w:pPr>
        <w:spacing w:after="0" w:line="2" w:lineRule="exact"/>
        <w:rPr>
          <w:rFonts w:ascii="Arial" w:cs="Arial" w:eastAsia="Arial" w:hAnsi="Arial"/>
          <w:sz w:val="14"/>
          <w:szCs w:val="14"/>
          <w:b w:val="1"/>
          <w:bCs w:val="1"/>
          <w:color w:val="181818"/>
        </w:rPr>
      </w:pPr>
    </w:p>
    <w:p>
      <w:pPr>
        <w:ind w:left="287" w:hanging="287"/>
        <w:spacing w:after="0"/>
        <w:tabs>
          <w:tab w:leader="none" w:pos="287" w:val="left"/>
        </w:tabs>
        <w:numPr>
          <w:ilvl w:val="0"/>
          <w:numId w:val="49"/>
        </w:numPr>
        <w:rPr>
          <w:rFonts w:ascii="Arial" w:cs="Arial" w:eastAsia="Arial" w:hAnsi="Arial"/>
          <w:sz w:val="14"/>
          <w:szCs w:val="14"/>
          <w:b w:val="1"/>
          <w:bCs w:val="1"/>
          <w:color w:val="181818"/>
        </w:rPr>
      </w:pPr>
      <w:r>
        <w:rPr>
          <w:rFonts w:ascii="Arial" w:cs="Arial" w:eastAsia="Arial" w:hAnsi="Arial"/>
          <w:sz w:val="14"/>
          <w:szCs w:val="14"/>
          <w:color w:val="auto"/>
        </w:rPr>
        <w:t>The amounts set forth in this column represent RSUs and Stock Options granted to the NEOs under the 2023 Stock Plan.</w:t>
      </w:r>
    </w:p>
    <w:p>
      <w:pPr>
        <w:spacing w:after="0" w:line="95" w:lineRule="exact"/>
        <w:rPr>
          <w:rFonts w:ascii="Arial" w:cs="Arial" w:eastAsia="Arial" w:hAnsi="Arial"/>
          <w:sz w:val="14"/>
          <w:szCs w:val="14"/>
          <w:b w:val="1"/>
          <w:bCs w:val="1"/>
          <w:color w:val="181818"/>
        </w:rPr>
      </w:pPr>
    </w:p>
    <w:p>
      <w:pPr>
        <w:ind w:left="327" w:right="100" w:hanging="327"/>
        <w:spacing w:after="0" w:line="284" w:lineRule="auto"/>
        <w:tabs>
          <w:tab w:leader="none" w:pos="290" w:val="left"/>
        </w:tabs>
        <w:numPr>
          <w:ilvl w:val="0"/>
          <w:numId w:val="49"/>
        </w:numPr>
        <w:rPr>
          <w:rFonts w:ascii="Arial" w:cs="Arial" w:eastAsia="Arial" w:hAnsi="Arial"/>
          <w:sz w:val="14"/>
          <w:szCs w:val="14"/>
          <w:b w:val="1"/>
          <w:bCs w:val="1"/>
          <w:color w:val="181818"/>
        </w:rPr>
      </w:pPr>
      <w:r>
        <w:rPr>
          <w:rFonts w:ascii="Arial" w:cs="Arial" w:eastAsia="Arial" w:hAnsi="Arial"/>
          <w:sz w:val="14"/>
          <w:szCs w:val="14"/>
          <w:color w:val="auto"/>
        </w:rPr>
        <w:t>The amounts set forth in this column represent the grant date fair value of equity-based stock awards granted by the Company during the periods presented, determined in accordance with FASB ASC Topic 718. All awards are amortized over the vesting life of the award. For the assumptions used in our valuations, see Note 13 - Stock Compensation of our notes to the consolidated financial statements in our Annual Report. In accordance with SEC rules, the grant date fair value of any award subject to a performance condition is based on the probable outcome of the performance condition.</w:t>
      </w:r>
    </w:p>
    <w:p>
      <w:pPr>
        <w:spacing w:after="0" w:line="34" w:lineRule="exact"/>
        <w:rPr>
          <w:rFonts w:ascii="Arial" w:cs="Arial" w:eastAsia="Arial" w:hAnsi="Arial"/>
          <w:sz w:val="14"/>
          <w:szCs w:val="14"/>
          <w:b w:val="1"/>
          <w:bCs w:val="1"/>
          <w:color w:val="181818"/>
        </w:rPr>
      </w:pPr>
    </w:p>
    <w:p>
      <w:pPr>
        <w:ind w:left="327" w:right="440" w:hanging="327"/>
        <w:spacing w:after="0" w:line="311" w:lineRule="auto"/>
        <w:tabs>
          <w:tab w:leader="none" w:pos="288" w:val="left"/>
        </w:tabs>
        <w:numPr>
          <w:ilvl w:val="0"/>
          <w:numId w:val="49"/>
        </w:numPr>
        <w:rPr>
          <w:rFonts w:ascii="Arial" w:cs="Arial" w:eastAsia="Arial" w:hAnsi="Arial"/>
          <w:sz w:val="14"/>
          <w:szCs w:val="14"/>
          <w:b w:val="1"/>
          <w:bCs w:val="1"/>
          <w:color w:val="181818"/>
        </w:rPr>
      </w:pPr>
      <w:r>
        <w:rPr>
          <w:rFonts w:ascii="Arial" w:cs="Arial" w:eastAsia="Arial" w:hAnsi="Arial"/>
          <w:sz w:val="14"/>
          <w:szCs w:val="14"/>
          <w:color w:val="auto"/>
        </w:rPr>
        <w:t>The table above reflects the full-year target and maximum bonus amounts for Ms. Martin. However, her actual bonus payment was prorated based on her start date of 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71577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7"/>
        <w:spacing w:after="0"/>
        <w:tabs>
          <w:tab w:leader="none" w:pos="10267" w:val="left"/>
        </w:tabs>
        <w:rPr>
          <w:sz w:val="20"/>
          <w:szCs w:val="20"/>
          <w:color w:val="auto"/>
        </w:rPr>
      </w:pPr>
      <w:r>
        <w:rPr>
          <w:rFonts w:ascii="Arial" w:cs="Arial" w:eastAsia="Arial" w:hAnsi="Arial"/>
          <w:sz w:val="14"/>
          <w:szCs w:val="14"/>
          <w:color w:val="09314A"/>
        </w:rPr>
        <w:t xml:space="preserve">44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48" w:name="page49"/>
    <w:bookmarkEnd w:id="48"/>
    <w:p>
      <w:pPr>
        <w:ind w:left="900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1B6F80"/>
        </w:rPr>
        <w:t>Outstanding Equity Awards at Fiscal Year-End</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The following table sets forth information regarding outstanding equity awards held by our NEOs on March 31, 2026.</w:t>
      </w:r>
    </w:p>
    <w:p>
      <w:pPr>
        <w:spacing w:after="0" w:line="163" w:lineRule="exact"/>
        <w:rPr>
          <w:sz w:val="20"/>
          <w:szCs w:val="20"/>
          <w:color w:val="auto"/>
        </w:rPr>
      </w:pPr>
    </w:p>
    <w:tbl>
      <w:tblPr>
        <w:tblLayout w:type="fixed"/>
        <w:tblInd w:w="17" w:type="dxa"/>
        <w:tblCellMar>
          <w:top w:w="0" w:type="dxa"/>
          <w:left w:w="0" w:type="dxa"/>
          <w:bottom w:w="0" w:type="dxa"/>
          <w:right w:w="0" w:type="dxa"/>
        </w:tblCellMar>
      </w:tblPr>
      <w:tr>
        <w:trPr>
          <w:trHeight w:val="248"/>
        </w:trPr>
        <w:tc>
          <w:tcPr>
            <w:tcW w:w="1180" w:type="dxa"/>
            <w:vAlign w:val="bottom"/>
            <w:tcBorders>
              <w:right w:val="single" w:sz="8" w:color="181818"/>
            </w:tcBorders>
          </w:tcPr>
          <w:p>
            <w:pPr>
              <w:spacing w:after="0"/>
              <w:rPr>
                <w:sz w:val="21"/>
                <w:szCs w:val="21"/>
                <w:color w:val="auto"/>
              </w:rPr>
            </w:pPr>
          </w:p>
        </w:tc>
        <w:tc>
          <w:tcPr>
            <w:tcW w:w="1220" w:type="dxa"/>
            <w:vAlign w:val="bottom"/>
            <w:tcBorders>
              <w:top w:val="single" w:sz="8" w:color="181818"/>
            </w:tcBorders>
            <w:shd w:val="clear" w:color="auto" w:fill="09314A"/>
          </w:tcPr>
          <w:p>
            <w:pPr>
              <w:spacing w:after="0"/>
              <w:rPr>
                <w:sz w:val="21"/>
                <w:szCs w:val="21"/>
                <w:color w:val="auto"/>
              </w:rPr>
            </w:pPr>
          </w:p>
        </w:tc>
        <w:tc>
          <w:tcPr>
            <w:tcW w:w="1040" w:type="dxa"/>
            <w:vAlign w:val="bottom"/>
            <w:tcBorders>
              <w:top w:val="single" w:sz="8" w:color="181818"/>
            </w:tcBorders>
            <w:shd w:val="clear" w:color="auto" w:fill="09314A"/>
          </w:tcPr>
          <w:p>
            <w:pPr>
              <w:spacing w:after="0"/>
              <w:rPr>
                <w:sz w:val="21"/>
                <w:szCs w:val="21"/>
                <w:color w:val="auto"/>
              </w:rPr>
            </w:pPr>
          </w:p>
        </w:tc>
        <w:tc>
          <w:tcPr>
            <w:tcW w:w="1480" w:type="dxa"/>
            <w:vAlign w:val="bottom"/>
            <w:tcBorders>
              <w:top w:val="single" w:sz="8" w:color="181818"/>
            </w:tcBorders>
            <w:gridSpan w:val="2"/>
            <w:shd w:val="clear" w:color="auto" w:fill="09314A"/>
          </w:tcPr>
          <w:p>
            <w:pPr>
              <w:jc w:val="right"/>
              <w:ind w:right="517"/>
              <w:spacing w:after="0"/>
              <w:rPr>
                <w:sz w:val="20"/>
                <w:szCs w:val="20"/>
                <w:color w:val="auto"/>
              </w:rPr>
            </w:pPr>
            <w:r>
              <w:rPr>
                <w:rFonts w:ascii="Arial" w:cs="Arial" w:eastAsia="Arial" w:hAnsi="Arial"/>
                <w:sz w:val="13"/>
                <w:szCs w:val="13"/>
                <w:b w:val="1"/>
                <w:bCs w:val="1"/>
                <w:color w:val="FFFFFF"/>
                <w:w w:val="95"/>
              </w:rPr>
              <w:t>Option Awards</w:t>
            </w:r>
          </w:p>
        </w:tc>
        <w:tc>
          <w:tcPr>
            <w:tcW w:w="780" w:type="dxa"/>
            <w:vAlign w:val="bottom"/>
            <w:tcBorders>
              <w:top w:val="single" w:sz="8" w:color="181818"/>
            </w:tcBorders>
            <w:shd w:val="clear" w:color="auto" w:fill="09314A"/>
          </w:tcPr>
          <w:p>
            <w:pPr>
              <w:spacing w:after="0"/>
              <w:rPr>
                <w:sz w:val="21"/>
                <w:szCs w:val="21"/>
                <w:color w:val="auto"/>
              </w:rPr>
            </w:pPr>
          </w:p>
        </w:tc>
        <w:tc>
          <w:tcPr>
            <w:tcW w:w="960" w:type="dxa"/>
            <w:vAlign w:val="bottom"/>
            <w:tcBorders>
              <w:top w:val="single" w:sz="8" w:color="181818"/>
              <w:right w:val="single" w:sz="8" w:color="181818"/>
            </w:tcBorders>
            <w:shd w:val="clear" w:color="auto" w:fill="09314A"/>
          </w:tcPr>
          <w:p>
            <w:pPr>
              <w:spacing w:after="0"/>
              <w:rPr>
                <w:sz w:val="21"/>
                <w:szCs w:val="21"/>
                <w:color w:val="auto"/>
              </w:rPr>
            </w:pPr>
          </w:p>
        </w:tc>
        <w:tc>
          <w:tcPr>
            <w:tcW w:w="1020" w:type="dxa"/>
            <w:vAlign w:val="bottom"/>
            <w:tcBorders>
              <w:top w:val="single" w:sz="8" w:color="181818"/>
            </w:tcBorders>
            <w:shd w:val="clear" w:color="auto" w:fill="135368"/>
          </w:tcPr>
          <w:p>
            <w:pPr>
              <w:spacing w:after="0"/>
              <w:rPr>
                <w:sz w:val="21"/>
                <w:szCs w:val="21"/>
                <w:color w:val="auto"/>
              </w:rPr>
            </w:pPr>
          </w:p>
        </w:tc>
        <w:tc>
          <w:tcPr>
            <w:tcW w:w="800" w:type="dxa"/>
            <w:vAlign w:val="bottom"/>
            <w:tcBorders>
              <w:top w:val="single" w:sz="8" w:color="181818"/>
            </w:tcBorders>
            <w:shd w:val="clear" w:color="auto" w:fill="135368"/>
          </w:tcPr>
          <w:p>
            <w:pPr>
              <w:spacing w:after="0"/>
              <w:rPr>
                <w:sz w:val="21"/>
                <w:szCs w:val="21"/>
                <w:color w:val="auto"/>
              </w:rPr>
            </w:pPr>
          </w:p>
        </w:tc>
        <w:tc>
          <w:tcPr>
            <w:tcW w:w="1500" w:type="dxa"/>
            <w:vAlign w:val="bottom"/>
            <w:tcBorders>
              <w:top w:val="single" w:sz="8" w:color="181818"/>
            </w:tcBorders>
            <w:shd w:val="clear" w:color="auto" w:fill="135368"/>
          </w:tcPr>
          <w:p>
            <w:pPr>
              <w:jc w:val="right"/>
              <w:ind w:right="597"/>
              <w:spacing w:after="0"/>
              <w:rPr>
                <w:sz w:val="20"/>
                <w:szCs w:val="20"/>
                <w:color w:val="auto"/>
              </w:rPr>
            </w:pPr>
            <w:r>
              <w:rPr>
                <w:rFonts w:ascii="Arial" w:cs="Arial" w:eastAsia="Arial" w:hAnsi="Arial"/>
                <w:sz w:val="13"/>
                <w:szCs w:val="13"/>
                <w:b w:val="1"/>
                <w:bCs w:val="1"/>
                <w:color w:val="FFFFFF"/>
                <w:w w:val="95"/>
              </w:rPr>
              <w:t>Stock Awards</w:t>
            </w:r>
          </w:p>
        </w:tc>
        <w:tc>
          <w:tcPr>
            <w:tcW w:w="1300" w:type="dxa"/>
            <w:vAlign w:val="bottom"/>
            <w:tcBorders>
              <w:top w:val="single" w:sz="8" w:color="181818"/>
              <w:right w:val="single" w:sz="8" w:color="181818"/>
            </w:tcBorders>
            <w:shd w:val="clear" w:color="auto" w:fill="135368"/>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1180" w:type="dxa"/>
            <w:vAlign w:val="bottom"/>
            <w:tcBorders>
              <w:bottom w:val="single" w:sz="8" w:color="181818"/>
              <w:right w:val="single" w:sz="8" w:color="181818"/>
            </w:tcBorders>
          </w:tcPr>
          <w:p>
            <w:pPr>
              <w:spacing w:after="0"/>
              <w:rPr>
                <w:sz w:val="6"/>
                <w:szCs w:val="6"/>
                <w:color w:val="auto"/>
              </w:rPr>
            </w:pPr>
          </w:p>
        </w:tc>
        <w:tc>
          <w:tcPr>
            <w:tcW w:w="1220" w:type="dxa"/>
            <w:vAlign w:val="bottom"/>
            <w:tcBorders>
              <w:bottom w:val="single" w:sz="8" w:color="181818"/>
            </w:tcBorders>
            <w:shd w:val="clear" w:color="auto" w:fill="09314A"/>
          </w:tcPr>
          <w:p>
            <w:pPr>
              <w:spacing w:after="0"/>
              <w:rPr>
                <w:sz w:val="6"/>
                <w:szCs w:val="6"/>
                <w:color w:val="auto"/>
              </w:rPr>
            </w:pPr>
          </w:p>
        </w:tc>
        <w:tc>
          <w:tcPr>
            <w:tcW w:w="1040" w:type="dxa"/>
            <w:vAlign w:val="bottom"/>
            <w:tcBorders>
              <w:bottom w:val="single" w:sz="8" w:color="181818"/>
            </w:tcBorders>
            <w:shd w:val="clear" w:color="auto" w:fill="09314A"/>
          </w:tcPr>
          <w:p>
            <w:pPr>
              <w:spacing w:after="0"/>
              <w:rPr>
                <w:sz w:val="6"/>
                <w:szCs w:val="6"/>
                <w:color w:val="auto"/>
              </w:rPr>
            </w:pPr>
          </w:p>
        </w:tc>
        <w:tc>
          <w:tcPr>
            <w:tcW w:w="320" w:type="dxa"/>
            <w:vAlign w:val="bottom"/>
            <w:tcBorders>
              <w:bottom w:val="single" w:sz="8" w:color="181818"/>
            </w:tcBorders>
            <w:shd w:val="clear" w:color="auto" w:fill="09314A"/>
          </w:tcPr>
          <w:p>
            <w:pPr>
              <w:spacing w:after="0"/>
              <w:rPr>
                <w:sz w:val="6"/>
                <w:szCs w:val="6"/>
                <w:color w:val="auto"/>
              </w:rPr>
            </w:pPr>
          </w:p>
        </w:tc>
        <w:tc>
          <w:tcPr>
            <w:tcW w:w="1160" w:type="dxa"/>
            <w:vAlign w:val="bottom"/>
            <w:tcBorders>
              <w:bottom w:val="single" w:sz="8" w:color="181818"/>
            </w:tcBorders>
            <w:shd w:val="clear" w:color="auto" w:fill="09314A"/>
          </w:tcPr>
          <w:p>
            <w:pPr>
              <w:spacing w:after="0"/>
              <w:rPr>
                <w:sz w:val="6"/>
                <w:szCs w:val="6"/>
                <w:color w:val="auto"/>
              </w:rPr>
            </w:pPr>
          </w:p>
        </w:tc>
        <w:tc>
          <w:tcPr>
            <w:tcW w:w="780" w:type="dxa"/>
            <w:vAlign w:val="bottom"/>
            <w:tcBorders>
              <w:bottom w:val="single" w:sz="8" w:color="181818"/>
            </w:tcBorders>
            <w:shd w:val="clear" w:color="auto" w:fill="09314A"/>
          </w:tcPr>
          <w:p>
            <w:pPr>
              <w:spacing w:after="0"/>
              <w:rPr>
                <w:sz w:val="6"/>
                <w:szCs w:val="6"/>
                <w:color w:val="auto"/>
              </w:rPr>
            </w:pPr>
          </w:p>
        </w:tc>
        <w:tc>
          <w:tcPr>
            <w:tcW w:w="960" w:type="dxa"/>
            <w:vAlign w:val="bottom"/>
            <w:tcBorders>
              <w:bottom w:val="single" w:sz="8" w:color="181818"/>
              <w:right w:val="single" w:sz="8" w:color="181818"/>
            </w:tcBorders>
            <w:shd w:val="clear" w:color="auto" w:fill="09314A"/>
          </w:tcPr>
          <w:p>
            <w:pPr>
              <w:spacing w:after="0"/>
              <w:rPr>
                <w:sz w:val="6"/>
                <w:szCs w:val="6"/>
                <w:color w:val="auto"/>
              </w:rPr>
            </w:pPr>
          </w:p>
        </w:tc>
        <w:tc>
          <w:tcPr>
            <w:tcW w:w="1020" w:type="dxa"/>
            <w:vAlign w:val="bottom"/>
            <w:tcBorders>
              <w:bottom w:val="single" w:sz="8" w:color="181818"/>
            </w:tcBorders>
            <w:shd w:val="clear" w:color="auto" w:fill="135368"/>
          </w:tcPr>
          <w:p>
            <w:pPr>
              <w:spacing w:after="0"/>
              <w:rPr>
                <w:sz w:val="6"/>
                <w:szCs w:val="6"/>
                <w:color w:val="auto"/>
              </w:rPr>
            </w:pPr>
          </w:p>
        </w:tc>
        <w:tc>
          <w:tcPr>
            <w:tcW w:w="800" w:type="dxa"/>
            <w:vAlign w:val="bottom"/>
            <w:tcBorders>
              <w:bottom w:val="single" w:sz="8" w:color="181818"/>
            </w:tcBorders>
            <w:shd w:val="clear" w:color="auto" w:fill="135368"/>
          </w:tcPr>
          <w:p>
            <w:pPr>
              <w:spacing w:after="0"/>
              <w:rPr>
                <w:sz w:val="6"/>
                <w:szCs w:val="6"/>
                <w:color w:val="auto"/>
              </w:rPr>
            </w:pPr>
          </w:p>
        </w:tc>
        <w:tc>
          <w:tcPr>
            <w:tcW w:w="1500" w:type="dxa"/>
            <w:vAlign w:val="bottom"/>
            <w:tcBorders>
              <w:bottom w:val="single" w:sz="8" w:color="181818"/>
            </w:tcBorders>
            <w:shd w:val="clear" w:color="auto" w:fill="135368"/>
          </w:tcPr>
          <w:p>
            <w:pPr>
              <w:spacing w:after="0"/>
              <w:rPr>
                <w:sz w:val="6"/>
                <w:szCs w:val="6"/>
                <w:color w:val="auto"/>
              </w:rPr>
            </w:pPr>
          </w:p>
        </w:tc>
        <w:tc>
          <w:tcPr>
            <w:tcW w:w="1300" w:type="dxa"/>
            <w:vAlign w:val="bottom"/>
            <w:tcBorders>
              <w:bottom w:val="single" w:sz="8" w:color="181818"/>
              <w:right w:val="single" w:sz="8" w:color="181818"/>
            </w:tcBorders>
            <w:shd w:val="clear" w:color="auto" w:fill="135368"/>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1180" w:type="dxa"/>
            <w:vAlign w:val="bottom"/>
            <w:tcBorders>
              <w:left w:val="single" w:sz="8" w:color="181818"/>
              <w:right w:val="single" w:sz="8" w:color="1B6F80"/>
            </w:tcBorders>
            <w:shd w:val="clear" w:color="auto" w:fill="1B6F80"/>
          </w:tcPr>
          <w:p>
            <w:pPr>
              <w:spacing w:after="0"/>
              <w:rPr>
                <w:sz w:val="13"/>
                <w:szCs w:val="13"/>
                <w:color w:val="auto"/>
              </w:rPr>
            </w:pPr>
          </w:p>
        </w:tc>
        <w:tc>
          <w:tcPr>
            <w:tcW w:w="1220" w:type="dxa"/>
            <w:vAlign w:val="bottom"/>
            <w:shd w:val="clear" w:color="auto" w:fill="1B6F80"/>
          </w:tcPr>
          <w:p>
            <w:pPr>
              <w:spacing w:after="0"/>
              <w:rPr>
                <w:sz w:val="13"/>
                <w:szCs w:val="13"/>
                <w:color w:val="auto"/>
              </w:rPr>
            </w:pPr>
          </w:p>
        </w:tc>
        <w:tc>
          <w:tcPr>
            <w:tcW w:w="1040" w:type="dxa"/>
            <w:vAlign w:val="bottom"/>
            <w:shd w:val="clear" w:color="auto" w:fill="1B6F80"/>
          </w:tcPr>
          <w:p>
            <w:pPr>
              <w:spacing w:after="0"/>
              <w:rPr>
                <w:sz w:val="13"/>
                <w:szCs w:val="13"/>
                <w:color w:val="auto"/>
              </w:rPr>
            </w:pPr>
          </w:p>
        </w:tc>
        <w:tc>
          <w:tcPr>
            <w:tcW w:w="320" w:type="dxa"/>
            <w:vAlign w:val="bottom"/>
            <w:shd w:val="clear" w:color="auto" w:fill="1B6F80"/>
          </w:tcPr>
          <w:p>
            <w:pPr>
              <w:spacing w:after="0"/>
              <w:rPr>
                <w:sz w:val="13"/>
                <w:szCs w:val="13"/>
                <w:color w:val="auto"/>
              </w:rPr>
            </w:pPr>
          </w:p>
        </w:tc>
        <w:tc>
          <w:tcPr>
            <w:tcW w:w="116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Equity</w:t>
            </w:r>
          </w:p>
        </w:tc>
        <w:tc>
          <w:tcPr>
            <w:tcW w:w="780" w:type="dxa"/>
            <w:vAlign w:val="bottom"/>
            <w:shd w:val="clear" w:color="auto" w:fill="1B6F80"/>
          </w:tcPr>
          <w:p>
            <w:pPr>
              <w:spacing w:after="0"/>
              <w:rPr>
                <w:sz w:val="13"/>
                <w:szCs w:val="13"/>
                <w:color w:val="auto"/>
              </w:rPr>
            </w:pPr>
          </w:p>
        </w:tc>
        <w:tc>
          <w:tcPr>
            <w:tcW w:w="960" w:type="dxa"/>
            <w:vAlign w:val="bottom"/>
            <w:tcBorders>
              <w:right w:val="single" w:sz="8" w:color="1B6F80"/>
            </w:tcBorders>
            <w:shd w:val="clear" w:color="auto" w:fill="1B6F80"/>
          </w:tcPr>
          <w:p>
            <w:pPr>
              <w:spacing w:after="0"/>
              <w:rPr>
                <w:sz w:val="13"/>
                <w:szCs w:val="13"/>
                <w:color w:val="auto"/>
              </w:rPr>
            </w:pPr>
          </w:p>
        </w:tc>
        <w:tc>
          <w:tcPr>
            <w:tcW w:w="1020" w:type="dxa"/>
            <w:vAlign w:val="bottom"/>
            <w:shd w:val="clear" w:color="auto" w:fill="1B6F80"/>
          </w:tcPr>
          <w:p>
            <w:pPr>
              <w:spacing w:after="0"/>
              <w:rPr>
                <w:sz w:val="13"/>
                <w:szCs w:val="13"/>
                <w:color w:val="auto"/>
              </w:rPr>
            </w:pPr>
          </w:p>
        </w:tc>
        <w:tc>
          <w:tcPr>
            <w:tcW w:w="800" w:type="dxa"/>
            <w:vAlign w:val="bottom"/>
            <w:shd w:val="clear" w:color="auto" w:fill="1B6F80"/>
          </w:tcPr>
          <w:p>
            <w:pPr>
              <w:spacing w:after="0"/>
              <w:rPr>
                <w:sz w:val="13"/>
                <w:szCs w:val="13"/>
                <w:color w:val="auto"/>
              </w:rPr>
            </w:pPr>
          </w:p>
        </w:tc>
        <w:tc>
          <w:tcPr>
            <w:tcW w:w="1500" w:type="dxa"/>
            <w:vAlign w:val="bottom"/>
            <w:shd w:val="clear" w:color="auto" w:fill="1B6F80"/>
          </w:tcPr>
          <w:p>
            <w:pPr>
              <w:jc w:val="right"/>
              <w:ind w:right="157"/>
              <w:spacing w:after="0"/>
              <w:rPr>
                <w:sz w:val="20"/>
                <w:szCs w:val="20"/>
                <w:color w:val="auto"/>
              </w:rPr>
            </w:pPr>
            <w:r>
              <w:rPr>
                <w:rFonts w:ascii="Arial" w:cs="Arial" w:eastAsia="Arial" w:hAnsi="Arial"/>
                <w:sz w:val="13"/>
                <w:szCs w:val="13"/>
                <w:b w:val="1"/>
                <w:bCs w:val="1"/>
                <w:color w:val="FFFFFF"/>
              </w:rPr>
              <w:t>Equity</w:t>
            </w:r>
          </w:p>
        </w:tc>
        <w:tc>
          <w:tcPr>
            <w:tcW w:w="1300" w:type="dxa"/>
            <w:vAlign w:val="bottom"/>
            <w:tcBorders>
              <w:right w:val="single" w:sz="8" w:color="181818"/>
            </w:tcBorders>
            <w:shd w:val="clear" w:color="auto" w:fill="1B6F80"/>
          </w:tcPr>
          <w:p>
            <w:pPr>
              <w:jc w:val="right"/>
              <w:ind w:right="79"/>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49"/>
        </w:trPr>
        <w:tc>
          <w:tcPr>
            <w:tcW w:w="1180" w:type="dxa"/>
            <w:vAlign w:val="bottom"/>
            <w:tcBorders>
              <w:left w:val="single" w:sz="8" w:color="181818"/>
              <w:right w:val="single" w:sz="8" w:color="1B6F80"/>
            </w:tcBorders>
            <w:shd w:val="clear" w:color="auto" w:fill="1B6F80"/>
          </w:tcPr>
          <w:p>
            <w:pPr>
              <w:spacing w:after="0"/>
              <w:rPr>
                <w:sz w:val="12"/>
                <w:szCs w:val="12"/>
                <w:color w:val="auto"/>
              </w:rPr>
            </w:pPr>
          </w:p>
        </w:tc>
        <w:tc>
          <w:tcPr>
            <w:tcW w:w="1220" w:type="dxa"/>
            <w:vAlign w:val="bottom"/>
            <w:shd w:val="clear" w:color="auto" w:fill="1B6F80"/>
          </w:tcPr>
          <w:p>
            <w:pPr>
              <w:spacing w:after="0"/>
              <w:rPr>
                <w:sz w:val="12"/>
                <w:szCs w:val="12"/>
                <w:color w:val="auto"/>
              </w:rPr>
            </w:pPr>
          </w:p>
        </w:tc>
        <w:tc>
          <w:tcPr>
            <w:tcW w:w="1040" w:type="dxa"/>
            <w:vAlign w:val="bottom"/>
            <w:shd w:val="clear" w:color="auto" w:fill="1B6F80"/>
          </w:tcPr>
          <w:p>
            <w:pPr>
              <w:spacing w:after="0"/>
              <w:rPr>
                <w:sz w:val="12"/>
                <w:szCs w:val="12"/>
                <w:color w:val="auto"/>
              </w:rPr>
            </w:pPr>
          </w:p>
        </w:tc>
        <w:tc>
          <w:tcPr>
            <w:tcW w:w="320" w:type="dxa"/>
            <w:vAlign w:val="bottom"/>
            <w:shd w:val="clear" w:color="auto" w:fill="1B6F80"/>
          </w:tcPr>
          <w:p>
            <w:pPr>
              <w:spacing w:after="0"/>
              <w:rPr>
                <w:sz w:val="12"/>
                <w:szCs w:val="12"/>
                <w:color w:val="auto"/>
              </w:rPr>
            </w:pPr>
          </w:p>
        </w:tc>
        <w:tc>
          <w:tcPr>
            <w:tcW w:w="116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Incentive</w:t>
            </w:r>
          </w:p>
        </w:tc>
        <w:tc>
          <w:tcPr>
            <w:tcW w:w="780" w:type="dxa"/>
            <w:vAlign w:val="bottom"/>
            <w:shd w:val="clear" w:color="auto" w:fill="1B6F80"/>
          </w:tcPr>
          <w:p>
            <w:pPr>
              <w:spacing w:after="0"/>
              <w:rPr>
                <w:sz w:val="12"/>
                <w:szCs w:val="12"/>
                <w:color w:val="auto"/>
              </w:rPr>
            </w:pPr>
          </w:p>
        </w:tc>
        <w:tc>
          <w:tcPr>
            <w:tcW w:w="960" w:type="dxa"/>
            <w:vAlign w:val="bottom"/>
            <w:tcBorders>
              <w:right w:val="single" w:sz="8" w:color="1B6F80"/>
            </w:tcBorders>
            <w:shd w:val="clear" w:color="auto" w:fill="1B6F80"/>
          </w:tcPr>
          <w:p>
            <w:pPr>
              <w:spacing w:after="0"/>
              <w:rPr>
                <w:sz w:val="12"/>
                <w:szCs w:val="12"/>
                <w:color w:val="auto"/>
              </w:rPr>
            </w:pPr>
          </w:p>
        </w:tc>
        <w:tc>
          <w:tcPr>
            <w:tcW w:w="1020" w:type="dxa"/>
            <w:vAlign w:val="bottom"/>
            <w:shd w:val="clear" w:color="auto" w:fill="1B6F80"/>
          </w:tcPr>
          <w:p>
            <w:pPr>
              <w:spacing w:after="0"/>
              <w:rPr>
                <w:sz w:val="12"/>
                <w:szCs w:val="12"/>
                <w:color w:val="auto"/>
              </w:rPr>
            </w:pP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Market</w:t>
            </w:r>
          </w:p>
        </w:tc>
        <w:tc>
          <w:tcPr>
            <w:tcW w:w="1500" w:type="dxa"/>
            <w:vAlign w:val="bottom"/>
            <w:shd w:val="clear" w:color="auto" w:fill="1B6F80"/>
          </w:tcPr>
          <w:p>
            <w:pPr>
              <w:jc w:val="right"/>
              <w:ind w:right="157"/>
              <w:spacing w:after="0"/>
              <w:rPr>
                <w:sz w:val="20"/>
                <w:szCs w:val="20"/>
                <w:color w:val="auto"/>
              </w:rPr>
            </w:pPr>
            <w:r>
              <w:rPr>
                <w:rFonts w:ascii="Arial" w:cs="Arial" w:eastAsia="Arial" w:hAnsi="Arial"/>
                <w:sz w:val="13"/>
                <w:szCs w:val="13"/>
                <w:b w:val="1"/>
                <w:bCs w:val="1"/>
                <w:color w:val="FFFFFF"/>
              </w:rPr>
              <w:t>Incentive Plan</w:t>
            </w:r>
          </w:p>
        </w:tc>
        <w:tc>
          <w:tcPr>
            <w:tcW w:w="1300" w:type="dxa"/>
            <w:vAlign w:val="bottom"/>
            <w:tcBorders>
              <w:right w:val="single" w:sz="8" w:color="181818"/>
            </w:tcBorders>
            <w:shd w:val="clear" w:color="auto" w:fill="1B6F80"/>
          </w:tcPr>
          <w:p>
            <w:pPr>
              <w:jc w:val="right"/>
              <w:ind w:right="79"/>
              <w:spacing w:after="0"/>
              <w:rPr>
                <w:sz w:val="20"/>
                <w:szCs w:val="20"/>
                <w:color w:val="auto"/>
              </w:rPr>
            </w:pPr>
            <w:r>
              <w:rPr>
                <w:rFonts w:ascii="Arial" w:cs="Arial" w:eastAsia="Arial" w:hAnsi="Arial"/>
                <w:sz w:val="13"/>
                <w:szCs w:val="13"/>
                <w:b w:val="1"/>
                <w:bCs w:val="1"/>
                <w:color w:val="FFFFFF"/>
              </w:rPr>
              <w:t>Incentive Plan</w:t>
            </w:r>
          </w:p>
        </w:tc>
        <w:tc>
          <w:tcPr>
            <w:tcW w:w="0" w:type="dxa"/>
            <w:vAlign w:val="bottom"/>
          </w:tcPr>
          <w:p>
            <w:pPr>
              <w:spacing w:after="0"/>
              <w:rPr>
                <w:sz w:val="1"/>
                <w:szCs w:val="1"/>
                <w:color w:val="auto"/>
              </w:rPr>
            </w:pPr>
          </w:p>
        </w:tc>
      </w:tr>
      <w:tr>
        <w:trPr>
          <w:trHeight w:val="148"/>
        </w:trPr>
        <w:tc>
          <w:tcPr>
            <w:tcW w:w="1180" w:type="dxa"/>
            <w:vAlign w:val="bottom"/>
            <w:tcBorders>
              <w:left w:val="single" w:sz="8" w:color="181818"/>
              <w:right w:val="single" w:sz="8" w:color="1B6F80"/>
            </w:tcBorders>
            <w:shd w:val="clear" w:color="auto" w:fill="1B6F80"/>
          </w:tcPr>
          <w:p>
            <w:pPr>
              <w:spacing w:after="0"/>
              <w:rPr>
                <w:sz w:val="12"/>
                <w:szCs w:val="12"/>
                <w:color w:val="auto"/>
              </w:rPr>
            </w:pPr>
          </w:p>
        </w:tc>
        <w:tc>
          <w:tcPr>
            <w:tcW w:w="1220" w:type="dxa"/>
            <w:vAlign w:val="bottom"/>
            <w:shd w:val="clear" w:color="auto" w:fill="1B6F80"/>
          </w:tcPr>
          <w:p>
            <w:pPr>
              <w:spacing w:after="0"/>
              <w:rPr>
                <w:sz w:val="12"/>
                <w:szCs w:val="12"/>
                <w:color w:val="auto"/>
              </w:rPr>
            </w:pPr>
          </w:p>
        </w:tc>
        <w:tc>
          <w:tcPr>
            <w:tcW w:w="1040" w:type="dxa"/>
            <w:vAlign w:val="bottom"/>
            <w:shd w:val="clear" w:color="auto" w:fill="1B6F80"/>
          </w:tcPr>
          <w:p>
            <w:pPr>
              <w:spacing w:after="0"/>
              <w:rPr>
                <w:sz w:val="12"/>
                <w:szCs w:val="12"/>
                <w:color w:val="auto"/>
              </w:rPr>
            </w:pPr>
          </w:p>
        </w:tc>
        <w:tc>
          <w:tcPr>
            <w:tcW w:w="320" w:type="dxa"/>
            <w:vAlign w:val="bottom"/>
            <w:shd w:val="clear" w:color="auto" w:fill="1B6F80"/>
          </w:tcPr>
          <w:p>
            <w:pPr>
              <w:spacing w:after="0"/>
              <w:rPr>
                <w:sz w:val="12"/>
                <w:szCs w:val="12"/>
                <w:color w:val="auto"/>
              </w:rPr>
            </w:pPr>
          </w:p>
        </w:tc>
        <w:tc>
          <w:tcPr>
            <w:tcW w:w="116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Plan Awards:</w:t>
            </w:r>
          </w:p>
        </w:tc>
        <w:tc>
          <w:tcPr>
            <w:tcW w:w="780" w:type="dxa"/>
            <w:vAlign w:val="bottom"/>
            <w:shd w:val="clear" w:color="auto" w:fill="1B6F80"/>
          </w:tcPr>
          <w:p>
            <w:pPr>
              <w:spacing w:after="0"/>
              <w:rPr>
                <w:sz w:val="12"/>
                <w:szCs w:val="12"/>
                <w:color w:val="auto"/>
              </w:rPr>
            </w:pPr>
          </w:p>
        </w:tc>
        <w:tc>
          <w:tcPr>
            <w:tcW w:w="960" w:type="dxa"/>
            <w:vAlign w:val="bottom"/>
            <w:tcBorders>
              <w:right w:val="single" w:sz="8" w:color="1B6F80"/>
            </w:tcBorders>
            <w:shd w:val="clear" w:color="auto" w:fill="1B6F80"/>
          </w:tcPr>
          <w:p>
            <w:pPr>
              <w:spacing w:after="0"/>
              <w:rPr>
                <w:sz w:val="12"/>
                <w:szCs w:val="12"/>
                <w:color w:val="auto"/>
              </w:rPr>
            </w:pPr>
          </w:p>
        </w:tc>
        <w:tc>
          <w:tcPr>
            <w:tcW w:w="102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Number</w:t>
            </w: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Value of</w:t>
            </w:r>
          </w:p>
        </w:tc>
        <w:tc>
          <w:tcPr>
            <w:tcW w:w="1500" w:type="dxa"/>
            <w:vAlign w:val="bottom"/>
            <w:shd w:val="clear" w:color="auto" w:fill="1B6F80"/>
          </w:tcPr>
          <w:p>
            <w:pPr>
              <w:jc w:val="right"/>
              <w:ind w:right="157"/>
              <w:spacing w:after="0"/>
              <w:rPr>
                <w:sz w:val="20"/>
                <w:szCs w:val="20"/>
                <w:color w:val="auto"/>
              </w:rPr>
            </w:pPr>
            <w:r>
              <w:rPr>
                <w:rFonts w:ascii="Arial" w:cs="Arial" w:eastAsia="Arial" w:hAnsi="Arial"/>
                <w:sz w:val="13"/>
                <w:szCs w:val="13"/>
                <w:b w:val="1"/>
                <w:bCs w:val="1"/>
                <w:color w:val="FFFFFF"/>
              </w:rPr>
              <w:t>Awards:</w:t>
            </w:r>
          </w:p>
        </w:tc>
        <w:tc>
          <w:tcPr>
            <w:tcW w:w="1300" w:type="dxa"/>
            <w:vAlign w:val="bottom"/>
            <w:tcBorders>
              <w:right w:val="single" w:sz="8" w:color="181818"/>
            </w:tcBorders>
            <w:shd w:val="clear" w:color="auto" w:fill="1B6F80"/>
          </w:tcPr>
          <w:p>
            <w:pPr>
              <w:jc w:val="right"/>
              <w:ind w:right="79"/>
              <w:spacing w:after="0"/>
              <w:rPr>
                <w:sz w:val="20"/>
                <w:szCs w:val="20"/>
                <w:color w:val="auto"/>
              </w:rPr>
            </w:pPr>
            <w:r>
              <w:rPr>
                <w:rFonts w:ascii="Arial" w:cs="Arial" w:eastAsia="Arial" w:hAnsi="Arial"/>
                <w:sz w:val="13"/>
                <w:szCs w:val="13"/>
                <w:b w:val="1"/>
                <w:bCs w:val="1"/>
                <w:color w:val="FFFFFF"/>
              </w:rPr>
              <w:t>Awards: Market</w:t>
            </w:r>
          </w:p>
        </w:tc>
        <w:tc>
          <w:tcPr>
            <w:tcW w:w="0" w:type="dxa"/>
            <w:vAlign w:val="bottom"/>
          </w:tcPr>
          <w:p>
            <w:pPr>
              <w:spacing w:after="0"/>
              <w:rPr>
                <w:sz w:val="1"/>
                <w:szCs w:val="1"/>
                <w:color w:val="auto"/>
              </w:rPr>
            </w:pPr>
          </w:p>
        </w:tc>
      </w:tr>
      <w:tr>
        <w:trPr>
          <w:trHeight w:val="148"/>
        </w:trPr>
        <w:tc>
          <w:tcPr>
            <w:tcW w:w="1180" w:type="dxa"/>
            <w:vAlign w:val="bottom"/>
            <w:tcBorders>
              <w:left w:val="single" w:sz="8" w:color="181818"/>
              <w:right w:val="single" w:sz="8" w:color="1B6F80"/>
            </w:tcBorders>
            <w:shd w:val="clear" w:color="auto" w:fill="1B6F80"/>
          </w:tcPr>
          <w:p>
            <w:pPr>
              <w:spacing w:after="0"/>
              <w:rPr>
                <w:sz w:val="12"/>
                <w:szCs w:val="12"/>
                <w:color w:val="auto"/>
              </w:rPr>
            </w:pPr>
          </w:p>
        </w:tc>
        <w:tc>
          <w:tcPr>
            <w:tcW w:w="1220" w:type="dxa"/>
            <w:vAlign w:val="bottom"/>
            <w:shd w:val="clear" w:color="auto" w:fill="1B6F80"/>
          </w:tcPr>
          <w:p>
            <w:pPr>
              <w:spacing w:after="0"/>
              <w:rPr>
                <w:sz w:val="12"/>
                <w:szCs w:val="12"/>
                <w:color w:val="auto"/>
              </w:rPr>
            </w:pPr>
          </w:p>
        </w:tc>
        <w:tc>
          <w:tcPr>
            <w:tcW w:w="1040" w:type="dxa"/>
            <w:vAlign w:val="bottom"/>
            <w:shd w:val="clear" w:color="auto" w:fill="1B6F80"/>
          </w:tcPr>
          <w:p>
            <w:pPr>
              <w:spacing w:after="0"/>
              <w:rPr>
                <w:sz w:val="12"/>
                <w:szCs w:val="12"/>
                <w:color w:val="auto"/>
              </w:rPr>
            </w:pPr>
          </w:p>
        </w:tc>
        <w:tc>
          <w:tcPr>
            <w:tcW w:w="320" w:type="dxa"/>
            <w:vAlign w:val="bottom"/>
            <w:shd w:val="clear" w:color="auto" w:fill="1B6F80"/>
          </w:tcPr>
          <w:p>
            <w:pPr>
              <w:spacing w:after="0"/>
              <w:rPr>
                <w:sz w:val="12"/>
                <w:szCs w:val="12"/>
                <w:color w:val="auto"/>
              </w:rPr>
            </w:pPr>
          </w:p>
        </w:tc>
        <w:tc>
          <w:tcPr>
            <w:tcW w:w="116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Number of</w:t>
            </w:r>
          </w:p>
        </w:tc>
        <w:tc>
          <w:tcPr>
            <w:tcW w:w="780" w:type="dxa"/>
            <w:vAlign w:val="bottom"/>
            <w:shd w:val="clear" w:color="auto" w:fill="1B6F80"/>
          </w:tcPr>
          <w:p>
            <w:pPr>
              <w:spacing w:after="0"/>
              <w:rPr>
                <w:sz w:val="12"/>
                <w:szCs w:val="12"/>
                <w:color w:val="auto"/>
              </w:rPr>
            </w:pPr>
          </w:p>
        </w:tc>
        <w:tc>
          <w:tcPr>
            <w:tcW w:w="960" w:type="dxa"/>
            <w:vAlign w:val="bottom"/>
            <w:tcBorders>
              <w:right w:val="single" w:sz="8" w:color="1B6F80"/>
            </w:tcBorders>
            <w:shd w:val="clear" w:color="auto" w:fill="1B6F80"/>
          </w:tcPr>
          <w:p>
            <w:pPr>
              <w:spacing w:after="0"/>
              <w:rPr>
                <w:sz w:val="12"/>
                <w:szCs w:val="12"/>
                <w:color w:val="auto"/>
              </w:rPr>
            </w:pPr>
          </w:p>
        </w:tc>
        <w:tc>
          <w:tcPr>
            <w:tcW w:w="102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of Shares</w:t>
            </w: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Shares or</w:t>
            </w:r>
          </w:p>
        </w:tc>
        <w:tc>
          <w:tcPr>
            <w:tcW w:w="1500" w:type="dxa"/>
            <w:vAlign w:val="bottom"/>
            <w:shd w:val="clear" w:color="auto" w:fill="1B6F80"/>
          </w:tcPr>
          <w:p>
            <w:pPr>
              <w:jc w:val="right"/>
              <w:ind w:right="157"/>
              <w:spacing w:after="0"/>
              <w:rPr>
                <w:sz w:val="20"/>
                <w:szCs w:val="20"/>
                <w:color w:val="auto"/>
              </w:rPr>
            </w:pPr>
            <w:r>
              <w:rPr>
                <w:rFonts w:ascii="Arial" w:cs="Arial" w:eastAsia="Arial" w:hAnsi="Arial"/>
                <w:sz w:val="13"/>
                <w:szCs w:val="13"/>
                <w:b w:val="1"/>
                <w:bCs w:val="1"/>
                <w:color w:val="FFFFFF"/>
              </w:rPr>
              <w:t>Number of</w:t>
            </w:r>
          </w:p>
        </w:tc>
        <w:tc>
          <w:tcPr>
            <w:tcW w:w="1300" w:type="dxa"/>
            <w:vAlign w:val="bottom"/>
            <w:tcBorders>
              <w:right w:val="single" w:sz="8" w:color="181818"/>
            </w:tcBorders>
            <w:shd w:val="clear" w:color="auto" w:fill="1B6F80"/>
          </w:tcPr>
          <w:p>
            <w:pPr>
              <w:jc w:val="right"/>
              <w:ind w:right="79"/>
              <w:spacing w:after="0"/>
              <w:rPr>
                <w:sz w:val="20"/>
                <w:szCs w:val="20"/>
                <w:color w:val="auto"/>
              </w:rPr>
            </w:pPr>
            <w:r>
              <w:rPr>
                <w:rFonts w:ascii="Arial" w:cs="Arial" w:eastAsia="Arial" w:hAnsi="Arial"/>
                <w:sz w:val="13"/>
                <w:szCs w:val="13"/>
                <w:b w:val="1"/>
                <w:bCs w:val="1"/>
                <w:color w:val="FFFFFF"/>
              </w:rPr>
              <w:t>or Payout Value</w:t>
            </w:r>
          </w:p>
        </w:tc>
        <w:tc>
          <w:tcPr>
            <w:tcW w:w="0" w:type="dxa"/>
            <w:vAlign w:val="bottom"/>
          </w:tcPr>
          <w:p>
            <w:pPr>
              <w:spacing w:after="0"/>
              <w:rPr>
                <w:sz w:val="1"/>
                <w:szCs w:val="1"/>
                <w:color w:val="auto"/>
              </w:rPr>
            </w:pPr>
          </w:p>
        </w:tc>
      </w:tr>
      <w:tr>
        <w:trPr>
          <w:trHeight w:val="148"/>
        </w:trPr>
        <w:tc>
          <w:tcPr>
            <w:tcW w:w="1180" w:type="dxa"/>
            <w:vAlign w:val="bottom"/>
            <w:tcBorders>
              <w:left w:val="single" w:sz="8" w:color="181818"/>
              <w:right w:val="single" w:sz="8" w:color="1B6F80"/>
            </w:tcBorders>
            <w:shd w:val="clear" w:color="auto" w:fill="1B6F80"/>
          </w:tcPr>
          <w:p>
            <w:pPr>
              <w:spacing w:after="0"/>
              <w:rPr>
                <w:sz w:val="12"/>
                <w:szCs w:val="12"/>
                <w:color w:val="auto"/>
              </w:rPr>
            </w:pPr>
          </w:p>
        </w:tc>
        <w:tc>
          <w:tcPr>
            <w:tcW w:w="1220" w:type="dxa"/>
            <w:vAlign w:val="bottom"/>
            <w:shd w:val="clear" w:color="auto" w:fill="1B6F80"/>
          </w:tcPr>
          <w:p>
            <w:pPr>
              <w:jc w:val="right"/>
              <w:ind w:right="57"/>
              <w:spacing w:after="0"/>
              <w:rPr>
                <w:sz w:val="20"/>
                <w:szCs w:val="20"/>
                <w:color w:val="auto"/>
              </w:rPr>
            </w:pPr>
            <w:r>
              <w:rPr>
                <w:rFonts w:ascii="Arial" w:cs="Arial" w:eastAsia="Arial" w:hAnsi="Arial"/>
                <w:sz w:val="13"/>
                <w:szCs w:val="13"/>
                <w:b w:val="1"/>
                <w:bCs w:val="1"/>
                <w:color w:val="FFFFFF"/>
              </w:rPr>
              <w:t>Number of</w:t>
            </w:r>
          </w:p>
        </w:tc>
        <w:tc>
          <w:tcPr>
            <w:tcW w:w="1360" w:type="dxa"/>
            <w:vAlign w:val="bottom"/>
            <w:gridSpan w:val="2"/>
            <w:shd w:val="clear" w:color="auto" w:fill="1B6F80"/>
          </w:tcPr>
          <w:p>
            <w:pPr>
              <w:jc w:val="right"/>
              <w:ind w:right="149"/>
              <w:spacing w:after="0"/>
              <w:rPr>
                <w:sz w:val="20"/>
                <w:szCs w:val="20"/>
                <w:color w:val="auto"/>
              </w:rPr>
            </w:pPr>
            <w:r>
              <w:rPr>
                <w:rFonts w:ascii="Arial" w:cs="Arial" w:eastAsia="Arial" w:hAnsi="Arial"/>
                <w:sz w:val="13"/>
                <w:szCs w:val="13"/>
                <w:b w:val="1"/>
                <w:bCs w:val="1"/>
                <w:color w:val="FFFFFF"/>
              </w:rPr>
              <w:t>Number of</w:t>
            </w:r>
          </w:p>
        </w:tc>
        <w:tc>
          <w:tcPr>
            <w:tcW w:w="116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Securities</w:t>
            </w:r>
          </w:p>
        </w:tc>
        <w:tc>
          <w:tcPr>
            <w:tcW w:w="780" w:type="dxa"/>
            <w:vAlign w:val="bottom"/>
            <w:shd w:val="clear" w:color="auto" w:fill="1B6F80"/>
          </w:tcPr>
          <w:p>
            <w:pPr>
              <w:spacing w:after="0"/>
              <w:rPr>
                <w:sz w:val="12"/>
                <w:szCs w:val="12"/>
                <w:color w:val="auto"/>
              </w:rPr>
            </w:pPr>
          </w:p>
        </w:tc>
        <w:tc>
          <w:tcPr>
            <w:tcW w:w="960" w:type="dxa"/>
            <w:vAlign w:val="bottom"/>
            <w:tcBorders>
              <w:right w:val="single" w:sz="8" w:color="1B6F80"/>
            </w:tcBorders>
            <w:shd w:val="clear" w:color="auto" w:fill="1B6F80"/>
          </w:tcPr>
          <w:p>
            <w:pPr>
              <w:spacing w:after="0"/>
              <w:rPr>
                <w:sz w:val="12"/>
                <w:szCs w:val="12"/>
                <w:color w:val="auto"/>
              </w:rPr>
            </w:pPr>
          </w:p>
        </w:tc>
        <w:tc>
          <w:tcPr>
            <w:tcW w:w="102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or Units</w:t>
            </w: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Units of</w:t>
            </w:r>
          </w:p>
        </w:tc>
        <w:tc>
          <w:tcPr>
            <w:tcW w:w="1500" w:type="dxa"/>
            <w:vAlign w:val="bottom"/>
            <w:shd w:val="clear" w:color="auto" w:fill="1B6F80"/>
          </w:tcPr>
          <w:p>
            <w:pPr>
              <w:jc w:val="right"/>
              <w:ind w:right="157"/>
              <w:spacing w:after="0"/>
              <w:rPr>
                <w:sz w:val="20"/>
                <w:szCs w:val="20"/>
                <w:color w:val="auto"/>
              </w:rPr>
            </w:pPr>
            <w:r>
              <w:rPr>
                <w:rFonts w:ascii="Arial" w:cs="Arial" w:eastAsia="Arial" w:hAnsi="Arial"/>
                <w:sz w:val="13"/>
                <w:szCs w:val="13"/>
                <w:b w:val="1"/>
                <w:bCs w:val="1"/>
                <w:color w:val="FFFFFF"/>
              </w:rPr>
              <w:t>Unearned</w:t>
            </w:r>
          </w:p>
        </w:tc>
        <w:tc>
          <w:tcPr>
            <w:tcW w:w="1300" w:type="dxa"/>
            <w:vAlign w:val="bottom"/>
            <w:tcBorders>
              <w:right w:val="single" w:sz="8" w:color="181818"/>
            </w:tcBorders>
            <w:shd w:val="clear" w:color="auto" w:fill="1B6F80"/>
          </w:tcPr>
          <w:p>
            <w:pPr>
              <w:jc w:val="right"/>
              <w:ind w:right="79"/>
              <w:spacing w:after="0"/>
              <w:rPr>
                <w:sz w:val="20"/>
                <w:szCs w:val="20"/>
                <w:color w:val="auto"/>
              </w:rPr>
            </w:pPr>
            <w:r>
              <w:rPr>
                <w:rFonts w:ascii="Arial" w:cs="Arial" w:eastAsia="Arial" w:hAnsi="Arial"/>
                <w:sz w:val="13"/>
                <w:szCs w:val="13"/>
                <w:b w:val="1"/>
                <w:bCs w:val="1"/>
                <w:color w:val="FFFFFF"/>
              </w:rPr>
              <w:t>of Unearned</w:t>
            </w:r>
          </w:p>
        </w:tc>
        <w:tc>
          <w:tcPr>
            <w:tcW w:w="0" w:type="dxa"/>
            <w:vAlign w:val="bottom"/>
          </w:tcPr>
          <w:p>
            <w:pPr>
              <w:spacing w:after="0"/>
              <w:rPr>
                <w:sz w:val="1"/>
                <w:szCs w:val="1"/>
                <w:color w:val="auto"/>
              </w:rPr>
            </w:pPr>
          </w:p>
        </w:tc>
      </w:tr>
      <w:tr>
        <w:trPr>
          <w:trHeight w:val="162"/>
        </w:trPr>
        <w:tc>
          <w:tcPr>
            <w:tcW w:w="1180" w:type="dxa"/>
            <w:vAlign w:val="bottom"/>
            <w:tcBorders>
              <w:left w:val="single" w:sz="8" w:color="181818"/>
              <w:right w:val="single" w:sz="8" w:color="1B6F80"/>
            </w:tcBorders>
            <w:shd w:val="clear" w:color="auto" w:fill="1B6F80"/>
          </w:tcPr>
          <w:p>
            <w:pPr>
              <w:spacing w:after="0"/>
              <w:rPr>
                <w:sz w:val="14"/>
                <w:szCs w:val="14"/>
                <w:color w:val="auto"/>
              </w:rPr>
            </w:pPr>
          </w:p>
        </w:tc>
        <w:tc>
          <w:tcPr>
            <w:tcW w:w="1220" w:type="dxa"/>
            <w:vAlign w:val="bottom"/>
            <w:shd w:val="clear" w:color="auto" w:fill="1B6F80"/>
          </w:tcPr>
          <w:p>
            <w:pPr>
              <w:jc w:val="right"/>
              <w:ind w:right="57"/>
              <w:spacing w:after="0"/>
              <w:rPr>
                <w:sz w:val="20"/>
                <w:szCs w:val="20"/>
                <w:color w:val="auto"/>
              </w:rPr>
            </w:pPr>
            <w:r>
              <w:rPr>
                <w:rFonts w:ascii="Arial" w:cs="Arial" w:eastAsia="Arial" w:hAnsi="Arial"/>
                <w:sz w:val="13"/>
                <w:szCs w:val="13"/>
                <w:b w:val="1"/>
                <w:bCs w:val="1"/>
                <w:color w:val="FFFFFF"/>
              </w:rPr>
              <w:t>Securities</w:t>
            </w:r>
          </w:p>
        </w:tc>
        <w:tc>
          <w:tcPr>
            <w:tcW w:w="1360" w:type="dxa"/>
            <w:vAlign w:val="bottom"/>
            <w:gridSpan w:val="2"/>
            <w:shd w:val="clear" w:color="auto" w:fill="1B6F80"/>
          </w:tcPr>
          <w:p>
            <w:pPr>
              <w:jc w:val="right"/>
              <w:ind w:right="149"/>
              <w:spacing w:after="0"/>
              <w:rPr>
                <w:sz w:val="20"/>
                <w:szCs w:val="20"/>
                <w:color w:val="auto"/>
              </w:rPr>
            </w:pPr>
            <w:r>
              <w:rPr>
                <w:rFonts w:ascii="Arial" w:cs="Arial" w:eastAsia="Arial" w:hAnsi="Arial"/>
                <w:sz w:val="13"/>
                <w:szCs w:val="13"/>
                <w:b w:val="1"/>
                <w:bCs w:val="1"/>
                <w:color w:val="FFFFFF"/>
              </w:rPr>
              <w:t>Securities</w:t>
            </w:r>
          </w:p>
        </w:tc>
        <w:tc>
          <w:tcPr>
            <w:tcW w:w="116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Underlying</w:t>
            </w:r>
          </w:p>
        </w:tc>
        <w:tc>
          <w:tcPr>
            <w:tcW w:w="780" w:type="dxa"/>
            <w:vAlign w:val="bottom"/>
            <w:shd w:val="clear" w:color="auto" w:fill="1B6F80"/>
          </w:tcPr>
          <w:p>
            <w:pPr>
              <w:spacing w:after="0"/>
              <w:rPr>
                <w:sz w:val="14"/>
                <w:szCs w:val="14"/>
                <w:color w:val="auto"/>
              </w:rPr>
            </w:pPr>
          </w:p>
        </w:tc>
        <w:tc>
          <w:tcPr>
            <w:tcW w:w="960" w:type="dxa"/>
            <w:vAlign w:val="bottom"/>
            <w:tcBorders>
              <w:right w:val="single" w:sz="8" w:color="1B6F80"/>
            </w:tcBorders>
            <w:shd w:val="clear" w:color="auto" w:fill="1B6F80"/>
          </w:tcPr>
          <w:p>
            <w:pPr>
              <w:spacing w:after="0"/>
              <w:rPr>
                <w:sz w:val="14"/>
                <w:szCs w:val="14"/>
                <w:color w:val="auto"/>
              </w:rPr>
            </w:pPr>
          </w:p>
        </w:tc>
        <w:tc>
          <w:tcPr>
            <w:tcW w:w="102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of Stock</w:t>
            </w: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Stock</w:t>
            </w:r>
          </w:p>
        </w:tc>
        <w:tc>
          <w:tcPr>
            <w:tcW w:w="1500" w:type="dxa"/>
            <w:vAlign w:val="bottom"/>
            <w:shd w:val="clear" w:color="auto" w:fill="1B6F80"/>
          </w:tcPr>
          <w:p>
            <w:pPr>
              <w:jc w:val="right"/>
              <w:ind w:right="157"/>
              <w:spacing w:after="0"/>
              <w:rPr>
                <w:sz w:val="20"/>
                <w:szCs w:val="20"/>
                <w:color w:val="auto"/>
              </w:rPr>
            </w:pPr>
            <w:r>
              <w:rPr>
                <w:rFonts w:ascii="Arial" w:cs="Arial" w:eastAsia="Arial" w:hAnsi="Arial"/>
                <w:sz w:val="13"/>
                <w:szCs w:val="13"/>
                <w:b w:val="1"/>
                <w:bCs w:val="1"/>
                <w:color w:val="FFFFFF"/>
              </w:rPr>
              <w:t>Shares Units or</w:t>
            </w:r>
          </w:p>
        </w:tc>
        <w:tc>
          <w:tcPr>
            <w:tcW w:w="1300" w:type="dxa"/>
            <w:vAlign w:val="bottom"/>
            <w:tcBorders>
              <w:right w:val="single" w:sz="8" w:color="181818"/>
            </w:tcBorders>
            <w:shd w:val="clear" w:color="auto" w:fill="1B6F80"/>
          </w:tcPr>
          <w:p>
            <w:pPr>
              <w:jc w:val="right"/>
              <w:ind w:right="79"/>
              <w:spacing w:after="0"/>
              <w:rPr>
                <w:sz w:val="20"/>
                <w:szCs w:val="20"/>
                <w:color w:val="auto"/>
              </w:rPr>
            </w:pPr>
            <w:r>
              <w:rPr>
                <w:rFonts w:ascii="Arial" w:cs="Arial" w:eastAsia="Arial" w:hAnsi="Arial"/>
                <w:sz w:val="13"/>
                <w:szCs w:val="13"/>
                <w:b w:val="1"/>
                <w:bCs w:val="1"/>
                <w:color w:val="FFFFFF"/>
              </w:rPr>
              <w:t>Shares, Units or</w:t>
            </w:r>
          </w:p>
        </w:tc>
        <w:tc>
          <w:tcPr>
            <w:tcW w:w="0" w:type="dxa"/>
            <w:vAlign w:val="bottom"/>
          </w:tcPr>
          <w:p>
            <w:pPr>
              <w:spacing w:after="0"/>
              <w:rPr>
                <w:sz w:val="1"/>
                <w:szCs w:val="1"/>
                <w:color w:val="auto"/>
              </w:rPr>
            </w:pPr>
          </w:p>
        </w:tc>
      </w:tr>
      <w:tr>
        <w:trPr>
          <w:trHeight w:val="148"/>
        </w:trPr>
        <w:tc>
          <w:tcPr>
            <w:tcW w:w="1180" w:type="dxa"/>
            <w:vAlign w:val="bottom"/>
            <w:tcBorders>
              <w:left w:val="single" w:sz="8" w:color="181818"/>
              <w:right w:val="single" w:sz="8" w:color="1B6F80"/>
            </w:tcBorders>
            <w:shd w:val="clear" w:color="auto" w:fill="1B6F80"/>
          </w:tcPr>
          <w:p>
            <w:pPr>
              <w:spacing w:after="0"/>
              <w:rPr>
                <w:sz w:val="12"/>
                <w:szCs w:val="12"/>
                <w:color w:val="auto"/>
              </w:rPr>
            </w:pPr>
          </w:p>
        </w:tc>
        <w:tc>
          <w:tcPr>
            <w:tcW w:w="1220" w:type="dxa"/>
            <w:vAlign w:val="bottom"/>
            <w:shd w:val="clear" w:color="auto" w:fill="1B6F80"/>
          </w:tcPr>
          <w:p>
            <w:pPr>
              <w:jc w:val="right"/>
              <w:ind w:right="57"/>
              <w:spacing w:after="0"/>
              <w:rPr>
                <w:sz w:val="20"/>
                <w:szCs w:val="20"/>
                <w:color w:val="auto"/>
              </w:rPr>
            </w:pPr>
            <w:r>
              <w:rPr>
                <w:rFonts w:ascii="Arial" w:cs="Arial" w:eastAsia="Arial" w:hAnsi="Arial"/>
                <w:sz w:val="13"/>
                <w:szCs w:val="13"/>
                <w:b w:val="1"/>
                <w:bCs w:val="1"/>
                <w:color w:val="FFFFFF"/>
              </w:rPr>
              <w:t>Underlying</w:t>
            </w:r>
          </w:p>
        </w:tc>
        <w:tc>
          <w:tcPr>
            <w:tcW w:w="1360" w:type="dxa"/>
            <w:vAlign w:val="bottom"/>
            <w:gridSpan w:val="2"/>
            <w:shd w:val="clear" w:color="auto" w:fill="1B6F80"/>
          </w:tcPr>
          <w:p>
            <w:pPr>
              <w:jc w:val="right"/>
              <w:ind w:right="149"/>
              <w:spacing w:after="0"/>
              <w:rPr>
                <w:sz w:val="20"/>
                <w:szCs w:val="20"/>
                <w:color w:val="auto"/>
              </w:rPr>
            </w:pPr>
            <w:r>
              <w:rPr>
                <w:rFonts w:ascii="Arial" w:cs="Arial" w:eastAsia="Arial" w:hAnsi="Arial"/>
                <w:sz w:val="13"/>
                <w:szCs w:val="13"/>
                <w:b w:val="1"/>
                <w:bCs w:val="1"/>
                <w:color w:val="FFFFFF"/>
              </w:rPr>
              <w:t>Underlying</w:t>
            </w:r>
          </w:p>
        </w:tc>
        <w:tc>
          <w:tcPr>
            <w:tcW w:w="116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Unexercised</w:t>
            </w:r>
          </w:p>
        </w:tc>
        <w:tc>
          <w:tcPr>
            <w:tcW w:w="780" w:type="dxa"/>
            <w:vAlign w:val="bottom"/>
            <w:shd w:val="clear" w:color="auto" w:fill="1B6F80"/>
          </w:tcPr>
          <w:p>
            <w:pPr>
              <w:jc w:val="center"/>
              <w:ind w:left="117"/>
              <w:spacing w:after="0"/>
              <w:rPr>
                <w:sz w:val="20"/>
                <w:szCs w:val="20"/>
                <w:color w:val="auto"/>
              </w:rPr>
            </w:pPr>
            <w:r>
              <w:rPr>
                <w:rFonts w:ascii="Arial" w:cs="Arial" w:eastAsia="Arial" w:hAnsi="Arial"/>
                <w:sz w:val="13"/>
                <w:szCs w:val="13"/>
                <w:b w:val="1"/>
                <w:bCs w:val="1"/>
                <w:color w:val="FFFFFF"/>
                <w:w w:val="95"/>
              </w:rPr>
              <w:t>Option</w:t>
            </w:r>
          </w:p>
        </w:tc>
        <w:tc>
          <w:tcPr>
            <w:tcW w:w="960" w:type="dxa"/>
            <w:vAlign w:val="bottom"/>
            <w:tcBorders>
              <w:right w:val="single" w:sz="8" w:color="1B6F80"/>
            </w:tcBorders>
            <w:shd w:val="clear" w:color="auto" w:fill="1B6F80"/>
          </w:tcPr>
          <w:p>
            <w:pPr>
              <w:spacing w:after="0"/>
              <w:rPr>
                <w:sz w:val="12"/>
                <w:szCs w:val="12"/>
                <w:color w:val="auto"/>
              </w:rPr>
            </w:pPr>
          </w:p>
        </w:tc>
        <w:tc>
          <w:tcPr>
            <w:tcW w:w="102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That</w:t>
            </w: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That</w:t>
            </w:r>
          </w:p>
        </w:tc>
        <w:tc>
          <w:tcPr>
            <w:tcW w:w="1500" w:type="dxa"/>
            <w:vAlign w:val="bottom"/>
            <w:shd w:val="clear" w:color="auto" w:fill="1B6F80"/>
          </w:tcPr>
          <w:p>
            <w:pPr>
              <w:jc w:val="right"/>
              <w:ind w:right="157"/>
              <w:spacing w:after="0"/>
              <w:rPr>
                <w:sz w:val="20"/>
                <w:szCs w:val="20"/>
                <w:color w:val="auto"/>
              </w:rPr>
            </w:pPr>
            <w:r>
              <w:rPr>
                <w:rFonts w:ascii="Arial" w:cs="Arial" w:eastAsia="Arial" w:hAnsi="Arial"/>
                <w:sz w:val="13"/>
                <w:szCs w:val="13"/>
                <w:b w:val="1"/>
                <w:bCs w:val="1"/>
                <w:color w:val="FFFFFF"/>
              </w:rPr>
              <w:t>Other Rights</w:t>
            </w:r>
          </w:p>
        </w:tc>
        <w:tc>
          <w:tcPr>
            <w:tcW w:w="1300" w:type="dxa"/>
            <w:vAlign w:val="bottom"/>
            <w:tcBorders>
              <w:right w:val="single" w:sz="8" w:color="181818"/>
            </w:tcBorders>
            <w:shd w:val="clear" w:color="auto" w:fill="1B6F80"/>
          </w:tcPr>
          <w:p>
            <w:pPr>
              <w:jc w:val="right"/>
              <w:ind w:right="79"/>
              <w:spacing w:after="0"/>
              <w:rPr>
                <w:sz w:val="20"/>
                <w:szCs w:val="20"/>
                <w:color w:val="auto"/>
              </w:rPr>
            </w:pPr>
            <w:r>
              <w:rPr>
                <w:rFonts w:ascii="Arial" w:cs="Arial" w:eastAsia="Arial" w:hAnsi="Arial"/>
                <w:sz w:val="13"/>
                <w:szCs w:val="13"/>
                <w:b w:val="1"/>
                <w:bCs w:val="1"/>
                <w:color w:val="FFFFFF"/>
              </w:rPr>
              <w:t>Other Rights</w:t>
            </w:r>
          </w:p>
        </w:tc>
        <w:tc>
          <w:tcPr>
            <w:tcW w:w="0" w:type="dxa"/>
            <w:vAlign w:val="bottom"/>
          </w:tcPr>
          <w:p>
            <w:pPr>
              <w:spacing w:after="0"/>
              <w:rPr>
                <w:sz w:val="1"/>
                <w:szCs w:val="1"/>
                <w:color w:val="auto"/>
              </w:rPr>
            </w:pPr>
          </w:p>
        </w:tc>
      </w:tr>
      <w:tr>
        <w:trPr>
          <w:trHeight w:val="148"/>
        </w:trPr>
        <w:tc>
          <w:tcPr>
            <w:tcW w:w="1180" w:type="dxa"/>
            <w:vAlign w:val="bottom"/>
            <w:tcBorders>
              <w:left w:val="single" w:sz="8" w:color="181818"/>
              <w:right w:val="single" w:sz="8" w:color="1B6F80"/>
            </w:tcBorders>
            <w:shd w:val="clear" w:color="auto" w:fill="1B6F80"/>
          </w:tcPr>
          <w:p>
            <w:pPr>
              <w:spacing w:after="0"/>
              <w:rPr>
                <w:sz w:val="12"/>
                <w:szCs w:val="12"/>
                <w:color w:val="auto"/>
              </w:rPr>
            </w:pPr>
          </w:p>
        </w:tc>
        <w:tc>
          <w:tcPr>
            <w:tcW w:w="1220" w:type="dxa"/>
            <w:vAlign w:val="bottom"/>
            <w:shd w:val="clear" w:color="auto" w:fill="1B6F80"/>
          </w:tcPr>
          <w:p>
            <w:pPr>
              <w:jc w:val="right"/>
              <w:ind w:right="57"/>
              <w:spacing w:after="0"/>
              <w:rPr>
                <w:sz w:val="20"/>
                <w:szCs w:val="20"/>
                <w:color w:val="auto"/>
              </w:rPr>
            </w:pPr>
            <w:r>
              <w:rPr>
                <w:rFonts w:ascii="Arial" w:cs="Arial" w:eastAsia="Arial" w:hAnsi="Arial"/>
                <w:sz w:val="13"/>
                <w:szCs w:val="13"/>
                <w:b w:val="1"/>
                <w:bCs w:val="1"/>
                <w:color w:val="FFFFFF"/>
              </w:rPr>
              <w:t>Unexercised</w:t>
            </w:r>
          </w:p>
        </w:tc>
        <w:tc>
          <w:tcPr>
            <w:tcW w:w="1360" w:type="dxa"/>
            <w:vAlign w:val="bottom"/>
            <w:gridSpan w:val="2"/>
            <w:shd w:val="clear" w:color="auto" w:fill="1B6F80"/>
          </w:tcPr>
          <w:p>
            <w:pPr>
              <w:jc w:val="right"/>
              <w:ind w:right="149"/>
              <w:spacing w:after="0"/>
              <w:rPr>
                <w:sz w:val="20"/>
                <w:szCs w:val="20"/>
                <w:color w:val="auto"/>
              </w:rPr>
            </w:pPr>
            <w:r>
              <w:rPr>
                <w:rFonts w:ascii="Arial" w:cs="Arial" w:eastAsia="Arial" w:hAnsi="Arial"/>
                <w:sz w:val="13"/>
                <w:szCs w:val="13"/>
                <w:b w:val="1"/>
                <w:bCs w:val="1"/>
                <w:color w:val="FFFFFF"/>
              </w:rPr>
              <w:t>Unexercised</w:t>
            </w:r>
          </w:p>
        </w:tc>
        <w:tc>
          <w:tcPr>
            <w:tcW w:w="116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Unearned</w:t>
            </w:r>
          </w:p>
        </w:tc>
        <w:tc>
          <w:tcPr>
            <w:tcW w:w="780" w:type="dxa"/>
            <w:vAlign w:val="bottom"/>
            <w:shd w:val="clear" w:color="auto" w:fill="1B6F80"/>
          </w:tcPr>
          <w:p>
            <w:pPr>
              <w:jc w:val="right"/>
              <w:ind w:right="37"/>
              <w:spacing w:after="0"/>
              <w:rPr>
                <w:sz w:val="20"/>
                <w:szCs w:val="20"/>
                <w:color w:val="auto"/>
              </w:rPr>
            </w:pPr>
            <w:r>
              <w:rPr>
                <w:rFonts w:ascii="Arial" w:cs="Arial" w:eastAsia="Arial" w:hAnsi="Arial"/>
                <w:sz w:val="13"/>
                <w:szCs w:val="13"/>
                <w:b w:val="1"/>
                <w:bCs w:val="1"/>
                <w:color w:val="FFFFFF"/>
              </w:rPr>
              <w:t>Exercise</w:t>
            </w:r>
          </w:p>
        </w:tc>
        <w:tc>
          <w:tcPr>
            <w:tcW w:w="960" w:type="dxa"/>
            <w:vAlign w:val="bottom"/>
            <w:tcBorders>
              <w:right w:val="single" w:sz="8" w:color="1B6F80"/>
            </w:tcBorders>
            <w:shd w:val="clear" w:color="auto" w:fill="1B6F80"/>
          </w:tcPr>
          <w:p>
            <w:pPr>
              <w:jc w:val="center"/>
              <w:ind w:right="37"/>
              <w:spacing w:after="0"/>
              <w:rPr>
                <w:sz w:val="20"/>
                <w:szCs w:val="20"/>
                <w:color w:val="auto"/>
              </w:rPr>
            </w:pPr>
            <w:r>
              <w:rPr>
                <w:rFonts w:ascii="Arial" w:cs="Arial" w:eastAsia="Arial" w:hAnsi="Arial"/>
                <w:sz w:val="13"/>
                <w:szCs w:val="13"/>
                <w:b w:val="1"/>
                <w:bCs w:val="1"/>
                <w:color w:val="FFFFFF"/>
              </w:rPr>
              <w:t>Option</w:t>
            </w:r>
          </w:p>
        </w:tc>
        <w:tc>
          <w:tcPr>
            <w:tcW w:w="102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Have Not</w:t>
            </w: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Have Not</w:t>
            </w:r>
          </w:p>
        </w:tc>
        <w:tc>
          <w:tcPr>
            <w:tcW w:w="1500" w:type="dxa"/>
            <w:vAlign w:val="bottom"/>
            <w:shd w:val="clear" w:color="auto" w:fill="1B6F80"/>
          </w:tcPr>
          <w:p>
            <w:pPr>
              <w:jc w:val="right"/>
              <w:ind w:right="157"/>
              <w:spacing w:after="0"/>
              <w:rPr>
                <w:sz w:val="20"/>
                <w:szCs w:val="20"/>
                <w:color w:val="auto"/>
              </w:rPr>
            </w:pPr>
            <w:r>
              <w:rPr>
                <w:rFonts w:ascii="Arial" w:cs="Arial" w:eastAsia="Arial" w:hAnsi="Arial"/>
                <w:sz w:val="13"/>
                <w:szCs w:val="13"/>
                <w:b w:val="1"/>
                <w:bCs w:val="1"/>
                <w:color w:val="FFFFFF"/>
              </w:rPr>
              <w:t>That Have Not</w:t>
            </w:r>
          </w:p>
        </w:tc>
        <w:tc>
          <w:tcPr>
            <w:tcW w:w="1300" w:type="dxa"/>
            <w:vAlign w:val="bottom"/>
            <w:tcBorders>
              <w:right w:val="single" w:sz="8" w:color="181818"/>
            </w:tcBorders>
            <w:shd w:val="clear" w:color="auto" w:fill="1B6F80"/>
          </w:tcPr>
          <w:p>
            <w:pPr>
              <w:jc w:val="right"/>
              <w:ind w:right="79"/>
              <w:spacing w:after="0"/>
              <w:rPr>
                <w:sz w:val="20"/>
                <w:szCs w:val="20"/>
                <w:color w:val="auto"/>
              </w:rPr>
            </w:pPr>
            <w:r>
              <w:rPr>
                <w:rFonts w:ascii="Arial" w:cs="Arial" w:eastAsia="Arial" w:hAnsi="Arial"/>
                <w:sz w:val="13"/>
                <w:szCs w:val="13"/>
                <w:b w:val="1"/>
                <w:bCs w:val="1"/>
                <w:color w:val="FFFFFF"/>
              </w:rPr>
              <w:t>that Have not</w:t>
            </w:r>
          </w:p>
        </w:tc>
        <w:tc>
          <w:tcPr>
            <w:tcW w:w="0" w:type="dxa"/>
            <w:vAlign w:val="bottom"/>
          </w:tcPr>
          <w:p>
            <w:pPr>
              <w:spacing w:after="0"/>
              <w:rPr>
                <w:sz w:val="1"/>
                <w:szCs w:val="1"/>
                <w:color w:val="auto"/>
              </w:rPr>
            </w:pPr>
          </w:p>
        </w:tc>
      </w:tr>
      <w:tr>
        <w:trPr>
          <w:trHeight w:val="148"/>
        </w:trPr>
        <w:tc>
          <w:tcPr>
            <w:tcW w:w="1180" w:type="dxa"/>
            <w:vAlign w:val="bottom"/>
            <w:tcBorders>
              <w:left w:val="single" w:sz="8" w:color="181818"/>
              <w:right w:val="single" w:sz="8" w:color="1B6F80"/>
            </w:tcBorders>
            <w:shd w:val="clear" w:color="auto" w:fill="1B6F80"/>
          </w:tcPr>
          <w:p>
            <w:pPr>
              <w:spacing w:after="0"/>
              <w:rPr>
                <w:sz w:val="12"/>
                <w:szCs w:val="12"/>
                <w:color w:val="auto"/>
              </w:rPr>
            </w:pPr>
          </w:p>
        </w:tc>
        <w:tc>
          <w:tcPr>
            <w:tcW w:w="1220" w:type="dxa"/>
            <w:vAlign w:val="bottom"/>
            <w:shd w:val="clear" w:color="auto" w:fill="1B6F80"/>
          </w:tcPr>
          <w:p>
            <w:pPr>
              <w:jc w:val="right"/>
              <w:ind w:right="57"/>
              <w:spacing w:after="0"/>
              <w:rPr>
                <w:sz w:val="20"/>
                <w:szCs w:val="20"/>
                <w:color w:val="auto"/>
              </w:rPr>
            </w:pPr>
            <w:r>
              <w:rPr>
                <w:rFonts w:ascii="Arial" w:cs="Arial" w:eastAsia="Arial" w:hAnsi="Arial"/>
                <w:sz w:val="13"/>
                <w:szCs w:val="13"/>
                <w:b w:val="1"/>
                <w:bCs w:val="1"/>
                <w:color w:val="FFFFFF"/>
              </w:rPr>
              <w:t>Options</w:t>
            </w:r>
          </w:p>
        </w:tc>
        <w:tc>
          <w:tcPr>
            <w:tcW w:w="1360" w:type="dxa"/>
            <w:vAlign w:val="bottom"/>
            <w:gridSpan w:val="2"/>
            <w:shd w:val="clear" w:color="auto" w:fill="1B6F80"/>
          </w:tcPr>
          <w:p>
            <w:pPr>
              <w:jc w:val="right"/>
              <w:ind w:right="149"/>
              <w:spacing w:after="0"/>
              <w:rPr>
                <w:sz w:val="20"/>
                <w:szCs w:val="20"/>
                <w:color w:val="auto"/>
              </w:rPr>
            </w:pPr>
            <w:r>
              <w:rPr>
                <w:rFonts w:ascii="Arial" w:cs="Arial" w:eastAsia="Arial" w:hAnsi="Arial"/>
                <w:sz w:val="13"/>
                <w:szCs w:val="13"/>
                <w:b w:val="1"/>
                <w:bCs w:val="1"/>
                <w:color w:val="FFFFFF"/>
              </w:rPr>
              <w:t>Options</w:t>
            </w:r>
          </w:p>
        </w:tc>
        <w:tc>
          <w:tcPr>
            <w:tcW w:w="116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Options</w:t>
            </w:r>
          </w:p>
        </w:tc>
        <w:tc>
          <w:tcPr>
            <w:tcW w:w="780" w:type="dxa"/>
            <w:vAlign w:val="bottom"/>
            <w:shd w:val="clear" w:color="auto" w:fill="1B6F80"/>
          </w:tcPr>
          <w:p>
            <w:pPr>
              <w:jc w:val="right"/>
              <w:ind w:right="37"/>
              <w:spacing w:after="0"/>
              <w:rPr>
                <w:sz w:val="20"/>
                <w:szCs w:val="20"/>
                <w:color w:val="auto"/>
              </w:rPr>
            </w:pPr>
            <w:r>
              <w:rPr>
                <w:rFonts w:ascii="Arial" w:cs="Arial" w:eastAsia="Arial" w:hAnsi="Arial"/>
                <w:sz w:val="13"/>
                <w:szCs w:val="13"/>
                <w:b w:val="1"/>
                <w:bCs w:val="1"/>
                <w:color w:val="FFFFFF"/>
              </w:rPr>
              <w:t>Price</w:t>
            </w:r>
          </w:p>
        </w:tc>
        <w:tc>
          <w:tcPr>
            <w:tcW w:w="960" w:type="dxa"/>
            <w:vAlign w:val="bottom"/>
            <w:tcBorders>
              <w:right w:val="single" w:sz="8" w:color="1B6F80"/>
            </w:tcBorders>
            <w:shd w:val="clear" w:color="auto" w:fill="1B6F80"/>
          </w:tcPr>
          <w:p>
            <w:pPr>
              <w:jc w:val="center"/>
              <w:ind w:right="37"/>
              <w:spacing w:after="0"/>
              <w:rPr>
                <w:sz w:val="20"/>
                <w:szCs w:val="20"/>
                <w:color w:val="auto"/>
              </w:rPr>
            </w:pPr>
            <w:r>
              <w:rPr>
                <w:rFonts w:ascii="Arial" w:cs="Arial" w:eastAsia="Arial" w:hAnsi="Arial"/>
                <w:sz w:val="13"/>
                <w:szCs w:val="13"/>
                <w:b w:val="1"/>
                <w:bCs w:val="1"/>
                <w:color w:val="FFFFFF"/>
                <w:w w:val="97"/>
              </w:rPr>
              <w:t>Expiration</w:t>
            </w:r>
          </w:p>
        </w:tc>
        <w:tc>
          <w:tcPr>
            <w:tcW w:w="1020" w:type="dxa"/>
            <w:vAlign w:val="bottom"/>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Vested</w:t>
            </w:r>
          </w:p>
        </w:tc>
        <w:tc>
          <w:tcPr>
            <w:tcW w:w="800" w:type="dxa"/>
            <w:vAlign w:val="bottom"/>
            <w:shd w:val="clear" w:color="auto" w:fill="1B6F80"/>
          </w:tcPr>
          <w:p>
            <w:pPr>
              <w:jc w:val="right"/>
              <w:spacing w:after="0"/>
              <w:rPr>
                <w:sz w:val="20"/>
                <w:szCs w:val="20"/>
                <w:color w:val="auto"/>
              </w:rPr>
            </w:pPr>
            <w:r>
              <w:rPr>
                <w:rFonts w:ascii="Arial" w:cs="Arial" w:eastAsia="Arial" w:hAnsi="Arial"/>
                <w:sz w:val="13"/>
                <w:szCs w:val="13"/>
                <w:b w:val="1"/>
                <w:bCs w:val="1"/>
                <w:color w:val="FFFFFF"/>
              </w:rPr>
              <w:t>Vested</w:t>
            </w:r>
          </w:p>
        </w:tc>
        <w:tc>
          <w:tcPr>
            <w:tcW w:w="1500" w:type="dxa"/>
            <w:vAlign w:val="bottom"/>
            <w:shd w:val="clear" w:color="auto" w:fill="1B6F80"/>
          </w:tcPr>
          <w:p>
            <w:pPr>
              <w:jc w:val="right"/>
              <w:ind w:right="157"/>
              <w:spacing w:after="0"/>
              <w:rPr>
                <w:sz w:val="20"/>
                <w:szCs w:val="20"/>
                <w:color w:val="auto"/>
              </w:rPr>
            </w:pPr>
            <w:r>
              <w:rPr>
                <w:rFonts w:ascii="Arial" w:cs="Arial" w:eastAsia="Arial" w:hAnsi="Arial"/>
                <w:sz w:val="13"/>
                <w:szCs w:val="13"/>
                <w:b w:val="1"/>
                <w:bCs w:val="1"/>
                <w:color w:val="FFFFFF"/>
              </w:rPr>
              <w:t>Vested</w:t>
            </w:r>
          </w:p>
        </w:tc>
        <w:tc>
          <w:tcPr>
            <w:tcW w:w="1300" w:type="dxa"/>
            <w:vAlign w:val="bottom"/>
            <w:tcBorders>
              <w:right w:val="single" w:sz="8" w:color="181818"/>
            </w:tcBorders>
            <w:shd w:val="clear" w:color="auto" w:fill="1B6F80"/>
          </w:tcPr>
          <w:p>
            <w:pPr>
              <w:jc w:val="right"/>
              <w:ind w:right="79"/>
              <w:spacing w:after="0"/>
              <w:rPr>
                <w:sz w:val="20"/>
                <w:szCs w:val="20"/>
                <w:color w:val="auto"/>
              </w:rPr>
            </w:pPr>
            <w:r>
              <w:rPr>
                <w:rFonts w:ascii="Arial" w:cs="Arial" w:eastAsia="Arial" w:hAnsi="Arial"/>
                <w:sz w:val="13"/>
                <w:szCs w:val="13"/>
                <w:b w:val="1"/>
                <w:bCs w:val="1"/>
                <w:color w:val="FFFFFF"/>
              </w:rPr>
              <w:t>Vested</w:t>
            </w:r>
          </w:p>
        </w:tc>
        <w:tc>
          <w:tcPr>
            <w:tcW w:w="0" w:type="dxa"/>
            <w:vAlign w:val="bottom"/>
          </w:tcPr>
          <w:p>
            <w:pPr>
              <w:spacing w:after="0"/>
              <w:rPr>
                <w:sz w:val="1"/>
                <w:szCs w:val="1"/>
                <w:color w:val="auto"/>
              </w:rPr>
            </w:pPr>
          </w:p>
        </w:tc>
      </w:tr>
      <w:tr>
        <w:trPr>
          <w:trHeight w:val="233"/>
        </w:trPr>
        <w:tc>
          <w:tcPr>
            <w:tcW w:w="1180" w:type="dxa"/>
            <w:vAlign w:val="bottom"/>
            <w:tcBorders>
              <w:left w:val="single" w:sz="8" w:color="181818"/>
              <w:bottom w:val="single" w:sz="8" w:color="1B6F80"/>
              <w:right w:val="single" w:sz="8" w:color="1B6F80"/>
            </w:tcBorders>
            <w:shd w:val="clear" w:color="auto" w:fill="1B6F80"/>
          </w:tcPr>
          <w:p>
            <w:pPr>
              <w:ind w:left="60"/>
              <w:spacing w:after="0"/>
              <w:rPr>
                <w:sz w:val="20"/>
                <w:szCs w:val="20"/>
                <w:color w:val="auto"/>
              </w:rPr>
            </w:pPr>
            <w:r>
              <w:rPr>
                <w:rFonts w:ascii="Arial" w:cs="Arial" w:eastAsia="Arial" w:hAnsi="Arial"/>
                <w:sz w:val="13"/>
                <w:szCs w:val="13"/>
                <w:b w:val="1"/>
                <w:bCs w:val="1"/>
                <w:color w:val="FFFFFF"/>
              </w:rPr>
              <w:t>Name</w:t>
            </w:r>
          </w:p>
        </w:tc>
        <w:tc>
          <w:tcPr>
            <w:tcW w:w="1220" w:type="dxa"/>
            <w:vAlign w:val="bottom"/>
            <w:tcBorders>
              <w:bottom w:val="single" w:sz="8" w:color="1B6F80"/>
            </w:tcBorders>
            <w:shd w:val="clear" w:color="auto" w:fill="1B6F80"/>
          </w:tcPr>
          <w:p>
            <w:pPr>
              <w:jc w:val="right"/>
              <w:ind w:right="57"/>
              <w:spacing w:after="0"/>
              <w:rPr>
                <w:sz w:val="20"/>
                <w:szCs w:val="20"/>
                <w:color w:val="auto"/>
              </w:rPr>
            </w:pPr>
            <w:r>
              <w:rPr>
                <w:rFonts w:ascii="Arial" w:cs="Arial" w:eastAsia="Arial" w:hAnsi="Arial"/>
                <w:sz w:val="13"/>
                <w:szCs w:val="13"/>
                <w:b w:val="1"/>
                <w:bCs w:val="1"/>
                <w:color w:val="FFFFFF"/>
              </w:rPr>
              <w:t>(#) Exercisable</w:t>
            </w:r>
          </w:p>
        </w:tc>
        <w:tc>
          <w:tcPr>
            <w:tcW w:w="1360" w:type="dxa"/>
            <w:vAlign w:val="bottom"/>
            <w:tcBorders>
              <w:bottom w:val="single" w:sz="8" w:color="1B6F80"/>
            </w:tcBorders>
            <w:gridSpan w:val="2"/>
            <w:shd w:val="clear" w:color="auto" w:fill="1B6F80"/>
          </w:tcPr>
          <w:p>
            <w:pPr>
              <w:jc w:val="right"/>
              <w:ind w:right="149"/>
              <w:spacing w:after="0"/>
              <w:rPr>
                <w:sz w:val="20"/>
                <w:szCs w:val="20"/>
                <w:color w:val="auto"/>
              </w:rPr>
            </w:pPr>
            <w:r>
              <w:rPr>
                <w:rFonts w:ascii="Arial" w:cs="Arial" w:eastAsia="Arial" w:hAnsi="Arial"/>
                <w:sz w:val="13"/>
                <w:szCs w:val="13"/>
                <w:b w:val="1"/>
                <w:bCs w:val="1"/>
                <w:color w:val="FFFFFF"/>
              </w:rPr>
              <w:t>(#) Unexercisable</w:t>
            </w:r>
          </w:p>
        </w:tc>
        <w:tc>
          <w:tcPr>
            <w:tcW w:w="1160" w:type="dxa"/>
            <w:vAlign w:val="bottom"/>
            <w:tcBorders>
              <w:bottom w:val="single" w:sz="8" w:color="1B6F80"/>
            </w:tcBorders>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bottom w:val="single" w:sz="8" w:color="1B6F80"/>
            </w:tcBorders>
            <w:shd w:val="clear" w:color="auto" w:fill="1B6F80"/>
          </w:tcPr>
          <w:p>
            <w:pPr>
              <w:jc w:val="right"/>
              <w:ind w:right="37"/>
              <w:spacing w:after="0"/>
              <w:rPr>
                <w:sz w:val="20"/>
                <w:szCs w:val="20"/>
                <w:color w:val="auto"/>
              </w:rPr>
            </w:pPr>
            <w:r>
              <w:rPr>
                <w:rFonts w:ascii="Arial" w:cs="Arial" w:eastAsia="Arial" w:hAnsi="Arial"/>
                <w:sz w:val="13"/>
                <w:szCs w:val="13"/>
                <w:b w:val="1"/>
                <w:bCs w:val="1"/>
                <w:color w:val="FFFFFF"/>
              </w:rPr>
              <w:t>($)</w:t>
            </w:r>
          </w:p>
        </w:tc>
        <w:tc>
          <w:tcPr>
            <w:tcW w:w="960" w:type="dxa"/>
            <w:vAlign w:val="bottom"/>
            <w:tcBorders>
              <w:bottom w:val="single" w:sz="8" w:color="1B6F80"/>
              <w:right w:val="single" w:sz="8" w:color="1B6F80"/>
            </w:tcBorders>
            <w:shd w:val="clear" w:color="auto" w:fill="1B6F80"/>
          </w:tcPr>
          <w:p>
            <w:pPr>
              <w:jc w:val="center"/>
              <w:ind w:right="37"/>
              <w:spacing w:after="0"/>
              <w:rPr>
                <w:sz w:val="20"/>
                <w:szCs w:val="20"/>
                <w:color w:val="auto"/>
              </w:rPr>
            </w:pPr>
            <w:r>
              <w:rPr>
                <w:rFonts w:ascii="Arial" w:cs="Arial" w:eastAsia="Arial" w:hAnsi="Arial"/>
                <w:sz w:val="13"/>
                <w:szCs w:val="13"/>
                <w:b w:val="1"/>
                <w:bCs w:val="1"/>
                <w:color w:val="FFFFFF"/>
                <w:w w:val="92"/>
              </w:rPr>
              <w:t>Date</w:t>
            </w:r>
          </w:p>
        </w:tc>
        <w:tc>
          <w:tcPr>
            <w:tcW w:w="1020" w:type="dxa"/>
            <w:vAlign w:val="bottom"/>
            <w:tcBorders>
              <w:bottom w:val="single" w:sz="8" w:color="1B6F80"/>
            </w:tcBorders>
            <w:shd w:val="clear" w:color="auto" w:fill="1B6F80"/>
          </w:tcPr>
          <w:p>
            <w:pPr>
              <w:jc w:val="right"/>
              <w:ind w:right="97"/>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1B6F80"/>
            </w:tcBorders>
            <w:shd w:val="clear" w:color="auto" w:fill="1B6F80"/>
          </w:tcPr>
          <w:p>
            <w:pPr>
              <w:jc w:val="right"/>
              <w:spacing w:after="0" w:line="200"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 xml:space="preserve"> (1)</w:t>
            </w:r>
          </w:p>
        </w:tc>
        <w:tc>
          <w:tcPr>
            <w:tcW w:w="1500" w:type="dxa"/>
            <w:vAlign w:val="bottom"/>
            <w:tcBorders>
              <w:bottom w:val="single" w:sz="8" w:color="1B6F80"/>
            </w:tcBorders>
            <w:shd w:val="clear" w:color="auto" w:fill="1B6F80"/>
          </w:tcPr>
          <w:p>
            <w:pPr>
              <w:jc w:val="right"/>
              <w:ind w:right="157"/>
              <w:spacing w:after="0"/>
              <w:rPr>
                <w:sz w:val="20"/>
                <w:szCs w:val="20"/>
                <w:color w:val="auto"/>
              </w:rPr>
            </w:pPr>
            <w:r>
              <w:rPr>
                <w:rFonts w:ascii="Arial" w:cs="Arial" w:eastAsia="Arial" w:hAnsi="Arial"/>
                <w:sz w:val="13"/>
                <w:szCs w:val="13"/>
                <w:b w:val="1"/>
                <w:bCs w:val="1"/>
                <w:color w:val="FFFFFF"/>
              </w:rPr>
              <w:t>(#)</w:t>
            </w:r>
          </w:p>
        </w:tc>
        <w:tc>
          <w:tcPr>
            <w:tcW w:w="1300" w:type="dxa"/>
            <w:vAlign w:val="bottom"/>
            <w:tcBorders>
              <w:bottom w:val="single" w:sz="8" w:color="1B6F80"/>
              <w:right w:val="single" w:sz="8" w:color="181818"/>
            </w:tcBorders>
            <w:shd w:val="clear" w:color="auto" w:fill="1B6F80"/>
          </w:tcPr>
          <w:p>
            <w:pPr>
              <w:jc w:val="right"/>
              <w:ind w:right="79"/>
              <w:spacing w:after="0" w:line="200"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 xml:space="preserve"> (1)</w:t>
            </w:r>
          </w:p>
        </w:tc>
        <w:tc>
          <w:tcPr>
            <w:tcW w:w="0" w:type="dxa"/>
            <w:vAlign w:val="bottom"/>
          </w:tcPr>
          <w:p>
            <w:pPr>
              <w:spacing w:after="0"/>
              <w:rPr>
                <w:sz w:val="1"/>
                <w:szCs w:val="1"/>
                <w:color w:val="auto"/>
              </w:rPr>
            </w:pPr>
          </w:p>
        </w:tc>
      </w:tr>
      <w:tr>
        <w:trPr>
          <w:trHeight w:val="229"/>
        </w:trPr>
        <w:tc>
          <w:tcPr>
            <w:tcW w:w="1180" w:type="dxa"/>
            <w:vAlign w:val="bottom"/>
            <w:tcBorders>
              <w:left w:val="single" w:sz="8" w:color="181818"/>
            </w:tcBorders>
            <w:vMerge w:val="restart"/>
          </w:tcPr>
          <w:p>
            <w:pPr>
              <w:ind w:left="60"/>
              <w:spacing w:after="0"/>
              <w:rPr>
                <w:sz w:val="20"/>
                <w:szCs w:val="20"/>
                <w:color w:val="auto"/>
              </w:rPr>
            </w:pPr>
            <w:r>
              <w:rPr>
                <w:rFonts w:ascii="Arial" w:cs="Arial" w:eastAsia="Arial" w:hAnsi="Arial"/>
                <w:sz w:val="13"/>
                <w:szCs w:val="13"/>
                <w:b w:val="1"/>
                <w:bCs w:val="1"/>
                <w:color w:val="181818"/>
              </w:rPr>
              <w:t>Scott A. Lang</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63,788</w:t>
            </w:r>
          </w:p>
        </w:tc>
        <w:tc>
          <w:tcPr>
            <w:tcW w:w="1040" w:type="dxa"/>
            <w:vAlign w:val="bottom"/>
          </w:tcPr>
          <w:p>
            <w:pPr>
              <w:jc w:val="right"/>
              <w:spacing w:after="0"/>
              <w:rPr>
                <w:sz w:val="20"/>
                <w:szCs w:val="20"/>
                <w:color w:val="auto"/>
              </w:rPr>
            </w:pPr>
            <w:r>
              <w:rPr>
                <w:rFonts w:ascii="Arial" w:cs="Arial" w:eastAsia="Arial" w:hAnsi="Arial"/>
                <w:sz w:val="13"/>
                <w:szCs w:val="13"/>
                <w:color w:val="auto"/>
              </w:rPr>
              <w:t>127,538</w:t>
            </w:r>
          </w:p>
        </w:tc>
        <w:tc>
          <w:tcPr>
            <w:tcW w:w="320" w:type="dxa"/>
            <w:vAlign w:val="bottom"/>
          </w:tcPr>
          <w:p>
            <w:pPr>
              <w:jc w:val="right"/>
              <w:ind w:right="149"/>
              <w:spacing w:after="0"/>
              <w:rPr>
                <w:sz w:val="20"/>
                <w:szCs w:val="20"/>
                <w:color w:val="auto"/>
              </w:rPr>
            </w:pPr>
            <w:r>
              <w:rPr>
                <w:rFonts w:ascii="Arial" w:cs="Arial" w:eastAsia="Arial" w:hAnsi="Arial"/>
                <w:sz w:val="8"/>
                <w:szCs w:val="8"/>
                <w:color w:val="auto"/>
              </w:rPr>
              <w:t>(2)</w:t>
            </w:r>
          </w:p>
        </w:tc>
        <w:tc>
          <w:tcPr>
            <w:tcW w:w="1160" w:type="dxa"/>
            <w:vAlign w:val="bottom"/>
          </w:tcPr>
          <w:p>
            <w:pPr>
              <w:ind w:left="820"/>
              <w:spacing w:after="0"/>
              <w:rPr>
                <w:sz w:val="20"/>
                <w:szCs w:val="20"/>
                <w:color w:val="auto"/>
              </w:rPr>
            </w:pPr>
            <w:r>
              <w:rPr>
                <w:rFonts w:ascii="Arial" w:cs="Arial" w:eastAsia="Arial" w:hAnsi="Arial"/>
                <w:sz w:val="13"/>
                <w:szCs w:val="13"/>
                <w:color w:val="auto"/>
              </w:rPr>
              <w:t>—</w:t>
            </w:r>
          </w:p>
        </w:tc>
        <w:tc>
          <w:tcPr>
            <w:tcW w:w="780" w:type="dxa"/>
            <w:vAlign w:val="bottom"/>
          </w:tcPr>
          <w:p>
            <w:pPr>
              <w:jc w:val="center"/>
              <w:ind w:left="117"/>
              <w:spacing w:after="0"/>
              <w:rPr>
                <w:sz w:val="20"/>
                <w:szCs w:val="20"/>
                <w:color w:val="auto"/>
              </w:rPr>
            </w:pPr>
            <w:r>
              <w:rPr>
                <w:rFonts w:ascii="Arial" w:cs="Arial" w:eastAsia="Arial" w:hAnsi="Arial"/>
                <w:sz w:val="13"/>
                <w:szCs w:val="13"/>
                <w:color w:val="auto"/>
                <w:w w:val="98"/>
              </w:rPr>
              <w:t>30.99</w:t>
            </w:r>
          </w:p>
        </w:tc>
        <w:tc>
          <w:tcPr>
            <w:tcW w:w="960" w:type="dxa"/>
            <w:vAlign w:val="bottom"/>
          </w:tcPr>
          <w:p>
            <w:pPr>
              <w:jc w:val="center"/>
              <w:ind w:right="17"/>
              <w:spacing w:after="0"/>
              <w:rPr>
                <w:sz w:val="20"/>
                <w:szCs w:val="20"/>
                <w:color w:val="auto"/>
              </w:rPr>
            </w:pPr>
            <w:r>
              <w:rPr>
                <w:rFonts w:ascii="Arial" w:cs="Arial" w:eastAsia="Arial" w:hAnsi="Arial"/>
                <w:sz w:val="13"/>
                <w:szCs w:val="13"/>
                <w:color w:val="auto"/>
                <w:w w:val="96"/>
              </w:rPr>
              <w:t>1/17/2035</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180" w:type="dxa"/>
            <w:vAlign w:val="bottom"/>
            <w:tcBorders>
              <w:left w:val="single" w:sz="8" w:color="181818"/>
            </w:tcBorders>
            <w:vMerge w:val="continue"/>
          </w:tcPr>
          <w:p>
            <w:pPr>
              <w:spacing w:after="0"/>
              <w:rPr>
                <w:sz w:val="8"/>
                <w:szCs w:val="8"/>
                <w:color w:val="auto"/>
              </w:rPr>
            </w:pPr>
          </w:p>
        </w:tc>
        <w:tc>
          <w:tcPr>
            <w:tcW w:w="1220" w:type="dxa"/>
            <w:vAlign w:val="bottom"/>
            <w:tcBorders>
              <w:bottom w:val="single" w:sz="8" w:color="181818"/>
            </w:tcBorders>
          </w:tcPr>
          <w:p>
            <w:pPr>
              <w:spacing w:after="0"/>
              <w:rPr>
                <w:sz w:val="8"/>
                <w:szCs w:val="8"/>
                <w:color w:val="auto"/>
              </w:rPr>
            </w:pPr>
          </w:p>
        </w:tc>
        <w:tc>
          <w:tcPr>
            <w:tcW w:w="1040" w:type="dxa"/>
            <w:vAlign w:val="bottom"/>
            <w:tcBorders>
              <w:bottom w:val="single" w:sz="8" w:color="181818"/>
            </w:tcBorders>
          </w:tcPr>
          <w:p>
            <w:pPr>
              <w:spacing w:after="0"/>
              <w:rPr>
                <w:sz w:val="8"/>
                <w:szCs w:val="8"/>
                <w:color w:val="auto"/>
              </w:rPr>
            </w:pPr>
          </w:p>
        </w:tc>
        <w:tc>
          <w:tcPr>
            <w:tcW w:w="320" w:type="dxa"/>
            <w:vAlign w:val="bottom"/>
            <w:tcBorders>
              <w:bottom w:val="single" w:sz="8" w:color="181818"/>
            </w:tcBorders>
          </w:tcPr>
          <w:p>
            <w:pPr>
              <w:spacing w:after="0"/>
              <w:rPr>
                <w:sz w:val="8"/>
                <w:szCs w:val="8"/>
                <w:color w:val="auto"/>
              </w:rPr>
            </w:pPr>
          </w:p>
        </w:tc>
        <w:tc>
          <w:tcPr>
            <w:tcW w:w="1160" w:type="dxa"/>
            <w:vAlign w:val="bottom"/>
            <w:tcBorders>
              <w:bottom w:val="single" w:sz="8" w:color="181818"/>
            </w:tcBorders>
          </w:tcPr>
          <w:p>
            <w:pPr>
              <w:spacing w:after="0"/>
              <w:rPr>
                <w:sz w:val="8"/>
                <w:szCs w:val="8"/>
                <w:color w:val="auto"/>
              </w:rPr>
            </w:pPr>
          </w:p>
        </w:tc>
        <w:tc>
          <w:tcPr>
            <w:tcW w:w="780" w:type="dxa"/>
            <w:vAlign w:val="bottom"/>
            <w:tcBorders>
              <w:bottom w:val="single" w:sz="8" w:color="181818"/>
            </w:tcBorders>
          </w:tcPr>
          <w:p>
            <w:pPr>
              <w:spacing w:after="0"/>
              <w:rPr>
                <w:sz w:val="8"/>
                <w:szCs w:val="8"/>
                <w:color w:val="auto"/>
              </w:rPr>
            </w:pPr>
          </w:p>
        </w:tc>
        <w:tc>
          <w:tcPr>
            <w:tcW w:w="960" w:type="dxa"/>
            <w:vAlign w:val="bottom"/>
            <w:tcBorders>
              <w:bottom w:val="single" w:sz="8" w:color="181818"/>
            </w:tcBorders>
          </w:tcPr>
          <w:p>
            <w:pPr>
              <w:spacing w:after="0"/>
              <w:rPr>
                <w:sz w:val="8"/>
                <w:szCs w:val="8"/>
                <w:color w:val="auto"/>
              </w:rPr>
            </w:pPr>
          </w:p>
        </w:tc>
        <w:tc>
          <w:tcPr>
            <w:tcW w:w="1020" w:type="dxa"/>
            <w:vAlign w:val="bottom"/>
            <w:tcBorders>
              <w:bottom w:val="single" w:sz="8" w:color="181818"/>
            </w:tcBorders>
          </w:tcPr>
          <w:p>
            <w:pPr>
              <w:spacing w:after="0"/>
              <w:rPr>
                <w:sz w:val="8"/>
                <w:szCs w:val="8"/>
                <w:color w:val="auto"/>
              </w:rPr>
            </w:pPr>
          </w:p>
        </w:tc>
        <w:tc>
          <w:tcPr>
            <w:tcW w:w="800" w:type="dxa"/>
            <w:vAlign w:val="bottom"/>
            <w:tcBorders>
              <w:bottom w:val="single" w:sz="8" w:color="181818"/>
            </w:tcBorders>
          </w:tcPr>
          <w:p>
            <w:pPr>
              <w:spacing w:after="0"/>
              <w:rPr>
                <w:sz w:val="8"/>
                <w:szCs w:val="8"/>
                <w:color w:val="auto"/>
              </w:rPr>
            </w:pPr>
          </w:p>
        </w:tc>
        <w:tc>
          <w:tcPr>
            <w:tcW w:w="1500" w:type="dxa"/>
            <w:vAlign w:val="bottom"/>
            <w:tcBorders>
              <w:bottom w:val="single" w:sz="8" w:color="181818"/>
            </w:tcBorders>
          </w:tcPr>
          <w:p>
            <w:pPr>
              <w:spacing w:after="0"/>
              <w:rPr>
                <w:sz w:val="8"/>
                <w:szCs w:val="8"/>
                <w:color w:val="auto"/>
              </w:rPr>
            </w:pPr>
          </w:p>
        </w:tc>
        <w:tc>
          <w:tcPr>
            <w:tcW w:w="1300" w:type="dxa"/>
            <w:vAlign w:val="bottom"/>
            <w:tcBorders>
              <w:bottom w:val="single" w:sz="8" w:color="181818"/>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180" w:type="dxa"/>
            <w:vAlign w:val="bottom"/>
            <w:tcBorders>
              <w:left w:val="single" w:sz="8" w:color="181818"/>
            </w:tcBorders>
            <w:vMerge w:val="continue"/>
          </w:tcPr>
          <w:p>
            <w:pPr>
              <w:spacing w:after="0"/>
              <w:rPr>
                <w:sz w:val="4"/>
                <w:szCs w:val="4"/>
                <w:color w:val="auto"/>
              </w:rPr>
            </w:pPr>
          </w:p>
        </w:tc>
        <w:tc>
          <w:tcPr>
            <w:tcW w:w="1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223,546</w:t>
            </w:r>
          </w:p>
        </w:tc>
        <w:tc>
          <w:tcPr>
            <w:tcW w:w="320" w:type="dxa"/>
            <w:vAlign w:val="bottom"/>
            <w:vMerge w:val="restart"/>
          </w:tcPr>
          <w:p>
            <w:pPr>
              <w:jc w:val="right"/>
              <w:ind w:right="149"/>
              <w:spacing w:after="0"/>
              <w:rPr>
                <w:sz w:val="20"/>
                <w:szCs w:val="20"/>
                <w:color w:val="auto"/>
              </w:rPr>
            </w:pPr>
            <w:r>
              <w:rPr>
                <w:rFonts w:ascii="Arial" w:cs="Arial" w:eastAsia="Arial" w:hAnsi="Arial"/>
                <w:sz w:val="8"/>
                <w:szCs w:val="8"/>
                <w:color w:val="auto"/>
              </w:rPr>
              <w:t>(3)</w:t>
            </w:r>
          </w:p>
        </w:tc>
        <w:tc>
          <w:tcPr>
            <w:tcW w:w="1160" w:type="dxa"/>
            <w:vAlign w:val="bottom"/>
            <w:vMerge w:val="restart"/>
          </w:tcPr>
          <w:p>
            <w:pPr>
              <w:ind w:left="8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ind w:left="117"/>
              <w:spacing w:after="0"/>
              <w:rPr>
                <w:sz w:val="20"/>
                <w:szCs w:val="20"/>
                <w:color w:val="auto"/>
              </w:rPr>
            </w:pPr>
            <w:r>
              <w:rPr>
                <w:rFonts w:ascii="Arial" w:cs="Arial" w:eastAsia="Arial" w:hAnsi="Arial"/>
                <w:sz w:val="13"/>
                <w:szCs w:val="13"/>
                <w:color w:val="auto"/>
                <w:w w:val="98"/>
              </w:rPr>
              <w:t>34.96</w:t>
            </w:r>
          </w:p>
        </w:tc>
        <w:tc>
          <w:tcPr>
            <w:tcW w:w="960" w:type="dxa"/>
            <w:vAlign w:val="bottom"/>
            <w:vMerge w:val="restart"/>
          </w:tcPr>
          <w:p>
            <w:pPr>
              <w:jc w:val="center"/>
              <w:ind w:right="17"/>
              <w:spacing w:after="0"/>
              <w:rPr>
                <w:sz w:val="20"/>
                <w:szCs w:val="20"/>
                <w:color w:val="auto"/>
              </w:rPr>
            </w:pPr>
            <w:r>
              <w:rPr>
                <w:rFonts w:ascii="Arial" w:cs="Arial" w:eastAsia="Arial" w:hAnsi="Arial"/>
                <w:sz w:val="13"/>
                <w:szCs w:val="13"/>
                <w:color w:val="auto"/>
                <w:w w:val="96"/>
              </w:rPr>
              <w:t>5/21/2035</w:t>
            </w: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00" w:type="dxa"/>
            <w:vAlign w:val="bottom"/>
            <w:tcBorders>
              <w:right w:val="single" w:sz="8" w:color="181818"/>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180" w:type="dxa"/>
            <w:vAlign w:val="bottom"/>
            <w:tcBorders>
              <w:left w:val="single" w:sz="8" w:color="181818"/>
            </w:tcBorders>
          </w:tcPr>
          <w:p>
            <w:pPr>
              <w:spacing w:after="0"/>
              <w:rPr>
                <w:sz w:val="14"/>
                <w:szCs w:val="14"/>
                <w:color w:val="auto"/>
              </w:rPr>
            </w:pPr>
          </w:p>
        </w:tc>
        <w:tc>
          <w:tcPr>
            <w:tcW w:w="1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Borders>
              <w:right w:val="single" w:sz="8" w:color="181818"/>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80" w:type="dxa"/>
            <w:vAlign w:val="bottom"/>
            <w:tcBorders>
              <w:left w:val="single" w:sz="8" w:color="181818"/>
              <w:bottom w:val="single" w:sz="8" w:color="181818"/>
            </w:tcBorders>
          </w:tcPr>
          <w:p>
            <w:pPr>
              <w:spacing w:after="0"/>
              <w:rPr>
                <w:sz w:val="5"/>
                <w:szCs w:val="5"/>
                <w:color w:val="auto"/>
              </w:rPr>
            </w:pPr>
          </w:p>
        </w:tc>
        <w:tc>
          <w:tcPr>
            <w:tcW w:w="1220" w:type="dxa"/>
            <w:vAlign w:val="bottom"/>
            <w:tcBorders>
              <w:bottom w:val="single" w:sz="8" w:color="181818"/>
            </w:tcBorders>
          </w:tcPr>
          <w:p>
            <w:pPr>
              <w:spacing w:after="0"/>
              <w:rPr>
                <w:sz w:val="5"/>
                <w:szCs w:val="5"/>
                <w:color w:val="auto"/>
              </w:rPr>
            </w:pPr>
          </w:p>
        </w:tc>
        <w:tc>
          <w:tcPr>
            <w:tcW w:w="1040" w:type="dxa"/>
            <w:vAlign w:val="bottom"/>
            <w:tcBorders>
              <w:bottom w:val="single" w:sz="8" w:color="181818"/>
            </w:tcBorders>
          </w:tcPr>
          <w:p>
            <w:pPr>
              <w:spacing w:after="0"/>
              <w:rPr>
                <w:sz w:val="5"/>
                <w:szCs w:val="5"/>
                <w:color w:val="auto"/>
              </w:rPr>
            </w:pPr>
          </w:p>
        </w:tc>
        <w:tc>
          <w:tcPr>
            <w:tcW w:w="320" w:type="dxa"/>
            <w:vAlign w:val="bottom"/>
            <w:tcBorders>
              <w:bottom w:val="single" w:sz="8" w:color="181818"/>
            </w:tcBorders>
          </w:tcPr>
          <w:p>
            <w:pPr>
              <w:spacing w:after="0"/>
              <w:rPr>
                <w:sz w:val="5"/>
                <w:szCs w:val="5"/>
                <w:color w:val="auto"/>
              </w:rPr>
            </w:pPr>
          </w:p>
        </w:tc>
        <w:tc>
          <w:tcPr>
            <w:tcW w:w="1160" w:type="dxa"/>
            <w:vAlign w:val="bottom"/>
            <w:tcBorders>
              <w:bottom w:val="single" w:sz="8" w:color="181818"/>
            </w:tcBorders>
          </w:tcPr>
          <w:p>
            <w:pPr>
              <w:spacing w:after="0"/>
              <w:rPr>
                <w:sz w:val="5"/>
                <w:szCs w:val="5"/>
                <w:color w:val="auto"/>
              </w:rPr>
            </w:pPr>
          </w:p>
        </w:tc>
        <w:tc>
          <w:tcPr>
            <w:tcW w:w="780" w:type="dxa"/>
            <w:vAlign w:val="bottom"/>
            <w:tcBorders>
              <w:bottom w:val="single" w:sz="8" w:color="181818"/>
            </w:tcBorders>
          </w:tcPr>
          <w:p>
            <w:pPr>
              <w:spacing w:after="0"/>
              <w:rPr>
                <w:sz w:val="5"/>
                <w:szCs w:val="5"/>
                <w:color w:val="auto"/>
              </w:rPr>
            </w:pPr>
          </w:p>
        </w:tc>
        <w:tc>
          <w:tcPr>
            <w:tcW w:w="960" w:type="dxa"/>
            <w:vAlign w:val="bottom"/>
            <w:tcBorders>
              <w:bottom w:val="single" w:sz="8" w:color="181818"/>
            </w:tcBorders>
          </w:tcPr>
          <w:p>
            <w:pPr>
              <w:spacing w:after="0"/>
              <w:rPr>
                <w:sz w:val="5"/>
                <w:szCs w:val="5"/>
                <w:color w:val="auto"/>
              </w:rPr>
            </w:pPr>
          </w:p>
        </w:tc>
        <w:tc>
          <w:tcPr>
            <w:tcW w:w="1020" w:type="dxa"/>
            <w:vAlign w:val="bottom"/>
            <w:tcBorders>
              <w:bottom w:val="single" w:sz="8" w:color="181818"/>
            </w:tcBorders>
          </w:tcPr>
          <w:p>
            <w:pPr>
              <w:spacing w:after="0"/>
              <w:rPr>
                <w:sz w:val="5"/>
                <w:szCs w:val="5"/>
                <w:color w:val="auto"/>
              </w:rPr>
            </w:pPr>
          </w:p>
        </w:tc>
        <w:tc>
          <w:tcPr>
            <w:tcW w:w="800" w:type="dxa"/>
            <w:vAlign w:val="bottom"/>
            <w:tcBorders>
              <w:bottom w:val="single" w:sz="8" w:color="181818"/>
            </w:tcBorders>
          </w:tcPr>
          <w:p>
            <w:pPr>
              <w:spacing w:after="0"/>
              <w:rPr>
                <w:sz w:val="5"/>
                <w:szCs w:val="5"/>
                <w:color w:val="auto"/>
              </w:rPr>
            </w:pPr>
          </w:p>
        </w:tc>
        <w:tc>
          <w:tcPr>
            <w:tcW w:w="1500" w:type="dxa"/>
            <w:vAlign w:val="bottom"/>
            <w:tcBorders>
              <w:bottom w:val="single" w:sz="8" w:color="181818"/>
            </w:tcBorders>
          </w:tcPr>
          <w:p>
            <w:pPr>
              <w:spacing w:after="0"/>
              <w:rPr>
                <w:sz w:val="5"/>
                <w:szCs w:val="5"/>
                <w:color w:val="auto"/>
              </w:rPr>
            </w:pPr>
          </w:p>
        </w:tc>
        <w:tc>
          <w:tcPr>
            <w:tcW w:w="1300" w:type="dxa"/>
            <w:vAlign w:val="bottom"/>
            <w:tcBorders>
              <w:bottom w:val="single" w:sz="8" w:color="181818"/>
              <w:right w:val="single" w:sz="8" w:color="181818"/>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80" w:type="dxa"/>
            <w:vAlign w:val="bottom"/>
            <w:tcBorders>
              <w:left w:val="single" w:sz="8" w:color="181818"/>
            </w:tcBorders>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 xml:space="preserve">3,164 </w:t>
            </w:r>
            <w:r>
              <w:rPr>
                <w:rFonts w:ascii="Arial" w:cs="Arial" w:eastAsia="Arial" w:hAnsi="Arial"/>
                <w:sz w:val="16"/>
                <w:szCs w:val="16"/>
                <w:color w:val="auto"/>
                <w:vertAlign w:val="superscript"/>
              </w:rPr>
              <w:t>(4)</w:t>
            </w: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120,833</w:t>
            </w:r>
          </w:p>
        </w:tc>
        <w:tc>
          <w:tcPr>
            <w:tcW w:w="15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181818"/>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180" w:type="dxa"/>
            <w:vAlign w:val="bottom"/>
            <w:tcBorders>
              <w:left w:val="single" w:sz="8" w:color="181818"/>
            </w:tcBorders>
          </w:tcPr>
          <w:p>
            <w:pPr>
              <w:spacing w:after="0"/>
              <w:rPr>
                <w:sz w:val="3"/>
                <w:szCs w:val="3"/>
                <w:color w:val="auto"/>
              </w:rPr>
            </w:pPr>
          </w:p>
        </w:tc>
        <w:tc>
          <w:tcPr>
            <w:tcW w:w="1220" w:type="dxa"/>
            <w:vAlign w:val="bottom"/>
            <w:tcBorders>
              <w:bottom w:val="single" w:sz="8" w:color="181818"/>
            </w:tcBorders>
          </w:tcPr>
          <w:p>
            <w:pPr>
              <w:spacing w:after="0"/>
              <w:rPr>
                <w:sz w:val="3"/>
                <w:szCs w:val="3"/>
                <w:color w:val="auto"/>
              </w:rPr>
            </w:pPr>
          </w:p>
        </w:tc>
        <w:tc>
          <w:tcPr>
            <w:tcW w:w="1040" w:type="dxa"/>
            <w:vAlign w:val="bottom"/>
            <w:tcBorders>
              <w:bottom w:val="single" w:sz="8" w:color="181818"/>
            </w:tcBorders>
          </w:tcPr>
          <w:p>
            <w:pPr>
              <w:spacing w:after="0"/>
              <w:rPr>
                <w:sz w:val="3"/>
                <w:szCs w:val="3"/>
                <w:color w:val="auto"/>
              </w:rPr>
            </w:pPr>
          </w:p>
        </w:tc>
        <w:tc>
          <w:tcPr>
            <w:tcW w:w="320" w:type="dxa"/>
            <w:vAlign w:val="bottom"/>
            <w:tcBorders>
              <w:bottom w:val="single" w:sz="8" w:color="181818"/>
            </w:tcBorders>
          </w:tcPr>
          <w:p>
            <w:pPr>
              <w:spacing w:after="0"/>
              <w:rPr>
                <w:sz w:val="3"/>
                <w:szCs w:val="3"/>
                <w:color w:val="auto"/>
              </w:rPr>
            </w:pPr>
          </w:p>
        </w:tc>
        <w:tc>
          <w:tcPr>
            <w:tcW w:w="1160" w:type="dxa"/>
            <w:vAlign w:val="bottom"/>
            <w:tcBorders>
              <w:bottom w:val="single" w:sz="8" w:color="181818"/>
            </w:tcBorders>
          </w:tcPr>
          <w:p>
            <w:pPr>
              <w:spacing w:after="0"/>
              <w:rPr>
                <w:sz w:val="3"/>
                <w:szCs w:val="3"/>
                <w:color w:val="auto"/>
              </w:rPr>
            </w:pPr>
          </w:p>
        </w:tc>
        <w:tc>
          <w:tcPr>
            <w:tcW w:w="780" w:type="dxa"/>
            <w:vAlign w:val="bottom"/>
            <w:tcBorders>
              <w:bottom w:val="single" w:sz="8" w:color="181818"/>
            </w:tcBorders>
          </w:tcPr>
          <w:p>
            <w:pPr>
              <w:spacing w:after="0"/>
              <w:rPr>
                <w:sz w:val="3"/>
                <w:szCs w:val="3"/>
                <w:color w:val="auto"/>
              </w:rPr>
            </w:pPr>
          </w:p>
        </w:tc>
        <w:tc>
          <w:tcPr>
            <w:tcW w:w="960" w:type="dxa"/>
            <w:vAlign w:val="bottom"/>
            <w:tcBorders>
              <w:bottom w:val="single" w:sz="8" w:color="181818"/>
            </w:tcBorders>
          </w:tcPr>
          <w:p>
            <w:pPr>
              <w:spacing w:after="0"/>
              <w:rPr>
                <w:sz w:val="3"/>
                <w:szCs w:val="3"/>
                <w:color w:val="auto"/>
              </w:rPr>
            </w:pPr>
          </w:p>
        </w:tc>
        <w:tc>
          <w:tcPr>
            <w:tcW w:w="1020" w:type="dxa"/>
            <w:vAlign w:val="bottom"/>
            <w:tcBorders>
              <w:bottom w:val="single" w:sz="8" w:color="181818"/>
            </w:tcBorders>
          </w:tcPr>
          <w:p>
            <w:pPr>
              <w:spacing w:after="0"/>
              <w:rPr>
                <w:sz w:val="3"/>
                <w:szCs w:val="3"/>
                <w:color w:val="auto"/>
              </w:rPr>
            </w:pPr>
          </w:p>
        </w:tc>
        <w:tc>
          <w:tcPr>
            <w:tcW w:w="800" w:type="dxa"/>
            <w:vAlign w:val="bottom"/>
            <w:tcBorders>
              <w:bottom w:val="single" w:sz="8" w:color="181818"/>
            </w:tcBorders>
          </w:tcPr>
          <w:p>
            <w:pPr>
              <w:spacing w:after="0"/>
              <w:rPr>
                <w:sz w:val="3"/>
                <w:szCs w:val="3"/>
                <w:color w:val="auto"/>
              </w:rPr>
            </w:pPr>
          </w:p>
        </w:tc>
        <w:tc>
          <w:tcPr>
            <w:tcW w:w="1500" w:type="dxa"/>
            <w:vAlign w:val="bottom"/>
            <w:tcBorders>
              <w:bottom w:val="single" w:sz="8" w:color="181818"/>
            </w:tcBorders>
          </w:tcPr>
          <w:p>
            <w:pPr>
              <w:spacing w:after="0"/>
              <w:rPr>
                <w:sz w:val="3"/>
                <w:szCs w:val="3"/>
                <w:color w:val="auto"/>
              </w:rPr>
            </w:pPr>
          </w:p>
        </w:tc>
        <w:tc>
          <w:tcPr>
            <w:tcW w:w="1300" w:type="dxa"/>
            <w:vAlign w:val="bottom"/>
            <w:tcBorders>
              <w:bottom w:val="single" w:sz="8" w:color="181818"/>
              <w:right w:val="single" w:sz="8" w:color="181818"/>
            </w:tcBorders>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1180" w:type="dxa"/>
            <w:vAlign w:val="bottom"/>
            <w:tcBorders>
              <w:left w:val="single" w:sz="8" w:color="181818"/>
            </w:tcBorders>
          </w:tcPr>
          <w:p>
            <w:pPr>
              <w:spacing w:after="0"/>
              <w:rPr>
                <w:sz w:val="23"/>
                <w:szCs w:val="23"/>
                <w:color w:val="auto"/>
              </w:rPr>
            </w:pPr>
          </w:p>
        </w:tc>
        <w:tc>
          <w:tcPr>
            <w:tcW w:w="1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 xml:space="preserve">3,361 </w:t>
            </w:r>
            <w:r>
              <w:rPr>
                <w:rFonts w:ascii="Arial" w:cs="Arial" w:eastAsia="Arial" w:hAnsi="Arial"/>
                <w:sz w:val="16"/>
                <w:szCs w:val="16"/>
                <w:color w:val="auto"/>
                <w:vertAlign w:val="superscript"/>
              </w:rPr>
              <w:t>(5)</w:t>
            </w: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128,357</w:t>
            </w:r>
          </w:p>
        </w:tc>
        <w:tc>
          <w:tcPr>
            <w:tcW w:w="15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181818"/>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1180" w:type="dxa"/>
            <w:vAlign w:val="bottom"/>
            <w:tcBorders>
              <w:left w:val="single" w:sz="8" w:color="181818"/>
            </w:tcBorders>
          </w:tcPr>
          <w:p>
            <w:pPr>
              <w:spacing w:after="0"/>
              <w:rPr>
                <w:sz w:val="3"/>
                <w:szCs w:val="3"/>
                <w:color w:val="auto"/>
              </w:rPr>
            </w:pPr>
          </w:p>
        </w:tc>
        <w:tc>
          <w:tcPr>
            <w:tcW w:w="1220" w:type="dxa"/>
            <w:vAlign w:val="bottom"/>
            <w:tcBorders>
              <w:bottom w:val="single" w:sz="8" w:color="181818"/>
            </w:tcBorders>
          </w:tcPr>
          <w:p>
            <w:pPr>
              <w:spacing w:after="0"/>
              <w:rPr>
                <w:sz w:val="3"/>
                <w:szCs w:val="3"/>
                <w:color w:val="auto"/>
              </w:rPr>
            </w:pPr>
          </w:p>
        </w:tc>
        <w:tc>
          <w:tcPr>
            <w:tcW w:w="1040" w:type="dxa"/>
            <w:vAlign w:val="bottom"/>
            <w:tcBorders>
              <w:bottom w:val="single" w:sz="8" w:color="181818"/>
            </w:tcBorders>
          </w:tcPr>
          <w:p>
            <w:pPr>
              <w:spacing w:after="0"/>
              <w:rPr>
                <w:sz w:val="3"/>
                <w:szCs w:val="3"/>
                <w:color w:val="auto"/>
              </w:rPr>
            </w:pPr>
          </w:p>
        </w:tc>
        <w:tc>
          <w:tcPr>
            <w:tcW w:w="320" w:type="dxa"/>
            <w:vAlign w:val="bottom"/>
            <w:tcBorders>
              <w:bottom w:val="single" w:sz="8" w:color="181818"/>
            </w:tcBorders>
          </w:tcPr>
          <w:p>
            <w:pPr>
              <w:spacing w:after="0"/>
              <w:rPr>
                <w:sz w:val="3"/>
                <w:szCs w:val="3"/>
                <w:color w:val="auto"/>
              </w:rPr>
            </w:pPr>
          </w:p>
        </w:tc>
        <w:tc>
          <w:tcPr>
            <w:tcW w:w="1160" w:type="dxa"/>
            <w:vAlign w:val="bottom"/>
            <w:tcBorders>
              <w:bottom w:val="single" w:sz="8" w:color="181818"/>
            </w:tcBorders>
          </w:tcPr>
          <w:p>
            <w:pPr>
              <w:spacing w:after="0"/>
              <w:rPr>
                <w:sz w:val="3"/>
                <w:szCs w:val="3"/>
                <w:color w:val="auto"/>
              </w:rPr>
            </w:pPr>
          </w:p>
        </w:tc>
        <w:tc>
          <w:tcPr>
            <w:tcW w:w="780" w:type="dxa"/>
            <w:vAlign w:val="bottom"/>
            <w:tcBorders>
              <w:bottom w:val="single" w:sz="8" w:color="181818"/>
            </w:tcBorders>
          </w:tcPr>
          <w:p>
            <w:pPr>
              <w:spacing w:after="0"/>
              <w:rPr>
                <w:sz w:val="3"/>
                <w:szCs w:val="3"/>
                <w:color w:val="auto"/>
              </w:rPr>
            </w:pPr>
          </w:p>
        </w:tc>
        <w:tc>
          <w:tcPr>
            <w:tcW w:w="960" w:type="dxa"/>
            <w:vAlign w:val="bottom"/>
            <w:tcBorders>
              <w:bottom w:val="single" w:sz="8" w:color="181818"/>
            </w:tcBorders>
          </w:tcPr>
          <w:p>
            <w:pPr>
              <w:spacing w:after="0"/>
              <w:rPr>
                <w:sz w:val="3"/>
                <w:szCs w:val="3"/>
                <w:color w:val="auto"/>
              </w:rPr>
            </w:pPr>
          </w:p>
        </w:tc>
        <w:tc>
          <w:tcPr>
            <w:tcW w:w="1020" w:type="dxa"/>
            <w:vAlign w:val="bottom"/>
            <w:tcBorders>
              <w:bottom w:val="single" w:sz="8" w:color="181818"/>
            </w:tcBorders>
          </w:tcPr>
          <w:p>
            <w:pPr>
              <w:spacing w:after="0"/>
              <w:rPr>
                <w:sz w:val="3"/>
                <w:szCs w:val="3"/>
                <w:color w:val="auto"/>
              </w:rPr>
            </w:pPr>
          </w:p>
        </w:tc>
        <w:tc>
          <w:tcPr>
            <w:tcW w:w="800" w:type="dxa"/>
            <w:vAlign w:val="bottom"/>
            <w:tcBorders>
              <w:bottom w:val="single" w:sz="8" w:color="181818"/>
            </w:tcBorders>
          </w:tcPr>
          <w:p>
            <w:pPr>
              <w:spacing w:after="0"/>
              <w:rPr>
                <w:sz w:val="3"/>
                <w:szCs w:val="3"/>
                <w:color w:val="auto"/>
              </w:rPr>
            </w:pPr>
          </w:p>
        </w:tc>
        <w:tc>
          <w:tcPr>
            <w:tcW w:w="1500" w:type="dxa"/>
            <w:vAlign w:val="bottom"/>
            <w:tcBorders>
              <w:bottom w:val="single" w:sz="8" w:color="181818"/>
            </w:tcBorders>
          </w:tcPr>
          <w:p>
            <w:pPr>
              <w:spacing w:after="0"/>
              <w:rPr>
                <w:sz w:val="3"/>
                <w:szCs w:val="3"/>
                <w:color w:val="auto"/>
              </w:rPr>
            </w:pPr>
          </w:p>
        </w:tc>
        <w:tc>
          <w:tcPr>
            <w:tcW w:w="1300" w:type="dxa"/>
            <w:vAlign w:val="bottom"/>
            <w:tcBorders>
              <w:bottom w:val="single" w:sz="8" w:color="181818"/>
              <w:right w:val="single" w:sz="8" w:color="181818"/>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181818"/>
            </w:tcBorders>
          </w:tcPr>
          <w:p>
            <w:pPr>
              <w:spacing w:after="0"/>
              <w:rPr>
                <w:sz w:val="19"/>
                <w:szCs w:val="19"/>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11,750</w:t>
            </w:r>
          </w:p>
        </w:tc>
        <w:tc>
          <w:tcPr>
            <w:tcW w:w="1040" w:type="dxa"/>
            <w:vAlign w:val="bottom"/>
          </w:tcPr>
          <w:p>
            <w:pPr>
              <w:spacing w:after="0"/>
              <w:rPr>
                <w:sz w:val="19"/>
                <w:szCs w:val="19"/>
                <w:color w:val="auto"/>
              </w:rPr>
            </w:pPr>
          </w:p>
        </w:tc>
        <w:tc>
          <w:tcPr>
            <w:tcW w:w="320" w:type="dxa"/>
            <w:vAlign w:val="bottom"/>
          </w:tcPr>
          <w:p>
            <w:pPr>
              <w:jc w:val="right"/>
              <w:ind w:right="149"/>
              <w:spacing w:after="0"/>
              <w:rPr>
                <w:sz w:val="20"/>
                <w:szCs w:val="20"/>
                <w:color w:val="auto"/>
              </w:rPr>
            </w:pPr>
            <w:r>
              <w:rPr>
                <w:rFonts w:ascii="Arial" w:cs="Arial" w:eastAsia="Arial" w:hAnsi="Arial"/>
                <w:sz w:val="13"/>
                <w:szCs w:val="13"/>
                <w:color w:val="auto"/>
                <w:w w:val="76"/>
              </w:rPr>
              <w:t>—</w:t>
            </w:r>
          </w:p>
        </w:tc>
        <w:tc>
          <w:tcPr>
            <w:tcW w:w="1160" w:type="dxa"/>
            <w:vAlign w:val="bottom"/>
          </w:tcPr>
          <w:p>
            <w:pPr>
              <w:ind w:left="820"/>
              <w:spacing w:after="0"/>
              <w:rPr>
                <w:sz w:val="20"/>
                <w:szCs w:val="20"/>
                <w:color w:val="auto"/>
              </w:rPr>
            </w:pPr>
            <w:r>
              <w:rPr>
                <w:rFonts w:ascii="Arial" w:cs="Arial" w:eastAsia="Arial" w:hAnsi="Arial"/>
                <w:sz w:val="13"/>
                <w:szCs w:val="13"/>
                <w:color w:val="auto"/>
              </w:rPr>
              <w:t>—</w:t>
            </w:r>
          </w:p>
        </w:tc>
        <w:tc>
          <w:tcPr>
            <w:tcW w:w="780" w:type="dxa"/>
            <w:vAlign w:val="bottom"/>
          </w:tcPr>
          <w:p>
            <w:pPr>
              <w:jc w:val="center"/>
              <w:ind w:left="117"/>
              <w:spacing w:after="0"/>
              <w:rPr>
                <w:sz w:val="20"/>
                <w:szCs w:val="20"/>
                <w:color w:val="auto"/>
              </w:rPr>
            </w:pPr>
            <w:r>
              <w:rPr>
                <w:rFonts w:ascii="Arial" w:cs="Arial" w:eastAsia="Arial" w:hAnsi="Arial"/>
                <w:sz w:val="13"/>
                <w:szCs w:val="13"/>
                <w:color w:val="auto"/>
                <w:w w:val="98"/>
              </w:rPr>
              <w:t>25.75</w:t>
            </w:r>
          </w:p>
        </w:tc>
        <w:tc>
          <w:tcPr>
            <w:tcW w:w="960" w:type="dxa"/>
            <w:vAlign w:val="bottom"/>
          </w:tcPr>
          <w:p>
            <w:pPr>
              <w:jc w:val="center"/>
              <w:ind w:right="17"/>
              <w:spacing w:after="0"/>
              <w:rPr>
                <w:sz w:val="20"/>
                <w:szCs w:val="20"/>
                <w:color w:val="auto"/>
              </w:rPr>
            </w:pPr>
            <w:r>
              <w:rPr>
                <w:rFonts w:ascii="Arial" w:cs="Arial" w:eastAsia="Arial" w:hAnsi="Arial"/>
                <w:sz w:val="13"/>
                <w:szCs w:val="13"/>
                <w:color w:val="auto"/>
                <w:w w:val="96"/>
              </w:rPr>
              <w:t>2/27/2027</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1180" w:type="dxa"/>
            <w:vAlign w:val="bottom"/>
            <w:tcBorders>
              <w:left w:val="single" w:sz="8" w:color="181818"/>
            </w:tcBorders>
          </w:tcPr>
          <w:p>
            <w:pPr>
              <w:spacing w:after="0"/>
              <w:rPr>
                <w:sz w:val="7"/>
                <w:szCs w:val="7"/>
                <w:color w:val="auto"/>
              </w:rPr>
            </w:pPr>
          </w:p>
        </w:tc>
        <w:tc>
          <w:tcPr>
            <w:tcW w:w="1220" w:type="dxa"/>
            <w:vAlign w:val="bottom"/>
            <w:tcBorders>
              <w:bottom w:val="single" w:sz="8" w:color="181818"/>
            </w:tcBorders>
          </w:tcPr>
          <w:p>
            <w:pPr>
              <w:spacing w:after="0"/>
              <w:rPr>
                <w:sz w:val="7"/>
                <w:szCs w:val="7"/>
                <w:color w:val="auto"/>
              </w:rPr>
            </w:pPr>
          </w:p>
        </w:tc>
        <w:tc>
          <w:tcPr>
            <w:tcW w:w="1040" w:type="dxa"/>
            <w:vAlign w:val="bottom"/>
            <w:tcBorders>
              <w:bottom w:val="single" w:sz="8" w:color="181818"/>
            </w:tcBorders>
          </w:tcPr>
          <w:p>
            <w:pPr>
              <w:spacing w:after="0"/>
              <w:rPr>
                <w:sz w:val="7"/>
                <w:szCs w:val="7"/>
                <w:color w:val="auto"/>
              </w:rPr>
            </w:pPr>
          </w:p>
        </w:tc>
        <w:tc>
          <w:tcPr>
            <w:tcW w:w="320" w:type="dxa"/>
            <w:vAlign w:val="bottom"/>
            <w:tcBorders>
              <w:bottom w:val="single" w:sz="8" w:color="181818"/>
            </w:tcBorders>
          </w:tcPr>
          <w:p>
            <w:pPr>
              <w:spacing w:after="0"/>
              <w:rPr>
                <w:sz w:val="7"/>
                <w:szCs w:val="7"/>
                <w:color w:val="auto"/>
              </w:rPr>
            </w:pPr>
          </w:p>
        </w:tc>
        <w:tc>
          <w:tcPr>
            <w:tcW w:w="116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960" w:type="dxa"/>
            <w:vAlign w:val="bottom"/>
            <w:tcBorders>
              <w:bottom w:val="single" w:sz="8" w:color="181818"/>
            </w:tcBorders>
          </w:tcPr>
          <w:p>
            <w:pPr>
              <w:spacing w:after="0"/>
              <w:rPr>
                <w:sz w:val="7"/>
                <w:szCs w:val="7"/>
                <w:color w:val="auto"/>
              </w:rPr>
            </w:pPr>
          </w:p>
        </w:tc>
        <w:tc>
          <w:tcPr>
            <w:tcW w:w="102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500" w:type="dxa"/>
            <w:vAlign w:val="bottom"/>
            <w:tcBorders>
              <w:bottom w:val="single" w:sz="8" w:color="181818"/>
            </w:tcBorders>
          </w:tcPr>
          <w:p>
            <w:pPr>
              <w:spacing w:after="0"/>
              <w:rPr>
                <w:sz w:val="7"/>
                <w:szCs w:val="7"/>
                <w:color w:val="auto"/>
              </w:rPr>
            </w:pPr>
          </w:p>
        </w:tc>
        <w:tc>
          <w:tcPr>
            <w:tcW w:w="130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181818"/>
            </w:tcBorders>
          </w:tcPr>
          <w:p>
            <w:pPr>
              <w:spacing w:after="0"/>
              <w:rPr>
                <w:sz w:val="19"/>
                <w:szCs w:val="19"/>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8,000</w:t>
            </w:r>
          </w:p>
        </w:tc>
        <w:tc>
          <w:tcPr>
            <w:tcW w:w="1040" w:type="dxa"/>
            <w:vAlign w:val="bottom"/>
          </w:tcPr>
          <w:p>
            <w:pPr>
              <w:spacing w:after="0"/>
              <w:rPr>
                <w:sz w:val="19"/>
                <w:szCs w:val="19"/>
                <w:color w:val="auto"/>
              </w:rPr>
            </w:pPr>
          </w:p>
        </w:tc>
        <w:tc>
          <w:tcPr>
            <w:tcW w:w="320" w:type="dxa"/>
            <w:vAlign w:val="bottom"/>
          </w:tcPr>
          <w:p>
            <w:pPr>
              <w:jc w:val="right"/>
              <w:ind w:right="149"/>
              <w:spacing w:after="0"/>
              <w:rPr>
                <w:sz w:val="20"/>
                <w:szCs w:val="20"/>
                <w:color w:val="auto"/>
              </w:rPr>
            </w:pPr>
            <w:r>
              <w:rPr>
                <w:rFonts w:ascii="Arial" w:cs="Arial" w:eastAsia="Arial" w:hAnsi="Arial"/>
                <w:sz w:val="13"/>
                <w:szCs w:val="13"/>
                <w:color w:val="auto"/>
                <w:w w:val="76"/>
              </w:rPr>
              <w:t>—</w:t>
            </w:r>
          </w:p>
        </w:tc>
        <w:tc>
          <w:tcPr>
            <w:tcW w:w="1160" w:type="dxa"/>
            <w:vAlign w:val="bottom"/>
          </w:tcPr>
          <w:p>
            <w:pPr>
              <w:ind w:left="820"/>
              <w:spacing w:after="0"/>
              <w:rPr>
                <w:sz w:val="20"/>
                <w:szCs w:val="20"/>
                <w:color w:val="auto"/>
              </w:rPr>
            </w:pPr>
            <w:r>
              <w:rPr>
                <w:rFonts w:ascii="Arial" w:cs="Arial" w:eastAsia="Arial" w:hAnsi="Arial"/>
                <w:sz w:val="13"/>
                <w:szCs w:val="13"/>
                <w:color w:val="auto"/>
              </w:rPr>
              <w:t>—</w:t>
            </w:r>
          </w:p>
        </w:tc>
        <w:tc>
          <w:tcPr>
            <w:tcW w:w="780" w:type="dxa"/>
            <w:vAlign w:val="bottom"/>
          </w:tcPr>
          <w:p>
            <w:pPr>
              <w:jc w:val="center"/>
              <w:ind w:left="117"/>
              <w:spacing w:after="0"/>
              <w:rPr>
                <w:sz w:val="20"/>
                <w:szCs w:val="20"/>
                <w:color w:val="auto"/>
              </w:rPr>
            </w:pPr>
            <w:r>
              <w:rPr>
                <w:rFonts w:ascii="Arial" w:cs="Arial" w:eastAsia="Arial" w:hAnsi="Arial"/>
                <w:sz w:val="13"/>
                <w:szCs w:val="13"/>
                <w:color w:val="auto"/>
                <w:w w:val="98"/>
              </w:rPr>
              <w:t>32.50</w:t>
            </w:r>
          </w:p>
        </w:tc>
        <w:tc>
          <w:tcPr>
            <w:tcW w:w="960" w:type="dxa"/>
            <w:vAlign w:val="bottom"/>
          </w:tcPr>
          <w:p>
            <w:pPr>
              <w:jc w:val="center"/>
              <w:ind w:right="37"/>
              <w:spacing w:after="0"/>
              <w:rPr>
                <w:sz w:val="20"/>
                <w:szCs w:val="20"/>
                <w:color w:val="auto"/>
              </w:rPr>
            </w:pPr>
            <w:r>
              <w:rPr>
                <w:rFonts w:ascii="Arial" w:cs="Arial" w:eastAsia="Arial" w:hAnsi="Arial"/>
                <w:sz w:val="13"/>
                <w:szCs w:val="13"/>
                <w:color w:val="auto"/>
                <w:w w:val="98"/>
              </w:rPr>
              <w:t>2/5/2028</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1180" w:type="dxa"/>
            <w:vAlign w:val="bottom"/>
            <w:tcBorders>
              <w:left w:val="single" w:sz="8" w:color="181818"/>
            </w:tcBorders>
          </w:tcPr>
          <w:p>
            <w:pPr>
              <w:spacing w:after="0"/>
              <w:rPr>
                <w:sz w:val="7"/>
                <w:szCs w:val="7"/>
                <w:color w:val="auto"/>
              </w:rPr>
            </w:pPr>
          </w:p>
        </w:tc>
        <w:tc>
          <w:tcPr>
            <w:tcW w:w="1220" w:type="dxa"/>
            <w:vAlign w:val="bottom"/>
            <w:tcBorders>
              <w:bottom w:val="single" w:sz="8" w:color="181818"/>
            </w:tcBorders>
          </w:tcPr>
          <w:p>
            <w:pPr>
              <w:spacing w:after="0"/>
              <w:rPr>
                <w:sz w:val="7"/>
                <w:szCs w:val="7"/>
                <w:color w:val="auto"/>
              </w:rPr>
            </w:pPr>
          </w:p>
        </w:tc>
        <w:tc>
          <w:tcPr>
            <w:tcW w:w="1040" w:type="dxa"/>
            <w:vAlign w:val="bottom"/>
            <w:tcBorders>
              <w:bottom w:val="single" w:sz="8" w:color="181818"/>
            </w:tcBorders>
          </w:tcPr>
          <w:p>
            <w:pPr>
              <w:spacing w:after="0"/>
              <w:rPr>
                <w:sz w:val="7"/>
                <w:szCs w:val="7"/>
                <w:color w:val="auto"/>
              </w:rPr>
            </w:pPr>
          </w:p>
        </w:tc>
        <w:tc>
          <w:tcPr>
            <w:tcW w:w="320" w:type="dxa"/>
            <w:vAlign w:val="bottom"/>
            <w:tcBorders>
              <w:bottom w:val="single" w:sz="8" w:color="181818"/>
            </w:tcBorders>
          </w:tcPr>
          <w:p>
            <w:pPr>
              <w:spacing w:after="0"/>
              <w:rPr>
                <w:sz w:val="7"/>
                <w:szCs w:val="7"/>
                <w:color w:val="auto"/>
              </w:rPr>
            </w:pPr>
          </w:p>
        </w:tc>
        <w:tc>
          <w:tcPr>
            <w:tcW w:w="116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960" w:type="dxa"/>
            <w:vAlign w:val="bottom"/>
            <w:tcBorders>
              <w:bottom w:val="single" w:sz="8" w:color="181818"/>
            </w:tcBorders>
          </w:tcPr>
          <w:p>
            <w:pPr>
              <w:spacing w:after="0"/>
              <w:rPr>
                <w:sz w:val="7"/>
                <w:szCs w:val="7"/>
                <w:color w:val="auto"/>
              </w:rPr>
            </w:pPr>
          </w:p>
        </w:tc>
        <w:tc>
          <w:tcPr>
            <w:tcW w:w="102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500" w:type="dxa"/>
            <w:vAlign w:val="bottom"/>
            <w:tcBorders>
              <w:bottom w:val="single" w:sz="8" w:color="181818"/>
            </w:tcBorders>
          </w:tcPr>
          <w:p>
            <w:pPr>
              <w:spacing w:after="0"/>
              <w:rPr>
                <w:sz w:val="7"/>
                <w:szCs w:val="7"/>
                <w:color w:val="auto"/>
              </w:rPr>
            </w:pPr>
          </w:p>
        </w:tc>
        <w:tc>
          <w:tcPr>
            <w:tcW w:w="130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181818"/>
            </w:tcBorders>
          </w:tcPr>
          <w:p>
            <w:pPr>
              <w:spacing w:after="0"/>
              <w:rPr>
                <w:sz w:val="19"/>
                <w:szCs w:val="19"/>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6,715</w:t>
            </w:r>
          </w:p>
        </w:tc>
        <w:tc>
          <w:tcPr>
            <w:tcW w:w="1040" w:type="dxa"/>
            <w:vAlign w:val="bottom"/>
          </w:tcPr>
          <w:p>
            <w:pPr>
              <w:spacing w:after="0"/>
              <w:rPr>
                <w:sz w:val="19"/>
                <w:szCs w:val="19"/>
                <w:color w:val="auto"/>
              </w:rPr>
            </w:pPr>
          </w:p>
        </w:tc>
        <w:tc>
          <w:tcPr>
            <w:tcW w:w="320" w:type="dxa"/>
            <w:vAlign w:val="bottom"/>
          </w:tcPr>
          <w:p>
            <w:pPr>
              <w:jc w:val="right"/>
              <w:ind w:right="149"/>
              <w:spacing w:after="0"/>
              <w:rPr>
                <w:sz w:val="20"/>
                <w:szCs w:val="20"/>
                <w:color w:val="auto"/>
              </w:rPr>
            </w:pPr>
            <w:r>
              <w:rPr>
                <w:rFonts w:ascii="Arial" w:cs="Arial" w:eastAsia="Arial" w:hAnsi="Arial"/>
                <w:sz w:val="13"/>
                <w:szCs w:val="13"/>
                <w:color w:val="auto"/>
                <w:w w:val="76"/>
              </w:rPr>
              <w:t>—</w:t>
            </w:r>
          </w:p>
        </w:tc>
        <w:tc>
          <w:tcPr>
            <w:tcW w:w="1160" w:type="dxa"/>
            <w:vAlign w:val="bottom"/>
          </w:tcPr>
          <w:p>
            <w:pPr>
              <w:ind w:left="820"/>
              <w:spacing w:after="0"/>
              <w:rPr>
                <w:sz w:val="20"/>
                <w:szCs w:val="20"/>
                <w:color w:val="auto"/>
              </w:rPr>
            </w:pPr>
            <w:r>
              <w:rPr>
                <w:rFonts w:ascii="Arial" w:cs="Arial" w:eastAsia="Arial" w:hAnsi="Arial"/>
                <w:sz w:val="13"/>
                <w:szCs w:val="13"/>
                <w:color w:val="auto"/>
              </w:rPr>
              <w:t>—</w:t>
            </w:r>
          </w:p>
        </w:tc>
        <w:tc>
          <w:tcPr>
            <w:tcW w:w="780" w:type="dxa"/>
            <w:vAlign w:val="bottom"/>
          </w:tcPr>
          <w:p>
            <w:pPr>
              <w:jc w:val="center"/>
              <w:ind w:left="117"/>
              <w:spacing w:after="0"/>
              <w:rPr>
                <w:sz w:val="20"/>
                <w:szCs w:val="20"/>
                <w:color w:val="auto"/>
              </w:rPr>
            </w:pPr>
            <w:r>
              <w:rPr>
                <w:rFonts w:ascii="Arial" w:cs="Arial" w:eastAsia="Arial" w:hAnsi="Arial"/>
                <w:sz w:val="13"/>
                <w:szCs w:val="13"/>
                <w:color w:val="auto"/>
                <w:w w:val="98"/>
              </w:rPr>
              <w:t>42.14</w:t>
            </w:r>
          </w:p>
        </w:tc>
        <w:tc>
          <w:tcPr>
            <w:tcW w:w="960" w:type="dxa"/>
            <w:vAlign w:val="bottom"/>
          </w:tcPr>
          <w:p>
            <w:pPr>
              <w:jc w:val="center"/>
              <w:ind w:right="37"/>
              <w:spacing w:after="0"/>
              <w:rPr>
                <w:sz w:val="20"/>
                <w:szCs w:val="20"/>
                <w:color w:val="auto"/>
              </w:rPr>
            </w:pPr>
            <w:r>
              <w:rPr>
                <w:rFonts w:ascii="Arial" w:cs="Arial" w:eastAsia="Arial" w:hAnsi="Arial"/>
                <w:sz w:val="13"/>
                <w:szCs w:val="13"/>
                <w:color w:val="auto"/>
                <w:w w:val="93"/>
              </w:rPr>
              <w:t>2/11/2029</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180" w:type="dxa"/>
            <w:vAlign w:val="bottom"/>
            <w:tcBorders>
              <w:left w:val="single" w:sz="8" w:color="181818"/>
            </w:tcBorders>
            <w:vMerge w:val="restart"/>
          </w:tcPr>
          <w:p>
            <w:pPr>
              <w:ind w:left="60"/>
              <w:spacing w:after="0"/>
              <w:rPr>
                <w:sz w:val="20"/>
                <w:szCs w:val="20"/>
                <w:color w:val="auto"/>
              </w:rPr>
            </w:pPr>
            <w:r>
              <w:rPr>
                <w:rFonts w:ascii="Arial" w:cs="Arial" w:eastAsia="Arial" w:hAnsi="Arial"/>
                <w:sz w:val="13"/>
                <w:szCs w:val="13"/>
                <w:b w:val="1"/>
                <w:bCs w:val="1"/>
                <w:color w:val="181818"/>
              </w:rPr>
              <w:t>Christopher E.</w:t>
            </w:r>
          </w:p>
        </w:tc>
        <w:tc>
          <w:tcPr>
            <w:tcW w:w="1220" w:type="dxa"/>
            <w:vAlign w:val="bottom"/>
            <w:tcBorders>
              <w:bottom w:val="single" w:sz="8" w:color="181818"/>
            </w:tcBorders>
          </w:tcPr>
          <w:p>
            <w:pPr>
              <w:spacing w:after="0"/>
              <w:rPr>
                <w:sz w:val="7"/>
                <w:szCs w:val="7"/>
                <w:color w:val="auto"/>
              </w:rPr>
            </w:pPr>
          </w:p>
        </w:tc>
        <w:tc>
          <w:tcPr>
            <w:tcW w:w="1040" w:type="dxa"/>
            <w:vAlign w:val="bottom"/>
            <w:tcBorders>
              <w:bottom w:val="single" w:sz="8" w:color="181818"/>
            </w:tcBorders>
          </w:tcPr>
          <w:p>
            <w:pPr>
              <w:spacing w:after="0"/>
              <w:rPr>
                <w:sz w:val="7"/>
                <w:szCs w:val="7"/>
                <w:color w:val="auto"/>
              </w:rPr>
            </w:pPr>
          </w:p>
        </w:tc>
        <w:tc>
          <w:tcPr>
            <w:tcW w:w="320" w:type="dxa"/>
            <w:vAlign w:val="bottom"/>
            <w:tcBorders>
              <w:bottom w:val="single" w:sz="8" w:color="181818"/>
            </w:tcBorders>
          </w:tcPr>
          <w:p>
            <w:pPr>
              <w:spacing w:after="0"/>
              <w:rPr>
                <w:sz w:val="7"/>
                <w:szCs w:val="7"/>
                <w:color w:val="auto"/>
              </w:rPr>
            </w:pPr>
          </w:p>
        </w:tc>
        <w:tc>
          <w:tcPr>
            <w:tcW w:w="116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960" w:type="dxa"/>
            <w:vAlign w:val="bottom"/>
            <w:tcBorders>
              <w:bottom w:val="single" w:sz="8" w:color="181818"/>
            </w:tcBorders>
          </w:tcPr>
          <w:p>
            <w:pPr>
              <w:spacing w:after="0"/>
              <w:rPr>
                <w:sz w:val="7"/>
                <w:szCs w:val="7"/>
                <w:color w:val="auto"/>
              </w:rPr>
            </w:pPr>
          </w:p>
        </w:tc>
        <w:tc>
          <w:tcPr>
            <w:tcW w:w="102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500" w:type="dxa"/>
            <w:vAlign w:val="bottom"/>
            <w:tcBorders>
              <w:bottom w:val="single" w:sz="8" w:color="181818"/>
            </w:tcBorders>
          </w:tcPr>
          <w:p>
            <w:pPr>
              <w:spacing w:after="0"/>
              <w:rPr>
                <w:sz w:val="7"/>
                <w:szCs w:val="7"/>
                <w:color w:val="auto"/>
              </w:rPr>
            </w:pPr>
          </w:p>
        </w:tc>
        <w:tc>
          <w:tcPr>
            <w:tcW w:w="130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180" w:type="dxa"/>
            <w:vAlign w:val="bottom"/>
            <w:tcBorders>
              <w:left w:val="single" w:sz="8" w:color="181818"/>
            </w:tcBorders>
            <w:vMerge w:val="continue"/>
          </w:tcPr>
          <w:p>
            <w:pPr>
              <w:spacing w:after="0"/>
              <w:rPr>
                <w:sz w:val="11"/>
                <w:szCs w:val="11"/>
                <w:color w:val="auto"/>
              </w:rPr>
            </w:pPr>
          </w:p>
        </w:tc>
        <w:tc>
          <w:tcPr>
            <w:tcW w:w="1220" w:type="dxa"/>
            <w:vAlign w:val="bottom"/>
            <w:vMerge w:val="restart"/>
          </w:tcPr>
          <w:p>
            <w:pPr>
              <w:jc w:val="right"/>
              <w:ind w:right="57"/>
              <w:spacing w:after="0"/>
              <w:rPr>
                <w:sz w:val="20"/>
                <w:szCs w:val="20"/>
                <w:color w:val="auto"/>
              </w:rPr>
            </w:pPr>
            <w:r>
              <w:rPr>
                <w:rFonts w:ascii="Arial" w:cs="Arial" w:eastAsia="Arial" w:hAnsi="Arial"/>
                <w:sz w:val="13"/>
                <w:szCs w:val="13"/>
                <w:color w:val="auto"/>
              </w:rPr>
              <w:t>62,500</w:t>
            </w:r>
          </w:p>
        </w:tc>
        <w:tc>
          <w:tcPr>
            <w:tcW w:w="1040" w:type="dxa"/>
            <w:vAlign w:val="bottom"/>
          </w:tcPr>
          <w:p>
            <w:pPr>
              <w:spacing w:after="0"/>
              <w:rPr>
                <w:sz w:val="11"/>
                <w:szCs w:val="11"/>
                <w:color w:val="auto"/>
              </w:rPr>
            </w:pPr>
          </w:p>
        </w:tc>
        <w:tc>
          <w:tcPr>
            <w:tcW w:w="320" w:type="dxa"/>
            <w:vAlign w:val="bottom"/>
            <w:vMerge w:val="restart"/>
          </w:tcPr>
          <w:p>
            <w:pPr>
              <w:jc w:val="right"/>
              <w:ind w:right="149"/>
              <w:spacing w:after="0"/>
              <w:rPr>
                <w:sz w:val="20"/>
                <w:szCs w:val="20"/>
                <w:color w:val="auto"/>
              </w:rPr>
            </w:pPr>
            <w:r>
              <w:rPr>
                <w:rFonts w:ascii="Arial" w:cs="Arial" w:eastAsia="Arial" w:hAnsi="Arial"/>
                <w:sz w:val="13"/>
                <w:szCs w:val="13"/>
                <w:color w:val="auto"/>
                <w:w w:val="76"/>
              </w:rPr>
              <w:t>—</w:t>
            </w:r>
          </w:p>
        </w:tc>
        <w:tc>
          <w:tcPr>
            <w:tcW w:w="1160" w:type="dxa"/>
            <w:vAlign w:val="bottom"/>
            <w:vMerge w:val="restart"/>
          </w:tcPr>
          <w:p>
            <w:pPr>
              <w:ind w:left="8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ind w:left="117"/>
              <w:spacing w:after="0"/>
              <w:rPr>
                <w:sz w:val="20"/>
                <w:szCs w:val="20"/>
                <w:color w:val="auto"/>
              </w:rPr>
            </w:pPr>
            <w:r>
              <w:rPr>
                <w:rFonts w:ascii="Arial" w:cs="Arial" w:eastAsia="Arial" w:hAnsi="Arial"/>
                <w:sz w:val="13"/>
                <w:szCs w:val="13"/>
                <w:color w:val="auto"/>
                <w:w w:val="98"/>
              </w:rPr>
              <w:t>34.40</w:t>
            </w:r>
          </w:p>
        </w:tc>
        <w:tc>
          <w:tcPr>
            <w:tcW w:w="960" w:type="dxa"/>
            <w:vAlign w:val="bottom"/>
            <w:vMerge w:val="restart"/>
          </w:tcPr>
          <w:p>
            <w:pPr>
              <w:jc w:val="center"/>
              <w:ind w:right="37"/>
              <w:spacing w:after="0"/>
              <w:rPr>
                <w:sz w:val="20"/>
                <w:szCs w:val="20"/>
                <w:color w:val="auto"/>
              </w:rPr>
            </w:pPr>
            <w:r>
              <w:rPr>
                <w:rFonts w:ascii="Arial" w:cs="Arial" w:eastAsia="Arial" w:hAnsi="Arial"/>
                <w:sz w:val="13"/>
                <w:szCs w:val="13"/>
                <w:color w:val="auto"/>
                <w:w w:val="95"/>
              </w:rPr>
              <w:t>10/21/2030</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300" w:type="dxa"/>
            <w:vAlign w:val="bottom"/>
            <w:tcBorders>
              <w:right w:val="single" w:sz="8" w:color="181818"/>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180" w:type="dxa"/>
            <w:vAlign w:val="bottom"/>
            <w:tcBorders>
              <w:left w:val="single" w:sz="8" w:color="181818"/>
            </w:tcBorders>
            <w:vMerge w:val="restart"/>
          </w:tcPr>
          <w:p>
            <w:pPr>
              <w:ind w:left="60"/>
              <w:spacing w:after="0"/>
              <w:rPr>
                <w:sz w:val="20"/>
                <w:szCs w:val="20"/>
                <w:color w:val="auto"/>
              </w:rPr>
            </w:pPr>
            <w:r>
              <w:rPr>
                <w:rFonts w:ascii="Arial" w:cs="Arial" w:eastAsia="Arial" w:hAnsi="Arial"/>
                <w:sz w:val="13"/>
                <w:szCs w:val="13"/>
                <w:b w:val="1"/>
                <w:bCs w:val="1"/>
                <w:color w:val="181818"/>
              </w:rPr>
              <w:t>Guttman-McCabe</w:t>
            </w:r>
          </w:p>
        </w:tc>
        <w:tc>
          <w:tcPr>
            <w:tcW w:w="12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300" w:type="dxa"/>
            <w:vAlign w:val="bottom"/>
            <w:tcBorders>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80" w:type="dxa"/>
            <w:vAlign w:val="bottom"/>
            <w:tcBorders>
              <w:left w:val="single" w:sz="8" w:color="181818"/>
            </w:tcBorders>
            <w:vMerge w:val="continue"/>
          </w:tcPr>
          <w:p>
            <w:pPr>
              <w:spacing w:after="0"/>
              <w:rPr>
                <w:sz w:val="7"/>
                <w:szCs w:val="7"/>
                <w:color w:val="auto"/>
              </w:rPr>
            </w:pPr>
          </w:p>
        </w:tc>
        <w:tc>
          <w:tcPr>
            <w:tcW w:w="1220" w:type="dxa"/>
            <w:vAlign w:val="bottom"/>
            <w:tcBorders>
              <w:bottom w:val="single" w:sz="8" w:color="181818"/>
            </w:tcBorders>
          </w:tcPr>
          <w:p>
            <w:pPr>
              <w:spacing w:after="0"/>
              <w:rPr>
                <w:sz w:val="7"/>
                <w:szCs w:val="7"/>
                <w:color w:val="auto"/>
              </w:rPr>
            </w:pPr>
          </w:p>
        </w:tc>
        <w:tc>
          <w:tcPr>
            <w:tcW w:w="1040" w:type="dxa"/>
            <w:vAlign w:val="bottom"/>
            <w:tcBorders>
              <w:bottom w:val="single" w:sz="8" w:color="181818"/>
            </w:tcBorders>
          </w:tcPr>
          <w:p>
            <w:pPr>
              <w:spacing w:after="0"/>
              <w:rPr>
                <w:sz w:val="7"/>
                <w:szCs w:val="7"/>
                <w:color w:val="auto"/>
              </w:rPr>
            </w:pPr>
          </w:p>
        </w:tc>
        <w:tc>
          <w:tcPr>
            <w:tcW w:w="320" w:type="dxa"/>
            <w:vAlign w:val="bottom"/>
            <w:tcBorders>
              <w:bottom w:val="single" w:sz="8" w:color="181818"/>
            </w:tcBorders>
          </w:tcPr>
          <w:p>
            <w:pPr>
              <w:spacing w:after="0"/>
              <w:rPr>
                <w:sz w:val="7"/>
                <w:szCs w:val="7"/>
                <w:color w:val="auto"/>
              </w:rPr>
            </w:pPr>
          </w:p>
        </w:tc>
        <w:tc>
          <w:tcPr>
            <w:tcW w:w="116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960" w:type="dxa"/>
            <w:vAlign w:val="bottom"/>
            <w:tcBorders>
              <w:bottom w:val="single" w:sz="8" w:color="181818"/>
            </w:tcBorders>
          </w:tcPr>
          <w:p>
            <w:pPr>
              <w:spacing w:after="0"/>
              <w:rPr>
                <w:sz w:val="7"/>
                <w:szCs w:val="7"/>
                <w:color w:val="auto"/>
              </w:rPr>
            </w:pPr>
          </w:p>
        </w:tc>
        <w:tc>
          <w:tcPr>
            <w:tcW w:w="102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500" w:type="dxa"/>
            <w:vAlign w:val="bottom"/>
            <w:tcBorders>
              <w:bottom w:val="single" w:sz="8" w:color="181818"/>
            </w:tcBorders>
          </w:tcPr>
          <w:p>
            <w:pPr>
              <w:spacing w:after="0"/>
              <w:rPr>
                <w:sz w:val="7"/>
                <w:szCs w:val="7"/>
                <w:color w:val="auto"/>
              </w:rPr>
            </w:pPr>
          </w:p>
        </w:tc>
        <w:tc>
          <w:tcPr>
            <w:tcW w:w="130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180" w:type="dxa"/>
            <w:vAlign w:val="bottom"/>
            <w:tcBorders>
              <w:left w:val="single" w:sz="8" w:color="181818"/>
            </w:tcBorders>
          </w:tcPr>
          <w:p>
            <w:pPr>
              <w:spacing w:after="0"/>
              <w:rPr>
                <w:sz w:val="19"/>
                <w:szCs w:val="19"/>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19,133</w:t>
            </w:r>
          </w:p>
        </w:tc>
        <w:tc>
          <w:tcPr>
            <w:tcW w:w="1040" w:type="dxa"/>
            <w:vAlign w:val="bottom"/>
          </w:tcPr>
          <w:p>
            <w:pPr>
              <w:jc w:val="right"/>
              <w:spacing w:after="0"/>
              <w:rPr>
                <w:sz w:val="20"/>
                <w:szCs w:val="20"/>
                <w:color w:val="auto"/>
              </w:rPr>
            </w:pPr>
            <w:r>
              <w:rPr>
                <w:rFonts w:ascii="Arial" w:cs="Arial" w:eastAsia="Arial" w:hAnsi="Arial"/>
                <w:sz w:val="13"/>
                <w:szCs w:val="13"/>
                <w:color w:val="auto"/>
              </w:rPr>
              <w:t>6,378</w:t>
            </w:r>
          </w:p>
        </w:tc>
        <w:tc>
          <w:tcPr>
            <w:tcW w:w="320" w:type="dxa"/>
            <w:vAlign w:val="bottom"/>
          </w:tcPr>
          <w:p>
            <w:pPr>
              <w:jc w:val="right"/>
              <w:ind w:right="149"/>
              <w:spacing w:after="0"/>
              <w:rPr>
                <w:sz w:val="20"/>
                <w:szCs w:val="20"/>
                <w:color w:val="auto"/>
              </w:rPr>
            </w:pPr>
            <w:r>
              <w:rPr>
                <w:rFonts w:ascii="Arial" w:cs="Arial" w:eastAsia="Arial" w:hAnsi="Arial"/>
                <w:sz w:val="8"/>
                <w:szCs w:val="8"/>
                <w:color w:val="auto"/>
              </w:rPr>
              <w:t>(6)</w:t>
            </w:r>
          </w:p>
        </w:tc>
        <w:tc>
          <w:tcPr>
            <w:tcW w:w="1160" w:type="dxa"/>
            <w:vAlign w:val="bottom"/>
          </w:tcPr>
          <w:p>
            <w:pPr>
              <w:ind w:left="820"/>
              <w:spacing w:after="0"/>
              <w:rPr>
                <w:sz w:val="20"/>
                <w:szCs w:val="20"/>
                <w:color w:val="auto"/>
              </w:rPr>
            </w:pPr>
            <w:r>
              <w:rPr>
                <w:rFonts w:ascii="Arial" w:cs="Arial" w:eastAsia="Arial" w:hAnsi="Arial"/>
                <w:sz w:val="13"/>
                <w:szCs w:val="13"/>
                <w:color w:val="auto"/>
              </w:rPr>
              <w:t>—</w:t>
            </w:r>
          </w:p>
        </w:tc>
        <w:tc>
          <w:tcPr>
            <w:tcW w:w="780" w:type="dxa"/>
            <w:vAlign w:val="bottom"/>
          </w:tcPr>
          <w:p>
            <w:pPr>
              <w:jc w:val="center"/>
              <w:ind w:left="117"/>
              <w:spacing w:after="0"/>
              <w:rPr>
                <w:sz w:val="20"/>
                <w:szCs w:val="20"/>
                <w:color w:val="auto"/>
              </w:rPr>
            </w:pPr>
            <w:r>
              <w:rPr>
                <w:rFonts w:ascii="Arial" w:cs="Arial" w:eastAsia="Arial" w:hAnsi="Arial"/>
                <w:sz w:val="13"/>
                <w:szCs w:val="13"/>
                <w:color w:val="auto"/>
                <w:w w:val="98"/>
              </w:rPr>
              <w:t>49.39</w:t>
            </w:r>
          </w:p>
        </w:tc>
        <w:tc>
          <w:tcPr>
            <w:tcW w:w="960" w:type="dxa"/>
            <w:vAlign w:val="bottom"/>
          </w:tcPr>
          <w:p>
            <w:pPr>
              <w:jc w:val="center"/>
              <w:ind w:right="17"/>
              <w:spacing w:after="0"/>
              <w:rPr>
                <w:sz w:val="20"/>
                <w:szCs w:val="20"/>
                <w:color w:val="auto"/>
              </w:rPr>
            </w:pPr>
            <w:r>
              <w:rPr>
                <w:rFonts w:ascii="Arial" w:cs="Arial" w:eastAsia="Arial" w:hAnsi="Arial"/>
                <w:sz w:val="13"/>
                <w:szCs w:val="13"/>
                <w:color w:val="auto"/>
                <w:w w:val="96"/>
              </w:rPr>
              <w:t>5/17/2032</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180" w:type="dxa"/>
            <w:vAlign w:val="bottom"/>
            <w:tcBorders>
              <w:left w:val="single" w:sz="8" w:color="181818"/>
            </w:tcBorders>
          </w:tcPr>
          <w:p>
            <w:pPr>
              <w:spacing w:after="0"/>
              <w:rPr>
                <w:sz w:val="7"/>
                <w:szCs w:val="7"/>
                <w:color w:val="auto"/>
              </w:rPr>
            </w:pPr>
          </w:p>
        </w:tc>
        <w:tc>
          <w:tcPr>
            <w:tcW w:w="1220" w:type="dxa"/>
            <w:vAlign w:val="bottom"/>
            <w:tcBorders>
              <w:bottom w:val="single" w:sz="8" w:color="181818"/>
            </w:tcBorders>
          </w:tcPr>
          <w:p>
            <w:pPr>
              <w:spacing w:after="0"/>
              <w:rPr>
                <w:sz w:val="7"/>
                <w:szCs w:val="7"/>
                <w:color w:val="auto"/>
              </w:rPr>
            </w:pPr>
          </w:p>
        </w:tc>
        <w:tc>
          <w:tcPr>
            <w:tcW w:w="1040" w:type="dxa"/>
            <w:vAlign w:val="bottom"/>
            <w:tcBorders>
              <w:bottom w:val="single" w:sz="8" w:color="181818"/>
            </w:tcBorders>
          </w:tcPr>
          <w:p>
            <w:pPr>
              <w:spacing w:after="0"/>
              <w:rPr>
                <w:sz w:val="7"/>
                <w:szCs w:val="7"/>
                <w:color w:val="auto"/>
              </w:rPr>
            </w:pPr>
          </w:p>
        </w:tc>
        <w:tc>
          <w:tcPr>
            <w:tcW w:w="320" w:type="dxa"/>
            <w:vAlign w:val="bottom"/>
            <w:tcBorders>
              <w:bottom w:val="single" w:sz="8" w:color="181818"/>
            </w:tcBorders>
          </w:tcPr>
          <w:p>
            <w:pPr>
              <w:spacing w:after="0"/>
              <w:rPr>
                <w:sz w:val="7"/>
                <w:szCs w:val="7"/>
                <w:color w:val="auto"/>
              </w:rPr>
            </w:pPr>
          </w:p>
        </w:tc>
        <w:tc>
          <w:tcPr>
            <w:tcW w:w="116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960" w:type="dxa"/>
            <w:vAlign w:val="bottom"/>
            <w:tcBorders>
              <w:bottom w:val="single" w:sz="8" w:color="181818"/>
            </w:tcBorders>
          </w:tcPr>
          <w:p>
            <w:pPr>
              <w:spacing w:after="0"/>
              <w:rPr>
                <w:sz w:val="7"/>
                <w:szCs w:val="7"/>
                <w:color w:val="auto"/>
              </w:rPr>
            </w:pPr>
          </w:p>
        </w:tc>
        <w:tc>
          <w:tcPr>
            <w:tcW w:w="102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500" w:type="dxa"/>
            <w:vAlign w:val="bottom"/>
            <w:tcBorders>
              <w:bottom w:val="single" w:sz="8" w:color="181818"/>
            </w:tcBorders>
          </w:tcPr>
          <w:p>
            <w:pPr>
              <w:spacing w:after="0"/>
              <w:rPr>
                <w:sz w:val="7"/>
                <w:szCs w:val="7"/>
                <w:color w:val="auto"/>
              </w:rPr>
            </w:pPr>
          </w:p>
        </w:tc>
        <w:tc>
          <w:tcPr>
            <w:tcW w:w="130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181818"/>
            </w:tcBorders>
          </w:tcPr>
          <w:p>
            <w:pPr>
              <w:spacing w:after="0"/>
              <w:rPr>
                <w:sz w:val="19"/>
                <w:szCs w:val="19"/>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40,000</w:t>
            </w:r>
          </w:p>
        </w:tc>
        <w:tc>
          <w:tcPr>
            <w:tcW w:w="1040" w:type="dxa"/>
            <w:vAlign w:val="bottom"/>
          </w:tcPr>
          <w:p>
            <w:pPr>
              <w:jc w:val="right"/>
              <w:spacing w:after="0"/>
              <w:rPr>
                <w:sz w:val="20"/>
                <w:szCs w:val="20"/>
                <w:color w:val="auto"/>
              </w:rPr>
            </w:pPr>
            <w:r>
              <w:rPr>
                <w:rFonts w:ascii="Arial" w:cs="Arial" w:eastAsia="Arial" w:hAnsi="Arial"/>
                <w:sz w:val="13"/>
                <w:szCs w:val="13"/>
                <w:color w:val="auto"/>
              </w:rPr>
              <w:t>20,000</w:t>
            </w:r>
          </w:p>
        </w:tc>
        <w:tc>
          <w:tcPr>
            <w:tcW w:w="320" w:type="dxa"/>
            <w:vAlign w:val="bottom"/>
          </w:tcPr>
          <w:p>
            <w:pPr>
              <w:jc w:val="right"/>
              <w:ind w:right="149"/>
              <w:spacing w:after="0"/>
              <w:rPr>
                <w:sz w:val="20"/>
                <w:szCs w:val="20"/>
                <w:color w:val="auto"/>
              </w:rPr>
            </w:pPr>
            <w:r>
              <w:rPr>
                <w:rFonts w:ascii="Arial" w:cs="Arial" w:eastAsia="Arial" w:hAnsi="Arial"/>
                <w:sz w:val="8"/>
                <w:szCs w:val="8"/>
                <w:color w:val="auto"/>
              </w:rPr>
              <w:t>(7)</w:t>
            </w:r>
          </w:p>
        </w:tc>
        <w:tc>
          <w:tcPr>
            <w:tcW w:w="1160" w:type="dxa"/>
            <w:vAlign w:val="bottom"/>
          </w:tcPr>
          <w:p>
            <w:pPr>
              <w:ind w:left="820"/>
              <w:spacing w:after="0"/>
              <w:rPr>
                <w:sz w:val="20"/>
                <w:szCs w:val="20"/>
                <w:color w:val="auto"/>
              </w:rPr>
            </w:pPr>
            <w:r>
              <w:rPr>
                <w:rFonts w:ascii="Arial" w:cs="Arial" w:eastAsia="Arial" w:hAnsi="Arial"/>
                <w:sz w:val="13"/>
                <w:szCs w:val="13"/>
                <w:color w:val="auto"/>
              </w:rPr>
              <w:t>—</w:t>
            </w:r>
          </w:p>
        </w:tc>
        <w:tc>
          <w:tcPr>
            <w:tcW w:w="780" w:type="dxa"/>
            <w:vAlign w:val="bottom"/>
          </w:tcPr>
          <w:p>
            <w:pPr>
              <w:jc w:val="center"/>
              <w:ind w:left="117"/>
              <w:spacing w:after="0"/>
              <w:rPr>
                <w:sz w:val="20"/>
                <w:szCs w:val="20"/>
                <w:color w:val="auto"/>
              </w:rPr>
            </w:pPr>
            <w:r>
              <w:rPr>
                <w:rFonts w:ascii="Arial" w:cs="Arial" w:eastAsia="Arial" w:hAnsi="Arial"/>
                <w:sz w:val="13"/>
                <w:szCs w:val="13"/>
                <w:color w:val="auto"/>
                <w:w w:val="98"/>
              </w:rPr>
              <w:t>37.32</w:t>
            </w:r>
          </w:p>
        </w:tc>
        <w:tc>
          <w:tcPr>
            <w:tcW w:w="960" w:type="dxa"/>
            <w:vAlign w:val="bottom"/>
          </w:tcPr>
          <w:p>
            <w:pPr>
              <w:jc w:val="center"/>
              <w:ind w:right="17"/>
              <w:spacing w:after="0"/>
              <w:rPr>
                <w:sz w:val="20"/>
                <w:szCs w:val="20"/>
                <w:color w:val="auto"/>
              </w:rPr>
            </w:pPr>
            <w:r>
              <w:rPr>
                <w:rFonts w:ascii="Arial" w:cs="Arial" w:eastAsia="Arial" w:hAnsi="Arial"/>
                <w:sz w:val="13"/>
                <w:szCs w:val="13"/>
                <w:color w:val="auto"/>
                <w:w w:val="96"/>
              </w:rPr>
              <w:t>2/28/2034</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1180" w:type="dxa"/>
            <w:vAlign w:val="bottom"/>
            <w:tcBorders>
              <w:left w:val="single" w:sz="8" w:color="181818"/>
            </w:tcBorders>
          </w:tcPr>
          <w:p>
            <w:pPr>
              <w:spacing w:after="0"/>
              <w:rPr>
                <w:sz w:val="7"/>
                <w:szCs w:val="7"/>
                <w:color w:val="auto"/>
              </w:rPr>
            </w:pPr>
          </w:p>
        </w:tc>
        <w:tc>
          <w:tcPr>
            <w:tcW w:w="1220" w:type="dxa"/>
            <w:vAlign w:val="bottom"/>
            <w:tcBorders>
              <w:bottom w:val="single" w:sz="8" w:color="181818"/>
            </w:tcBorders>
          </w:tcPr>
          <w:p>
            <w:pPr>
              <w:spacing w:after="0"/>
              <w:rPr>
                <w:sz w:val="7"/>
                <w:szCs w:val="7"/>
                <w:color w:val="auto"/>
              </w:rPr>
            </w:pPr>
          </w:p>
        </w:tc>
        <w:tc>
          <w:tcPr>
            <w:tcW w:w="1040" w:type="dxa"/>
            <w:vAlign w:val="bottom"/>
            <w:tcBorders>
              <w:bottom w:val="single" w:sz="8" w:color="181818"/>
            </w:tcBorders>
          </w:tcPr>
          <w:p>
            <w:pPr>
              <w:spacing w:after="0"/>
              <w:rPr>
                <w:sz w:val="7"/>
                <w:szCs w:val="7"/>
                <w:color w:val="auto"/>
              </w:rPr>
            </w:pPr>
          </w:p>
        </w:tc>
        <w:tc>
          <w:tcPr>
            <w:tcW w:w="320" w:type="dxa"/>
            <w:vAlign w:val="bottom"/>
            <w:tcBorders>
              <w:bottom w:val="single" w:sz="8" w:color="181818"/>
            </w:tcBorders>
          </w:tcPr>
          <w:p>
            <w:pPr>
              <w:spacing w:after="0"/>
              <w:rPr>
                <w:sz w:val="7"/>
                <w:szCs w:val="7"/>
                <w:color w:val="auto"/>
              </w:rPr>
            </w:pPr>
          </w:p>
        </w:tc>
        <w:tc>
          <w:tcPr>
            <w:tcW w:w="116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960" w:type="dxa"/>
            <w:vAlign w:val="bottom"/>
            <w:tcBorders>
              <w:bottom w:val="single" w:sz="8" w:color="181818"/>
            </w:tcBorders>
          </w:tcPr>
          <w:p>
            <w:pPr>
              <w:spacing w:after="0"/>
              <w:rPr>
                <w:sz w:val="7"/>
                <w:szCs w:val="7"/>
                <w:color w:val="auto"/>
              </w:rPr>
            </w:pPr>
          </w:p>
        </w:tc>
        <w:tc>
          <w:tcPr>
            <w:tcW w:w="102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500" w:type="dxa"/>
            <w:vAlign w:val="bottom"/>
            <w:tcBorders>
              <w:bottom w:val="single" w:sz="8" w:color="181818"/>
            </w:tcBorders>
          </w:tcPr>
          <w:p>
            <w:pPr>
              <w:spacing w:after="0"/>
              <w:rPr>
                <w:sz w:val="7"/>
                <w:szCs w:val="7"/>
                <w:color w:val="auto"/>
              </w:rPr>
            </w:pPr>
          </w:p>
        </w:tc>
        <w:tc>
          <w:tcPr>
            <w:tcW w:w="130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181818"/>
            </w:tcBorders>
          </w:tcPr>
          <w:p>
            <w:pPr>
              <w:spacing w:after="0"/>
              <w:rPr>
                <w:sz w:val="19"/>
                <w:szCs w:val="19"/>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85,000</w:t>
            </w:r>
          </w:p>
        </w:tc>
        <w:tc>
          <w:tcPr>
            <w:tcW w:w="320" w:type="dxa"/>
            <w:vAlign w:val="bottom"/>
          </w:tcPr>
          <w:p>
            <w:pPr>
              <w:jc w:val="right"/>
              <w:ind w:right="149"/>
              <w:spacing w:after="0"/>
              <w:rPr>
                <w:sz w:val="20"/>
                <w:szCs w:val="20"/>
                <w:color w:val="auto"/>
              </w:rPr>
            </w:pPr>
            <w:r>
              <w:rPr>
                <w:rFonts w:ascii="Arial" w:cs="Arial" w:eastAsia="Arial" w:hAnsi="Arial"/>
                <w:sz w:val="8"/>
                <w:szCs w:val="8"/>
                <w:color w:val="auto"/>
              </w:rPr>
              <w:t>(8)</w:t>
            </w:r>
          </w:p>
        </w:tc>
        <w:tc>
          <w:tcPr>
            <w:tcW w:w="1160" w:type="dxa"/>
            <w:vAlign w:val="bottom"/>
          </w:tcPr>
          <w:p>
            <w:pPr>
              <w:ind w:left="820"/>
              <w:spacing w:after="0"/>
              <w:rPr>
                <w:sz w:val="20"/>
                <w:szCs w:val="20"/>
                <w:color w:val="auto"/>
              </w:rPr>
            </w:pPr>
            <w:r>
              <w:rPr>
                <w:rFonts w:ascii="Arial" w:cs="Arial" w:eastAsia="Arial" w:hAnsi="Arial"/>
                <w:sz w:val="13"/>
                <w:szCs w:val="13"/>
                <w:color w:val="auto"/>
              </w:rPr>
              <w:t>—</w:t>
            </w:r>
          </w:p>
        </w:tc>
        <w:tc>
          <w:tcPr>
            <w:tcW w:w="780" w:type="dxa"/>
            <w:vAlign w:val="bottom"/>
          </w:tcPr>
          <w:p>
            <w:pPr>
              <w:jc w:val="center"/>
              <w:ind w:left="117"/>
              <w:spacing w:after="0"/>
              <w:rPr>
                <w:sz w:val="20"/>
                <w:szCs w:val="20"/>
                <w:color w:val="auto"/>
              </w:rPr>
            </w:pPr>
            <w:r>
              <w:rPr>
                <w:rFonts w:ascii="Arial" w:cs="Arial" w:eastAsia="Arial" w:hAnsi="Arial"/>
                <w:sz w:val="13"/>
                <w:szCs w:val="13"/>
                <w:color w:val="auto"/>
                <w:w w:val="98"/>
              </w:rPr>
              <w:t>33.56</w:t>
            </w:r>
          </w:p>
        </w:tc>
        <w:tc>
          <w:tcPr>
            <w:tcW w:w="960" w:type="dxa"/>
            <w:vAlign w:val="bottom"/>
          </w:tcPr>
          <w:p>
            <w:pPr>
              <w:jc w:val="center"/>
              <w:ind w:right="37"/>
              <w:spacing w:after="0"/>
              <w:rPr>
                <w:sz w:val="20"/>
                <w:szCs w:val="20"/>
                <w:color w:val="auto"/>
              </w:rPr>
            </w:pPr>
            <w:r>
              <w:rPr>
                <w:rFonts w:ascii="Arial" w:cs="Arial" w:eastAsia="Arial" w:hAnsi="Arial"/>
                <w:sz w:val="13"/>
                <w:szCs w:val="13"/>
                <w:color w:val="auto"/>
                <w:w w:val="98"/>
              </w:rPr>
              <w:t>8/6/2034</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1180" w:type="dxa"/>
            <w:vAlign w:val="bottom"/>
            <w:tcBorders>
              <w:left w:val="single" w:sz="8" w:color="181818"/>
            </w:tcBorders>
          </w:tcPr>
          <w:p>
            <w:pPr>
              <w:spacing w:after="0"/>
              <w:rPr>
                <w:sz w:val="7"/>
                <w:szCs w:val="7"/>
                <w:color w:val="auto"/>
              </w:rPr>
            </w:pPr>
          </w:p>
        </w:tc>
        <w:tc>
          <w:tcPr>
            <w:tcW w:w="1220" w:type="dxa"/>
            <w:vAlign w:val="bottom"/>
            <w:tcBorders>
              <w:bottom w:val="single" w:sz="8" w:color="181818"/>
            </w:tcBorders>
          </w:tcPr>
          <w:p>
            <w:pPr>
              <w:spacing w:after="0"/>
              <w:rPr>
                <w:sz w:val="7"/>
                <w:szCs w:val="7"/>
                <w:color w:val="auto"/>
              </w:rPr>
            </w:pPr>
          </w:p>
        </w:tc>
        <w:tc>
          <w:tcPr>
            <w:tcW w:w="1040" w:type="dxa"/>
            <w:vAlign w:val="bottom"/>
            <w:tcBorders>
              <w:bottom w:val="single" w:sz="8" w:color="181818"/>
            </w:tcBorders>
          </w:tcPr>
          <w:p>
            <w:pPr>
              <w:spacing w:after="0"/>
              <w:rPr>
                <w:sz w:val="7"/>
                <w:szCs w:val="7"/>
                <w:color w:val="auto"/>
              </w:rPr>
            </w:pPr>
          </w:p>
        </w:tc>
        <w:tc>
          <w:tcPr>
            <w:tcW w:w="320" w:type="dxa"/>
            <w:vAlign w:val="bottom"/>
            <w:tcBorders>
              <w:bottom w:val="single" w:sz="8" w:color="181818"/>
            </w:tcBorders>
          </w:tcPr>
          <w:p>
            <w:pPr>
              <w:spacing w:after="0"/>
              <w:rPr>
                <w:sz w:val="7"/>
                <w:szCs w:val="7"/>
                <w:color w:val="auto"/>
              </w:rPr>
            </w:pPr>
          </w:p>
        </w:tc>
        <w:tc>
          <w:tcPr>
            <w:tcW w:w="116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960" w:type="dxa"/>
            <w:vAlign w:val="bottom"/>
            <w:tcBorders>
              <w:bottom w:val="single" w:sz="8" w:color="181818"/>
            </w:tcBorders>
          </w:tcPr>
          <w:p>
            <w:pPr>
              <w:spacing w:after="0"/>
              <w:rPr>
                <w:sz w:val="7"/>
                <w:szCs w:val="7"/>
                <w:color w:val="auto"/>
              </w:rPr>
            </w:pPr>
          </w:p>
        </w:tc>
        <w:tc>
          <w:tcPr>
            <w:tcW w:w="102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500" w:type="dxa"/>
            <w:vAlign w:val="bottom"/>
            <w:tcBorders>
              <w:bottom w:val="single" w:sz="8" w:color="181818"/>
            </w:tcBorders>
          </w:tcPr>
          <w:p>
            <w:pPr>
              <w:spacing w:after="0"/>
              <w:rPr>
                <w:sz w:val="7"/>
                <w:szCs w:val="7"/>
                <w:color w:val="auto"/>
              </w:rPr>
            </w:pPr>
          </w:p>
        </w:tc>
        <w:tc>
          <w:tcPr>
            <w:tcW w:w="130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181818"/>
            </w:tcBorders>
          </w:tcPr>
          <w:p>
            <w:pPr>
              <w:spacing w:after="0"/>
              <w:rPr>
                <w:sz w:val="19"/>
                <w:szCs w:val="19"/>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22,595</w:t>
            </w:r>
          </w:p>
        </w:tc>
        <w:tc>
          <w:tcPr>
            <w:tcW w:w="1040" w:type="dxa"/>
            <w:vAlign w:val="bottom"/>
          </w:tcPr>
          <w:p>
            <w:pPr>
              <w:jc w:val="right"/>
              <w:spacing w:after="0"/>
              <w:rPr>
                <w:sz w:val="20"/>
                <w:szCs w:val="20"/>
                <w:color w:val="auto"/>
              </w:rPr>
            </w:pPr>
            <w:r>
              <w:rPr>
                <w:rFonts w:ascii="Arial" w:cs="Arial" w:eastAsia="Arial" w:hAnsi="Arial"/>
                <w:sz w:val="13"/>
                <w:szCs w:val="13"/>
                <w:color w:val="auto"/>
              </w:rPr>
              <w:t>45,179</w:t>
            </w:r>
          </w:p>
        </w:tc>
        <w:tc>
          <w:tcPr>
            <w:tcW w:w="320" w:type="dxa"/>
            <w:vAlign w:val="bottom"/>
          </w:tcPr>
          <w:p>
            <w:pPr>
              <w:jc w:val="right"/>
              <w:ind w:right="149"/>
              <w:spacing w:after="0"/>
              <w:rPr>
                <w:sz w:val="20"/>
                <w:szCs w:val="20"/>
                <w:color w:val="auto"/>
              </w:rPr>
            </w:pPr>
            <w:r>
              <w:rPr>
                <w:rFonts w:ascii="Arial" w:cs="Arial" w:eastAsia="Arial" w:hAnsi="Arial"/>
                <w:sz w:val="8"/>
                <w:szCs w:val="8"/>
                <w:color w:val="auto"/>
              </w:rPr>
              <w:t>(9)</w:t>
            </w:r>
          </w:p>
        </w:tc>
        <w:tc>
          <w:tcPr>
            <w:tcW w:w="1160" w:type="dxa"/>
            <w:vAlign w:val="bottom"/>
          </w:tcPr>
          <w:p>
            <w:pPr>
              <w:ind w:left="820"/>
              <w:spacing w:after="0"/>
              <w:rPr>
                <w:sz w:val="20"/>
                <w:szCs w:val="20"/>
                <w:color w:val="auto"/>
              </w:rPr>
            </w:pPr>
            <w:r>
              <w:rPr>
                <w:rFonts w:ascii="Arial" w:cs="Arial" w:eastAsia="Arial" w:hAnsi="Arial"/>
                <w:sz w:val="13"/>
                <w:szCs w:val="13"/>
                <w:color w:val="auto"/>
              </w:rPr>
              <w:t>—</w:t>
            </w:r>
          </w:p>
        </w:tc>
        <w:tc>
          <w:tcPr>
            <w:tcW w:w="780" w:type="dxa"/>
            <w:vAlign w:val="bottom"/>
          </w:tcPr>
          <w:p>
            <w:pPr>
              <w:jc w:val="center"/>
              <w:ind w:left="117"/>
              <w:spacing w:after="0"/>
              <w:rPr>
                <w:sz w:val="20"/>
                <w:szCs w:val="20"/>
                <w:color w:val="auto"/>
              </w:rPr>
            </w:pPr>
            <w:r>
              <w:rPr>
                <w:rFonts w:ascii="Arial" w:cs="Arial" w:eastAsia="Arial" w:hAnsi="Arial"/>
                <w:sz w:val="13"/>
                <w:szCs w:val="13"/>
                <w:color w:val="auto"/>
                <w:w w:val="98"/>
              </w:rPr>
              <w:t>27.83</w:t>
            </w:r>
          </w:p>
        </w:tc>
        <w:tc>
          <w:tcPr>
            <w:tcW w:w="960" w:type="dxa"/>
            <w:vAlign w:val="bottom"/>
          </w:tcPr>
          <w:p>
            <w:pPr>
              <w:jc w:val="center"/>
              <w:ind w:right="17"/>
              <w:spacing w:after="0"/>
              <w:rPr>
                <w:sz w:val="20"/>
                <w:szCs w:val="20"/>
                <w:color w:val="auto"/>
              </w:rPr>
            </w:pPr>
            <w:r>
              <w:rPr>
                <w:rFonts w:ascii="Arial" w:cs="Arial" w:eastAsia="Arial" w:hAnsi="Arial"/>
                <w:sz w:val="13"/>
                <w:szCs w:val="13"/>
                <w:color w:val="auto"/>
                <w:w w:val="96"/>
              </w:rPr>
              <w:t>1/16/2035</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180" w:type="dxa"/>
            <w:vAlign w:val="bottom"/>
            <w:tcBorders>
              <w:left w:val="single" w:sz="8" w:color="181818"/>
            </w:tcBorders>
          </w:tcPr>
          <w:p>
            <w:pPr>
              <w:spacing w:after="0"/>
              <w:rPr>
                <w:sz w:val="7"/>
                <w:szCs w:val="7"/>
                <w:color w:val="auto"/>
              </w:rPr>
            </w:pPr>
          </w:p>
        </w:tc>
        <w:tc>
          <w:tcPr>
            <w:tcW w:w="1220" w:type="dxa"/>
            <w:vAlign w:val="bottom"/>
            <w:tcBorders>
              <w:bottom w:val="single" w:sz="8" w:color="181818"/>
            </w:tcBorders>
          </w:tcPr>
          <w:p>
            <w:pPr>
              <w:spacing w:after="0"/>
              <w:rPr>
                <w:sz w:val="7"/>
                <w:szCs w:val="7"/>
                <w:color w:val="auto"/>
              </w:rPr>
            </w:pPr>
          </w:p>
        </w:tc>
        <w:tc>
          <w:tcPr>
            <w:tcW w:w="1360" w:type="dxa"/>
            <w:vAlign w:val="bottom"/>
            <w:tcBorders>
              <w:bottom w:val="single" w:sz="8" w:color="181818"/>
            </w:tcBorders>
            <w:gridSpan w:val="2"/>
          </w:tcPr>
          <w:p>
            <w:pPr>
              <w:spacing w:after="0"/>
              <w:rPr>
                <w:sz w:val="7"/>
                <w:szCs w:val="7"/>
                <w:color w:val="auto"/>
              </w:rPr>
            </w:pPr>
          </w:p>
        </w:tc>
        <w:tc>
          <w:tcPr>
            <w:tcW w:w="116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960" w:type="dxa"/>
            <w:vAlign w:val="bottom"/>
            <w:tcBorders>
              <w:bottom w:val="single" w:sz="8" w:color="181818"/>
            </w:tcBorders>
          </w:tcPr>
          <w:p>
            <w:pPr>
              <w:spacing w:after="0"/>
              <w:rPr>
                <w:sz w:val="7"/>
                <w:szCs w:val="7"/>
                <w:color w:val="auto"/>
              </w:rPr>
            </w:pPr>
          </w:p>
        </w:tc>
        <w:tc>
          <w:tcPr>
            <w:tcW w:w="102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500" w:type="dxa"/>
            <w:vAlign w:val="bottom"/>
            <w:tcBorders>
              <w:bottom w:val="single" w:sz="8" w:color="181818"/>
            </w:tcBorders>
          </w:tcPr>
          <w:p>
            <w:pPr>
              <w:spacing w:after="0"/>
              <w:rPr>
                <w:sz w:val="7"/>
                <w:szCs w:val="7"/>
                <w:color w:val="auto"/>
              </w:rPr>
            </w:pPr>
          </w:p>
        </w:tc>
        <w:tc>
          <w:tcPr>
            <w:tcW w:w="130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181818"/>
            </w:tcBorders>
          </w:tcPr>
          <w:p>
            <w:pPr>
              <w:spacing w:after="0"/>
              <w:rPr>
                <w:sz w:val="20"/>
                <w:szCs w:val="20"/>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49"/>
              <w:spacing w:after="0" w:line="150" w:lineRule="exact"/>
              <w:rPr>
                <w:sz w:val="20"/>
                <w:szCs w:val="20"/>
                <w:color w:val="auto"/>
              </w:rPr>
            </w:pPr>
            <w:r>
              <w:rPr>
                <w:rFonts w:ascii="Arial" w:cs="Arial" w:eastAsia="Arial" w:hAnsi="Arial"/>
                <w:sz w:val="13"/>
                <w:szCs w:val="13"/>
                <w:color w:val="auto"/>
              </w:rPr>
              <w:t xml:space="preserve">53,491 </w:t>
            </w:r>
            <w:r>
              <w:rPr>
                <w:rFonts w:ascii="MS PGothic" w:cs="MS PGothic" w:eastAsia="MS PGothic" w:hAnsi="MS PGothic"/>
                <w:sz w:val="13"/>
                <w:szCs w:val="13"/>
                <w:color w:val="auto"/>
              </w:rPr>
              <w:t>⁽</w:t>
            </w:r>
            <w:r>
              <w:rPr>
                <w:rFonts w:ascii="Arial" w:cs="Arial" w:eastAsia="Arial" w:hAnsi="Arial"/>
                <w:sz w:val="13"/>
                <w:szCs w:val="13"/>
                <w:color w:val="auto"/>
              </w:rPr>
              <w:t>¹</w:t>
            </w:r>
            <w:r>
              <w:rPr>
                <w:rFonts w:ascii="MS PGothic" w:cs="MS PGothic" w:eastAsia="MS PGothic" w:hAnsi="MS PGothic"/>
                <w:sz w:val="13"/>
                <w:szCs w:val="13"/>
                <w:color w:val="auto"/>
              </w:rPr>
              <w:t>⁰⁾</w:t>
            </w:r>
          </w:p>
        </w:tc>
        <w:tc>
          <w:tcPr>
            <w:tcW w:w="1160" w:type="dxa"/>
            <w:vAlign w:val="bottom"/>
          </w:tcPr>
          <w:p>
            <w:pPr>
              <w:ind w:left="820"/>
              <w:spacing w:after="0"/>
              <w:rPr>
                <w:sz w:val="20"/>
                <w:szCs w:val="20"/>
                <w:color w:val="auto"/>
              </w:rPr>
            </w:pPr>
            <w:r>
              <w:rPr>
                <w:rFonts w:ascii="Arial" w:cs="Arial" w:eastAsia="Arial" w:hAnsi="Arial"/>
                <w:sz w:val="13"/>
                <w:szCs w:val="13"/>
                <w:color w:val="auto"/>
              </w:rPr>
              <w:t>—</w:t>
            </w:r>
          </w:p>
        </w:tc>
        <w:tc>
          <w:tcPr>
            <w:tcW w:w="780" w:type="dxa"/>
            <w:vAlign w:val="bottom"/>
          </w:tcPr>
          <w:p>
            <w:pPr>
              <w:jc w:val="center"/>
              <w:ind w:left="117"/>
              <w:spacing w:after="0"/>
              <w:rPr>
                <w:sz w:val="20"/>
                <w:szCs w:val="20"/>
                <w:color w:val="auto"/>
              </w:rPr>
            </w:pPr>
            <w:r>
              <w:rPr>
                <w:rFonts w:ascii="Arial" w:cs="Arial" w:eastAsia="Arial" w:hAnsi="Arial"/>
                <w:sz w:val="13"/>
                <w:szCs w:val="13"/>
                <w:color w:val="auto"/>
                <w:w w:val="98"/>
              </w:rPr>
              <w:t>34.96</w:t>
            </w:r>
          </w:p>
        </w:tc>
        <w:tc>
          <w:tcPr>
            <w:tcW w:w="960" w:type="dxa"/>
            <w:vAlign w:val="bottom"/>
          </w:tcPr>
          <w:p>
            <w:pPr>
              <w:jc w:val="center"/>
              <w:ind w:right="17"/>
              <w:spacing w:after="0"/>
              <w:rPr>
                <w:sz w:val="20"/>
                <w:szCs w:val="20"/>
                <w:color w:val="auto"/>
              </w:rPr>
            </w:pPr>
            <w:r>
              <w:rPr>
                <w:rFonts w:ascii="Arial" w:cs="Arial" w:eastAsia="Arial" w:hAnsi="Arial"/>
                <w:sz w:val="13"/>
                <w:szCs w:val="13"/>
                <w:color w:val="auto"/>
                <w:w w:val="96"/>
              </w:rPr>
              <w:t>5/20/2035</w:t>
            </w: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00" w:type="dxa"/>
            <w:vAlign w:val="bottom"/>
            <w:tcBorders>
              <w:right w:val="single" w:sz="8" w:color="181818"/>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1180" w:type="dxa"/>
            <w:vAlign w:val="bottom"/>
            <w:tcBorders>
              <w:left w:val="single" w:sz="8" w:color="181818"/>
              <w:bottom w:val="single" w:sz="8" w:color="181818"/>
            </w:tcBorders>
          </w:tcPr>
          <w:p>
            <w:pPr>
              <w:spacing w:after="0"/>
              <w:rPr>
                <w:sz w:val="7"/>
                <w:szCs w:val="7"/>
                <w:color w:val="auto"/>
              </w:rPr>
            </w:pPr>
          </w:p>
        </w:tc>
        <w:tc>
          <w:tcPr>
            <w:tcW w:w="1220" w:type="dxa"/>
            <w:vAlign w:val="bottom"/>
            <w:tcBorders>
              <w:bottom w:val="single" w:sz="8" w:color="181818"/>
            </w:tcBorders>
          </w:tcPr>
          <w:p>
            <w:pPr>
              <w:spacing w:after="0"/>
              <w:rPr>
                <w:sz w:val="7"/>
                <w:szCs w:val="7"/>
                <w:color w:val="auto"/>
              </w:rPr>
            </w:pPr>
          </w:p>
        </w:tc>
        <w:tc>
          <w:tcPr>
            <w:tcW w:w="1040" w:type="dxa"/>
            <w:vAlign w:val="bottom"/>
            <w:tcBorders>
              <w:bottom w:val="single" w:sz="8" w:color="181818"/>
            </w:tcBorders>
          </w:tcPr>
          <w:p>
            <w:pPr>
              <w:spacing w:after="0"/>
              <w:rPr>
                <w:sz w:val="7"/>
                <w:szCs w:val="7"/>
                <w:color w:val="auto"/>
              </w:rPr>
            </w:pPr>
          </w:p>
        </w:tc>
        <w:tc>
          <w:tcPr>
            <w:tcW w:w="320" w:type="dxa"/>
            <w:vAlign w:val="bottom"/>
            <w:tcBorders>
              <w:bottom w:val="single" w:sz="8" w:color="181818"/>
            </w:tcBorders>
          </w:tcPr>
          <w:p>
            <w:pPr>
              <w:spacing w:after="0"/>
              <w:rPr>
                <w:sz w:val="7"/>
                <w:szCs w:val="7"/>
                <w:color w:val="auto"/>
              </w:rPr>
            </w:pPr>
          </w:p>
        </w:tc>
        <w:tc>
          <w:tcPr>
            <w:tcW w:w="1160" w:type="dxa"/>
            <w:vAlign w:val="bottom"/>
            <w:tcBorders>
              <w:bottom w:val="single" w:sz="8" w:color="181818"/>
            </w:tcBorders>
          </w:tcPr>
          <w:p>
            <w:pPr>
              <w:spacing w:after="0"/>
              <w:rPr>
                <w:sz w:val="7"/>
                <w:szCs w:val="7"/>
                <w:color w:val="auto"/>
              </w:rPr>
            </w:pPr>
          </w:p>
        </w:tc>
        <w:tc>
          <w:tcPr>
            <w:tcW w:w="780" w:type="dxa"/>
            <w:vAlign w:val="bottom"/>
            <w:tcBorders>
              <w:bottom w:val="single" w:sz="8" w:color="181818"/>
            </w:tcBorders>
          </w:tcPr>
          <w:p>
            <w:pPr>
              <w:spacing w:after="0"/>
              <w:rPr>
                <w:sz w:val="7"/>
                <w:szCs w:val="7"/>
                <w:color w:val="auto"/>
              </w:rPr>
            </w:pPr>
          </w:p>
        </w:tc>
        <w:tc>
          <w:tcPr>
            <w:tcW w:w="960" w:type="dxa"/>
            <w:vAlign w:val="bottom"/>
            <w:tcBorders>
              <w:bottom w:val="single" w:sz="8" w:color="181818"/>
            </w:tcBorders>
          </w:tcPr>
          <w:p>
            <w:pPr>
              <w:spacing w:after="0"/>
              <w:rPr>
                <w:sz w:val="7"/>
                <w:szCs w:val="7"/>
                <w:color w:val="auto"/>
              </w:rPr>
            </w:pPr>
          </w:p>
        </w:tc>
        <w:tc>
          <w:tcPr>
            <w:tcW w:w="1020" w:type="dxa"/>
            <w:vAlign w:val="bottom"/>
            <w:tcBorders>
              <w:bottom w:val="single" w:sz="8" w:color="181818"/>
            </w:tcBorders>
          </w:tcPr>
          <w:p>
            <w:pPr>
              <w:spacing w:after="0"/>
              <w:rPr>
                <w:sz w:val="7"/>
                <w:szCs w:val="7"/>
                <w:color w:val="auto"/>
              </w:rPr>
            </w:pPr>
          </w:p>
        </w:tc>
        <w:tc>
          <w:tcPr>
            <w:tcW w:w="800" w:type="dxa"/>
            <w:vAlign w:val="bottom"/>
            <w:tcBorders>
              <w:bottom w:val="single" w:sz="8" w:color="181818"/>
            </w:tcBorders>
          </w:tcPr>
          <w:p>
            <w:pPr>
              <w:spacing w:after="0"/>
              <w:rPr>
                <w:sz w:val="7"/>
                <w:szCs w:val="7"/>
                <w:color w:val="auto"/>
              </w:rPr>
            </w:pPr>
          </w:p>
        </w:tc>
        <w:tc>
          <w:tcPr>
            <w:tcW w:w="1500" w:type="dxa"/>
            <w:vAlign w:val="bottom"/>
            <w:tcBorders>
              <w:bottom w:val="single" w:sz="8" w:color="181818"/>
            </w:tcBorders>
          </w:tcPr>
          <w:p>
            <w:pPr>
              <w:spacing w:after="0"/>
              <w:rPr>
                <w:sz w:val="7"/>
                <w:szCs w:val="7"/>
                <w:color w:val="auto"/>
              </w:rPr>
            </w:pPr>
          </w:p>
        </w:tc>
        <w:tc>
          <w:tcPr>
            <w:tcW w:w="1300" w:type="dxa"/>
            <w:vAlign w:val="bottom"/>
            <w:tcBorders>
              <w:bottom w:val="single" w:sz="8" w:color="181818"/>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1180" w:type="dxa"/>
            <w:vAlign w:val="bottom"/>
            <w:tcBorders>
              <w:left w:val="single" w:sz="8" w:color="181818"/>
            </w:tcBorders>
          </w:tcPr>
          <w:p>
            <w:pPr>
              <w:ind w:left="60"/>
              <w:spacing w:after="0"/>
              <w:rPr>
                <w:sz w:val="20"/>
                <w:szCs w:val="20"/>
                <w:color w:val="auto"/>
              </w:rPr>
            </w:pPr>
            <w:r>
              <w:rPr>
                <w:rFonts w:ascii="Arial" w:cs="Arial" w:eastAsia="Arial" w:hAnsi="Arial"/>
                <w:sz w:val="13"/>
                <w:szCs w:val="13"/>
                <w:b w:val="1"/>
                <w:bCs w:val="1"/>
                <w:color w:val="181818"/>
              </w:rPr>
              <w:t>Heather Martin</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 xml:space="preserve">34,578 </w:t>
            </w:r>
            <w:r>
              <w:rPr>
                <w:rFonts w:ascii="Arial" w:cs="Arial" w:eastAsia="Arial" w:hAnsi="Arial"/>
                <w:sz w:val="16"/>
                <w:szCs w:val="16"/>
                <w:color w:val="auto"/>
                <w:vertAlign w:val="superscript"/>
              </w:rPr>
              <w:t>(11)</w:t>
            </w: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1,320,534</w:t>
            </w:r>
          </w:p>
        </w:tc>
        <w:tc>
          <w:tcPr>
            <w:tcW w:w="15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181818"/>
            </w:tcBorders>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80" w:type="dxa"/>
            <w:vAlign w:val="bottom"/>
            <w:tcBorders>
              <w:left w:val="single" w:sz="8" w:color="181818"/>
              <w:bottom w:val="single" w:sz="8" w:color="181818"/>
            </w:tcBorders>
          </w:tcPr>
          <w:p>
            <w:pPr>
              <w:spacing w:after="0"/>
              <w:rPr>
                <w:sz w:val="3"/>
                <w:szCs w:val="3"/>
                <w:color w:val="auto"/>
              </w:rPr>
            </w:pPr>
          </w:p>
        </w:tc>
        <w:tc>
          <w:tcPr>
            <w:tcW w:w="1220" w:type="dxa"/>
            <w:vAlign w:val="bottom"/>
            <w:tcBorders>
              <w:bottom w:val="single" w:sz="8" w:color="181818"/>
            </w:tcBorders>
          </w:tcPr>
          <w:p>
            <w:pPr>
              <w:spacing w:after="0"/>
              <w:rPr>
                <w:sz w:val="3"/>
                <w:szCs w:val="3"/>
                <w:color w:val="auto"/>
              </w:rPr>
            </w:pPr>
          </w:p>
        </w:tc>
        <w:tc>
          <w:tcPr>
            <w:tcW w:w="1040" w:type="dxa"/>
            <w:vAlign w:val="bottom"/>
            <w:tcBorders>
              <w:bottom w:val="single" w:sz="8" w:color="181818"/>
            </w:tcBorders>
          </w:tcPr>
          <w:p>
            <w:pPr>
              <w:spacing w:after="0"/>
              <w:rPr>
                <w:sz w:val="3"/>
                <w:szCs w:val="3"/>
                <w:color w:val="auto"/>
              </w:rPr>
            </w:pPr>
          </w:p>
        </w:tc>
        <w:tc>
          <w:tcPr>
            <w:tcW w:w="320" w:type="dxa"/>
            <w:vAlign w:val="bottom"/>
            <w:tcBorders>
              <w:bottom w:val="single" w:sz="8" w:color="181818"/>
            </w:tcBorders>
          </w:tcPr>
          <w:p>
            <w:pPr>
              <w:spacing w:after="0"/>
              <w:rPr>
                <w:sz w:val="3"/>
                <w:szCs w:val="3"/>
                <w:color w:val="auto"/>
              </w:rPr>
            </w:pPr>
          </w:p>
        </w:tc>
        <w:tc>
          <w:tcPr>
            <w:tcW w:w="1160" w:type="dxa"/>
            <w:vAlign w:val="bottom"/>
            <w:tcBorders>
              <w:bottom w:val="single" w:sz="8" w:color="181818"/>
            </w:tcBorders>
          </w:tcPr>
          <w:p>
            <w:pPr>
              <w:spacing w:after="0"/>
              <w:rPr>
                <w:sz w:val="3"/>
                <w:szCs w:val="3"/>
                <w:color w:val="auto"/>
              </w:rPr>
            </w:pPr>
          </w:p>
        </w:tc>
        <w:tc>
          <w:tcPr>
            <w:tcW w:w="780" w:type="dxa"/>
            <w:vAlign w:val="bottom"/>
            <w:tcBorders>
              <w:bottom w:val="single" w:sz="8" w:color="181818"/>
            </w:tcBorders>
          </w:tcPr>
          <w:p>
            <w:pPr>
              <w:spacing w:after="0"/>
              <w:rPr>
                <w:sz w:val="3"/>
                <w:szCs w:val="3"/>
                <w:color w:val="auto"/>
              </w:rPr>
            </w:pPr>
          </w:p>
        </w:tc>
        <w:tc>
          <w:tcPr>
            <w:tcW w:w="960" w:type="dxa"/>
            <w:vAlign w:val="bottom"/>
            <w:tcBorders>
              <w:bottom w:val="single" w:sz="8" w:color="181818"/>
            </w:tcBorders>
          </w:tcPr>
          <w:p>
            <w:pPr>
              <w:spacing w:after="0"/>
              <w:rPr>
                <w:sz w:val="3"/>
                <w:szCs w:val="3"/>
                <w:color w:val="auto"/>
              </w:rPr>
            </w:pPr>
          </w:p>
        </w:tc>
        <w:tc>
          <w:tcPr>
            <w:tcW w:w="1020" w:type="dxa"/>
            <w:vAlign w:val="bottom"/>
            <w:tcBorders>
              <w:bottom w:val="single" w:sz="8" w:color="181818"/>
            </w:tcBorders>
          </w:tcPr>
          <w:p>
            <w:pPr>
              <w:spacing w:after="0"/>
              <w:rPr>
                <w:sz w:val="3"/>
                <w:szCs w:val="3"/>
                <w:color w:val="auto"/>
              </w:rPr>
            </w:pPr>
          </w:p>
        </w:tc>
        <w:tc>
          <w:tcPr>
            <w:tcW w:w="800" w:type="dxa"/>
            <w:vAlign w:val="bottom"/>
            <w:tcBorders>
              <w:bottom w:val="single" w:sz="8" w:color="181818"/>
            </w:tcBorders>
          </w:tcPr>
          <w:p>
            <w:pPr>
              <w:spacing w:after="0"/>
              <w:rPr>
                <w:sz w:val="3"/>
                <w:szCs w:val="3"/>
                <w:color w:val="auto"/>
              </w:rPr>
            </w:pPr>
          </w:p>
        </w:tc>
        <w:tc>
          <w:tcPr>
            <w:tcW w:w="1500" w:type="dxa"/>
            <w:vAlign w:val="bottom"/>
            <w:tcBorders>
              <w:bottom w:val="single" w:sz="8" w:color="181818"/>
            </w:tcBorders>
          </w:tcPr>
          <w:p>
            <w:pPr>
              <w:spacing w:after="0"/>
              <w:rPr>
                <w:sz w:val="3"/>
                <w:szCs w:val="3"/>
                <w:color w:val="auto"/>
              </w:rPr>
            </w:pPr>
          </w:p>
        </w:tc>
        <w:tc>
          <w:tcPr>
            <w:tcW w:w="1300" w:type="dxa"/>
            <w:vAlign w:val="bottom"/>
            <w:tcBorders>
              <w:bottom w:val="single" w:sz="8" w:color="181818"/>
              <w:right w:val="single" w:sz="8" w:color="181818"/>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7" w:right="200" w:hanging="327"/>
        <w:spacing w:after="0" w:line="311" w:lineRule="auto"/>
        <w:tabs>
          <w:tab w:leader="none" w:pos="315"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The market value of these stock awards is determined by multiplying the number of shares underlying the stock awards by $38.19, the closing stock price of our common stock on March 31, 2026.</w:t>
      </w:r>
    </w:p>
    <w:p>
      <w:pPr>
        <w:spacing w:after="0" w:line="14" w:lineRule="exact"/>
        <w:rPr>
          <w:rFonts w:ascii="Arial" w:cs="Arial" w:eastAsia="Arial" w:hAnsi="Arial"/>
          <w:sz w:val="14"/>
          <w:szCs w:val="14"/>
          <w:b w:val="1"/>
          <w:bCs w:val="1"/>
          <w:color w:val="181818"/>
        </w:rPr>
      </w:pPr>
    </w:p>
    <w:p>
      <w:pPr>
        <w:ind w:left="327" w:right="180" w:hanging="327"/>
        <w:spacing w:after="0" w:line="311" w:lineRule="auto"/>
        <w:tabs>
          <w:tab w:leader="none" w:pos="295"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Stock options granted on January 17, 2025, which vest, subject to continued service, as follows: 33.33% on each of January 17, 2026, January 17, 2027, and January 17, 2028.</w:t>
      </w:r>
    </w:p>
    <w:p>
      <w:pPr>
        <w:spacing w:after="0" w:line="14" w:lineRule="exact"/>
        <w:rPr>
          <w:rFonts w:ascii="Arial" w:cs="Arial" w:eastAsia="Arial" w:hAnsi="Arial"/>
          <w:sz w:val="14"/>
          <w:szCs w:val="14"/>
          <w:b w:val="1"/>
          <w:bCs w:val="1"/>
          <w:color w:val="181818"/>
        </w:rPr>
      </w:pPr>
    </w:p>
    <w:p>
      <w:pPr>
        <w:ind w:left="287" w:hanging="287"/>
        <w:spacing w:after="0"/>
        <w:tabs>
          <w:tab w:leader="none" w:pos="287"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Stock options granted on May 21, 2025, which vest, subject to continued service, as follows: 33.33% on each of May 21, 2026, May 21, 2027, and May 21, 2028.</w:t>
      </w:r>
    </w:p>
    <w:p>
      <w:pPr>
        <w:spacing w:after="0" w:line="82" w:lineRule="exact"/>
        <w:rPr>
          <w:rFonts w:ascii="Arial" w:cs="Arial" w:eastAsia="Arial" w:hAnsi="Arial"/>
          <w:sz w:val="14"/>
          <w:szCs w:val="14"/>
          <w:b w:val="1"/>
          <w:bCs w:val="1"/>
          <w:color w:val="181818"/>
        </w:rPr>
      </w:pPr>
    </w:p>
    <w:p>
      <w:pPr>
        <w:ind w:left="287" w:hanging="287"/>
        <w:spacing w:after="0"/>
        <w:tabs>
          <w:tab w:leader="none" w:pos="287"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RSUs granted on May 17, 2022, which vest, subject to continued service, as follows: 25% on each of May 17, 2023, May 17, 2024, May 17, 2025, and May 17, 2026.</w:t>
      </w:r>
    </w:p>
    <w:p>
      <w:pPr>
        <w:spacing w:after="0" w:line="95" w:lineRule="exact"/>
        <w:rPr>
          <w:rFonts w:ascii="Arial" w:cs="Arial" w:eastAsia="Arial" w:hAnsi="Arial"/>
          <w:sz w:val="14"/>
          <w:szCs w:val="14"/>
          <w:b w:val="1"/>
          <w:bCs w:val="1"/>
          <w:color w:val="181818"/>
        </w:rPr>
      </w:pPr>
    </w:p>
    <w:p>
      <w:pPr>
        <w:ind w:left="287" w:hanging="287"/>
        <w:spacing w:after="0"/>
        <w:tabs>
          <w:tab w:leader="none" w:pos="287"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RSUs granted on July 12, 2023, which vest, subject to continued service, as follows: 33.33% on each of July 12, 2024, July 12, 2025, and July 12, 2026.</w:t>
      </w:r>
    </w:p>
    <w:p>
      <w:pPr>
        <w:spacing w:after="0" w:line="95" w:lineRule="exact"/>
        <w:rPr>
          <w:rFonts w:ascii="Arial" w:cs="Arial" w:eastAsia="Arial" w:hAnsi="Arial"/>
          <w:sz w:val="14"/>
          <w:szCs w:val="14"/>
          <w:b w:val="1"/>
          <w:bCs w:val="1"/>
          <w:color w:val="181818"/>
        </w:rPr>
      </w:pPr>
    </w:p>
    <w:p>
      <w:pPr>
        <w:ind w:left="327" w:right="400" w:hanging="327"/>
        <w:spacing w:after="0" w:line="311" w:lineRule="auto"/>
        <w:tabs>
          <w:tab w:leader="none" w:pos="290"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Stock options granted on May 17, 2022, which vest, subject to continued service, as follows: 25% on each of May 17, 2023, May 17, 2024, May 17, 2025, and May 17, 2026.</w:t>
      </w:r>
    </w:p>
    <w:p>
      <w:pPr>
        <w:spacing w:after="0" w:line="14" w:lineRule="exact"/>
        <w:rPr>
          <w:rFonts w:ascii="Arial" w:cs="Arial" w:eastAsia="Arial" w:hAnsi="Arial"/>
          <w:sz w:val="14"/>
          <w:szCs w:val="14"/>
          <w:b w:val="1"/>
          <w:bCs w:val="1"/>
          <w:color w:val="181818"/>
        </w:rPr>
      </w:pPr>
    </w:p>
    <w:p>
      <w:pPr>
        <w:ind w:left="327" w:right="220" w:hanging="327"/>
        <w:spacing w:after="0" w:line="311" w:lineRule="auto"/>
        <w:tabs>
          <w:tab w:leader="none" w:pos="300"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Stock options granted on February 28, 2024, which vest, subject to continued service, as follows: 8,000 option shares on May 22, 2024, 32,000 option shares on May 22, 2025, and 20,000 option shares on May 22, 2026.</w:t>
      </w:r>
    </w:p>
    <w:p>
      <w:pPr>
        <w:spacing w:after="0" w:line="14" w:lineRule="exact"/>
        <w:rPr>
          <w:rFonts w:ascii="Arial" w:cs="Arial" w:eastAsia="Arial" w:hAnsi="Arial"/>
          <w:sz w:val="14"/>
          <w:szCs w:val="14"/>
          <w:b w:val="1"/>
          <w:bCs w:val="1"/>
          <w:color w:val="181818"/>
        </w:rPr>
      </w:pPr>
    </w:p>
    <w:p>
      <w:pPr>
        <w:ind w:left="287" w:hanging="287"/>
        <w:spacing w:after="0"/>
        <w:tabs>
          <w:tab w:leader="none" w:pos="287"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Stock options granted on March 27, 2024, which vest fully, subject to continued service, on March 27, 2027.</w:t>
      </w:r>
    </w:p>
    <w:p>
      <w:pPr>
        <w:spacing w:after="0" w:line="82" w:lineRule="exact"/>
        <w:rPr>
          <w:rFonts w:ascii="Arial" w:cs="Arial" w:eastAsia="Arial" w:hAnsi="Arial"/>
          <w:sz w:val="14"/>
          <w:szCs w:val="14"/>
          <w:b w:val="1"/>
          <w:bCs w:val="1"/>
          <w:color w:val="181818"/>
        </w:rPr>
      </w:pPr>
    </w:p>
    <w:p>
      <w:pPr>
        <w:ind w:left="327" w:right="180" w:hanging="327"/>
        <w:spacing w:after="0" w:line="320" w:lineRule="auto"/>
        <w:tabs>
          <w:tab w:leader="none" w:pos="290"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Stock options granted on January 16, 2025, which vest, subject to continued service, as follows: 33.33% on each of January 16, 2026, January 16, 2027, and January 16, 2028.</w:t>
      </w:r>
    </w:p>
    <w:p>
      <w:pPr>
        <w:spacing w:after="0" w:line="2" w:lineRule="exact"/>
        <w:rPr>
          <w:rFonts w:ascii="Arial" w:cs="Arial" w:eastAsia="Arial" w:hAnsi="Arial"/>
          <w:sz w:val="14"/>
          <w:szCs w:val="14"/>
          <w:b w:val="1"/>
          <w:bCs w:val="1"/>
          <w:color w:val="181818"/>
        </w:rPr>
      </w:pPr>
    </w:p>
    <w:p>
      <w:pPr>
        <w:ind w:left="287" w:hanging="287"/>
        <w:spacing w:after="0"/>
        <w:tabs>
          <w:tab w:leader="none" w:pos="287"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Stock options granted on May 20, 2025, which vest, subject to continued service, as follows: 33.33% on each of May 20, 2026, May 20, 2027, and May 20, 2028.</w:t>
      </w:r>
    </w:p>
    <w:p>
      <w:pPr>
        <w:spacing w:after="0" w:line="95" w:lineRule="exact"/>
        <w:rPr>
          <w:rFonts w:ascii="Arial" w:cs="Arial" w:eastAsia="Arial" w:hAnsi="Arial"/>
          <w:sz w:val="14"/>
          <w:szCs w:val="14"/>
          <w:b w:val="1"/>
          <w:bCs w:val="1"/>
          <w:color w:val="181818"/>
        </w:rPr>
      </w:pPr>
    </w:p>
    <w:p>
      <w:pPr>
        <w:ind w:left="327" w:right="200" w:hanging="327"/>
        <w:spacing w:after="0" w:line="311" w:lineRule="auto"/>
        <w:tabs>
          <w:tab w:leader="none" w:pos="316" w:val="left"/>
        </w:tabs>
        <w:numPr>
          <w:ilvl w:val="0"/>
          <w:numId w:val="50"/>
        </w:numPr>
        <w:rPr>
          <w:rFonts w:ascii="Arial" w:cs="Arial" w:eastAsia="Arial" w:hAnsi="Arial"/>
          <w:sz w:val="14"/>
          <w:szCs w:val="14"/>
          <w:b w:val="1"/>
          <w:bCs w:val="1"/>
          <w:color w:val="181818"/>
        </w:rPr>
      </w:pPr>
      <w:r>
        <w:rPr>
          <w:rFonts w:ascii="Arial" w:cs="Arial" w:eastAsia="Arial" w:hAnsi="Arial"/>
          <w:sz w:val="14"/>
          <w:szCs w:val="14"/>
          <w:color w:val="auto"/>
        </w:rPr>
        <w:t>RSUs granted on September 9, 2025, which vest, subject to continued service, as follows: 33.33% on each of September 9, 2026, September 9, 2027, and September 9,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497840</wp:posOffset>
            </wp:positionV>
            <wp:extent cx="71577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1831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type w:val="continuous"/>
        </w:sectPr>
      </w:pPr>
    </w:p>
    <w:bookmarkStart w:id="49" w:name="page50"/>
    <w:bookmarkEnd w:id="49"/>
    <w:p>
      <w:pPr>
        <w:ind w:left="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1B6F80"/>
        </w:rPr>
        <w:t>Fiscal 2026 Option Exercises and Stock Vested</w:t>
      </w:r>
    </w:p>
    <w:p>
      <w:pPr>
        <w:spacing w:after="0" w:line="125" w:lineRule="exact"/>
        <w:rPr>
          <w:sz w:val="20"/>
          <w:szCs w:val="20"/>
          <w:color w:val="auto"/>
        </w:rPr>
      </w:pPr>
    </w:p>
    <w:p>
      <w:pPr>
        <w:ind w:left="7"/>
        <w:spacing w:after="0" w:line="341" w:lineRule="auto"/>
        <w:rPr>
          <w:sz w:val="20"/>
          <w:szCs w:val="20"/>
          <w:color w:val="auto"/>
        </w:rPr>
      </w:pPr>
      <w:r>
        <w:rPr>
          <w:rFonts w:ascii="Arial" w:cs="Arial" w:eastAsia="Arial" w:hAnsi="Arial"/>
          <w:sz w:val="16"/>
          <w:szCs w:val="16"/>
          <w:i w:val="1"/>
          <w:iCs w:val="1"/>
          <w:color w:val="auto"/>
        </w:rPr>
        <w:t>The following table provides information regarding the number of shares each of our NEOs acquired upon exercise of stock options and the vesting of RSUs during Fiscal 2026.</w:t>
      </w:r>
    </w:p>
    <w:p>
      <w:pPr>
        <w:spacing w:after="0" w:line="54" w:lineRule="exact"/>
        <w:rPr>
          <w:sz w:val="20"/>
          <w:szCs w:val="20"/>
          <w:color w:val="auto"/>
        </w:rPr>
      </w:pPr>
    </w:p>
    <w:tbl>
      <w:tblPr>
        <w:tblLayout w:type="fixed"/>
        <w:tblInd w:w="17" w:type="dxa"/>
        <w:tblCellMar>
          <w:top w:w="0" w:type="dxa"/>
          <w:left w:w="0" w:type="dxa"/>
          <w:bottom w:w="0" w:type="dxa"/>
          <w:right w:w="0" w:type="dxa"/>
        </w:tblCellMar>
      </w:tblPr>
      <w:tr>
        <w:trPr>
          <w:trHeight w:val="237"/>
        </w:trPr>
        <w:tc>
          <w:tcPr>
            <w:tcW w:w="3540" w:type="dxa"/>
            <w:vAlign w:val="bottom"/>
            <w:tcBorders>
              <w:bottom w:val="single" w:sz="8" w:color="181818"/>
              <w:right w:val="single" w:sz="8" w:color="181818"/>
            </w:tcBorders>
          </w:tcPr>
          <w:p>
            <w:pPr>
              <w:spacing w:after="0"/>
              <w:rPr>
                <w:sz w:val="20"/>
                <w:szCs w:val="20"/>
                <w:color w:val="auto"/>
              </w:rPr>
            </w:pPr>
          </w:p>
        </w:tc>
        <w:tc>
          <w:tcPr>
            <w:tcW w:w="2600" w:type="dxa"/>
            <w:vAlign w:val="bottom"/>
            <w:tcBorders>
              <w:top w:val="single" w:sz="8" w:color="181818"/>
              <w:bottom w:val="single" w:sz="8" w:color="181818"/>
            </w:tcBorders>
            <w:shd w:val="clear" w:color="auto" w:fill="09314A"/>
          </w:tcPr>
          <w:p>
            <w:pPr>
              <w:jc w:val="right"/>
              <w:ind w:right="132"/>
              <w:spacing w:after="0"/>
              <w:rPr>
                <w:sz w:val="20"/>
                <w:szCs w:val="20"/>
                <w:color w:val="auto"/>
              </w:rPr>
            </w:pPr>
            <w:r>
              <w:rPr>
                <w:rFonts w:ascii="Arial" w:cs="Arial" w:eastAsia="Arial" w:hAnsi="Arial"/>
                <w:sz w:val="14"/>
                <w:szCs w:val="14"/>
                <w:b w:val="1"/>
                <w:bCs w:val="1"/>
                <w:color w:val="FFFFFF"/>
              </w:rPr>
              <w:t>Option Awards</w:t>
            </w:r>
          </w:p>
        </w:tc>
        <w:tc>
          <w:tcPr>
            <w:tcW w:w="1220" w:type="dxa"/>
            <w:vAlign w:val="bottom"/>
            <w:tcBorders>
              <w:top w:val="single" w:sz="8" w:color="181818"/>
              <w:bottom w:val="single" w:sz="8" w:color="181818"/>
              <w:right w:val="single" w:sz="8" w:color="181818"/>
            </w:tcBorders>
            <w:shd w:val="clear" w:color="auto" w:fill="09314A"/>
          </w:tcPr>
          <w:p>
            <w:pPr>
              <w:spacing w:after="0"/>
              <w:rPr>
                <w:sz w:val="20"/>
                <w:szCs w:val="20"/>
                <w:color w:val="auto"/>
              </w:rPr>
            </w:pPr>
          </w:p>
        </w:tc>
        <w:tc>
          <w:tcPr>
            <w:tcW w:w="2580" w:type="dxa"/>
            <w:vAlign w:val="bottom"/>
            <w:tcBorders>
              <w:top w:val="single" w:sz="8" w:color="181818"/>
              <w:bottom w:val="single" w:sz="8" w:color="181818"/>
            </w:tcBorders>
            <w:shd w:val="clear" w:color="auto" w:fill="135368"/>
          </w:tcPr>
          <w:p>
            <w:pPr>
              <w:jc w:val="right"/>
              <w:ind w:right="152"/>
              <w:spacing w:after="0"/>
              <w:rPr>
                <w:sz w:val="20"/>
                <w:szCs w:val="20"/>
                <w:color w:val="auto"/>
              </w:rPr>
            </w:pPr>
            <w:r>
              <w:rPr>
                <w:rFonts w:ascii="Arial" w:cs="Arial" w:eastAsia="Arial" w:hAnsi="Arial"/>
                <w:sz w:val="14"/>
                <w:szCs w:val="14"/>
                <w:b w:val="1"/>
                <w:bCs w:val="1"/>
                <w:color w:val="FFFFFF"/>
              </w:rPr>
              <w:t>Stock Awards</w:t>
            </w:r>
          </w:p>
        </w:tc>
        <w:tc>
          <w:tcPr>
            <w:tcW w:w="1340" w:type="dxa"/>
            <w:vAlign w:val="bottom"/>
            <w:tcBorders>
              <w:top w:val="single" w:sz="8" w:color="181818"/>
              <w:bottom w:val="single" w:sz="8" w:color="181818"/>
              <w:right w:val="single" w:sz="8" w:color="181818"/>
            </w:tcBorders>
            <w:shd w:val="clear" w:color="auto" w:fill="135368"/>
          </w:tcPr>
          <w:p>
            <w:pPr>
              <w:spacing w:after="0"/>
              <w:rPr>
                <w:sz w:val="20"/>
                <w:szCs w:val="20"/>
                <w:color w:val="auto"/>
              </w:rPr>
            </w:pPr>
          </w:p>
        </w:tc>
      </w:tr>
      <w:tr>
        <w:trPr>
          <w:trHeight w:val="187"/>
        </w:trPr>
        <w:tc>
          <w:tcPr>
            <w:tcW w:w="3540" w:type="dxa"/>
            <w:vAlign w:val="bottom"/>
            <w:tcBorders>
              <w:left w:val="single" w:sz="8" w:color="181818"/>
              <w:right w:val="single" w:sz="8" w:color="1B6F80"/>
            </w:tcBorders>
            <w:shd w:val="clear" w:color="auto" w:fill="1B6F80"/>
          </w:tcPr>
          <w:p>
            <w:pPr>
              <w:spacing w:after="0"/>
              <w:rPr>
                <w:sz w:val="16"/>
                <w:szCs w:val="16"/>
                <w:color w:val="auto"/>
              </w:rPr>
            </w:pPr>
          </w:p>
        </w:tc>
        <w:tc>
          <w:tcPr>
            <w:tcW w:w="2600" w:type="dxa"/>
            <w:vAlign w:val="bottom"/>
            <w:shd w:val="clear" w:color="auto" w:fill="1B6F80"/>
          </w:tcPr>
          <w:p>
            <w:pPr>
              <w:jc w:val="right"/>
              <w:ind w:right="432"/>
              <w:spacing w:after="0"/>
              <w:rPr>
                <w:sz w:val="20"/>
                <w:szCs w:val="20"/>
                <w:color w:val="auto"/>
              </w:rPr>
            </w:pPr>
            <w:r>
              <w:rPr>
                <w:rFonts w:ascii="Arial" w:cs="Arial" w:eastAsia="Arial" w:hAnsi="Arial"/>
                <w:sz w:val="14"/>
                <w:szCs w:val="14"/>
                <w:b w:val="1"/>
                <w:bCs w:val="1"/>
                <w:color w:val="FFFFFF"/>
              </w:rPr>
              <w:t>Number of Shares</w:t>
            </w:r>
          </w:p>
        </w:tc>
        <w:tc>
          <w:tcPr>
            <w:tcW w:w="1220" w:type="dxa"/>
            <w:vAlign w:val="bottom"/>
            <w:tcBorders>
              <w:right w:val="single" w:sz="8" w:color="1B6F80"/>
            </w:tcBorders>
            <w:shd w:val="clear" w:color="auto" w:fill="1B6F80"/>
          </w:tcPr>
          <w:p>
            <w:pPr>
              <w:jc w:val="right"/>
              <w:spacing w:after="0"/>
              <w:rPr>
                <w:sz w:val="20"/>
                <w:szCs w:val="20"/>
                <w:color w:val="auto"/>
              </w:rPr>
            </w:pPr>
            <w:r>
              <w:rPr>
                <w:rFonts w:ascii="Arial" w:cs="Arial" w:eastAsia="Arial" w:hAnsi="Arial"/>
                <w:sz w:val="14"/>
                <w:szCs w:val="14"/>
                <w:b w:val="1"/>
                <w:bCs w:val="1"/>
                <w:color w:val="FFFFFF"/>
              </w:rPr>
              <w:t>Value Realized</w:t>
            </w:r>
          </w:p>
        </w:tc>
        <w:tc>
          <w:tcPr>
            <w:tcW w:w="2580" w:type="dxa"/>
            <w:vAlign w:val="bottom"/>
            <w:shd w:val="clear" w:color="auto" w:fill="1B6F80"/>
          </w:tcPr>
          <w:p>
            <w:pPr>
              <w:jc w:val="right"/>
              <w:ind w:right="412"/>
              <w:spacing w:after="0"/>
              <w:rPr>
                <w:sz w:val="20"/>
                <w:szCs w:val="20"/>
                <w:color w:val="auto"/>
              </w:rPr>
            </w:pPr>
            <w:r>
              <w:rPr>
                <w:rFonts w:ascii="Arial" w:cs="Arial" w:eastAsia="Arial" w:hAnsi="Arial"/>
                <w:sz w:val="14"/>
                <w:szCs w:val="14"/>
                <w:b w:val="1"/>
                <w:bCs w:val="1"/>
                <w:color w:val="FFFFFF"/>
              </w:rPr>
              <w:t>Number of Shares</w:t>
            </w:r>
          </w:p>
        </w:tc>
        <w:tc>
          <w:tcPr>
            <w:tcW w:w="1340" w:type="dxa"/>
            <w:vAlign w:val="bottom"/>
            <w:tcBorders>
              <w:right w:val="single" w:sz="8" w:color="181818"/>
            </w:tcBorders>
            <w:shd w:val="clear" w:color="auto" w:fill="1B6F80"/>
          </w:tcPr>
          <w:p>
            <w:pPr>
              <w:jc w:val="right"/>
              <w:ind w:right="72"/>
              <w:spacing w:after="0"/>
              <w:rPr>
                <w:sz w:val="20"/>
                <w:szCs w:val="20"/>
                <w:color w:val="auto"/>
              </w:rPr>
            </w:pPr>
            <w:r>
              <w:rPr>
                <w:rFonts w:ascii="Arial" w:cs="Arial" w:eastAsia="Arial" w:hAnsi="Arial"/>
                <w:sz w:val="14"/>
                <w:szCs w:val="14"/>
                <w:b w:val="1"/>
                <w:bCs w:val="1"/>
                <w:color w:val="FFFFFF"/>
              </w:rPr>
              <w:t>Value Realized</w:t>
            </w:r>
          </w:p>
        </w:tc>
      </w:tr>
      <w:tr>
        <w:trPr>
          <w:trHeight w:val="162"/>
        </w:trPr>
        <w:tc>
          <w:tcPr>
            <w:tcW w:w="3540" w:type="dxa"/>
            <w:vAlign w:val="bottom"/>
            <w:tcBorders>
              <w:left w:val="single" w:sz="8" w:color="181818"/>
              <w:right w:val="single" w:sz="8" w:color="1B6F80"/>
            </w:tcBorders>
            <w:shd w:val="clear" w:color="auto" w:fill="1B6F80"/>
          </w:tcPr>
          <w:p>
            <w:pPr>
              <w:spacing w:after="0"/>
              <w:rPr>
                <w:sz w:val="14"/>
                <w:szCs w:val="14"/>
                <w:color w:val="auto"/>
              </w:rPr>
            </w:pPr>
          </w:p>
        </w:tc>
        <w:tc>
          <w:tcPr>
            <w:tcW w:w="2600" w:type="dxa"/>
            <w:vAlign w:val="bottom"/>
            <w:shd w:val="clear" w:color="auto" w:fill="1B6F80"/>
          </w:tcPr>
          <w:p>
            <w:pPr>
              <w:jc w:val="right"/>
              <w:ind w:right="432"/>
              <w:spacing w:after="0"/>
              <w:rPr>
                <w:sz w:val="20"/>
                <w:szCs w:val="20"/>
                <w:color w:val="auto"/>
              </w:rPr>
            </w:pPr>
            <w:r>
              <w:rPr>
                <w:rFonts w:ascii="Arial" w:cs="Arial" w:eastAsia="Arial" w:hAnsi="Arial"/>
                <w:sz w:val="14"/>
                <w:szCs w:val="14"/>
                <w:b w:val="1"/>
                <w:bCs w:val="1"/>
                <w:color w:val="FFFFFF"/>
              </w:rPr>
              <w:t>Acquired on Exercise</w:t>
            </w:r>
          </w:p>
        </w:tc>
        <w:tc>
          <w:tcPr>
            <w:tcW w:w="1220" w:type="dxa"/>
            <w:vAlign w:val="bottom"/>
            <w:tcBorders>
              <w:right w:val="single" w:sz="8" w:color="1B6F80"/>
            </w:tcBorders>
            <w:shd w:val="clear" w:color="auto" w:fill="1B6F80"/>
          </w:tcPr>
          <w:p>
            <w:pPr>
              <w:jc w:val="right"/>
              <w:spacing w:after="0"/>
              <w:rPr>
                <w:sz w:val="20"/>
                <w:szCs w:val="20"/>
                <w:color w:val="auto"/>
              </w:rPr>
            </w:pPr>
            <w:r>
              <w:rPr>
                <w:rFonts w:ascii="Arial" w:cs="Arial" w:eastAsia="Arial" w:hAnsi="Arial"/>
                <w:sz w:val="14"/>
                <w:szCs w:val="14"/>
                <w:b w:val="1"/>
                <w:bCs w:val="1"/>
                <w:color w:val="FFFFFF"/>
              </w:rPr>
              <w:t>on Exercise</w:t>
            </w:r>
          </w:p>
        </w:tc>
        <w:tc>
          <w:tcPr>
            <w:tcW w:w="2580" w:type="dxa"/>
            <w:vAlign w:val="bottom"/>
            <w:shd w:val="clear" w:color="auto" w:fill="1B6F80"/>
          </w:tcPr>
          <w:p>
            <w:pPr>
              <w:jc w:val="right"/>
              <w:ind w:right="412"/>
              <w:spacing w:after="0"/>
              <w:rPr>
                <w:sz w:val="20"/>
                <w:szCs w:val="20"/>
                <w:color w:val="auto"/>
              </w:rPr>
            </w:pPr>
            <w:r>
              <w:rPr>
                <w:rFonts w:ascii="Arial" w:cs="Arial" w:eastAsia="Arial" w:hAnsi="Arial"/>
                <w:sz w:val="14"/>
                <w:szCs w:val="14"/>
                <w:b w:val="1"/>
                <w:bCs w:val="1"/>
                <w:color w:val="FFFFFF"/>
              </w:rPr>
              <w:t>Acquired on Vesting</w:t>
            </w:r>
          </w:p>
        </w:tc>
        <w:tc>
          <w:tcPr>
            <w:tcW w:w="1340" w:type="dxa"/>
            <w:vAlign w:val="bottom"/>
            <w:tcBorders>
              <w:right w:val="single" w:sz="8" w:color="181818"/>
            </w:tcBorders>
            <w:shd w:val="clear" w:color="auto" w:fill="1B6F80"/>
          </w:tcPr>
          <w:p>
            <w:pPr>
              <w:jc w:val="right"/>
              <w:ind w:right="72"/>
              <w:spacing w:after="0"/>
              <w:rPr>
                <w:sz w:val="20"/>
                <w:szCs w:val="20"/>
                <w:color w:val="auto"/>
              </w:rPr>
            </w:pPr>
            <w:r>
              <w:rPr>
                <w:rFonts w:ascii="Arial" w:cs="Arial" w:eastAsia="Arial" w:hAnsi="Arial"/>
                <w:sz w:val="14"/>
                <w:szCs w:val="14"/>
                <w:b w:val="1"/>
                <w:bCs w:val="1"/>
                <w:color w:val="FFFFFF"/>
              </w:rPr>
              <w:t>on Vesting</w:t>
            </w:r>
          </w:p>
        </w:tc>
      </w:tr>
      <w:tr>
        <w:trPr>
          <w:trHeight w:val="252"/>
        </w:trPr>
        <w:tc>
          <w:tcPr>
            <w:tcW w:w="3540" w:type="dxa"/>
            <w:vAlign w:val="bottom"/>
            <w:tcBorders>
              <w:left w:val="single" w:sz="8" w:color="181818"/>
              <w:bottom w:val="single" w:sz="8" w:color="1B6F80"/>
              <w:right w:val="single" w:sz="8" w:color="1B6F80"/>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Name</w:t>
            </w:r>
          </w:p>
        </w:tc>
        <w:tc>
          <w:tcPr>
            <w:tcW w:w="2600" w:type="dxa"/>
            <w:vAlign w:val="bottom"/>
            <w:tcBorders>
              <w:bottom w:val="single" w:sz="8" w:color="1B6F80"/>
            </w:tcBorders>
            <w:shd w:val="clear" w:color="auto" w:fill="1B6F80"/>
          </w:tcPr>
          <w:p>
            <w:pPr>
              <w:jc w:val="right"/>
              <w:ind w:right="432"/>
              <w:spacing w:after="0" w:line="21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(1)</w:t>
            </w:r>
          </w:p>
        </w:tc>
        <w:tc>
          <w:tcPr>
            <w:tcW w:w="1220" w:type="dxa"/>
            <w:vAlign w:val="bottom"/>
            <w:tcBorders>
              <w:bottom w:val="single" w:sz="8" w:color="1B6F80"/>
              <w:right w:val="single" w:sz="8" w:color="1B6F80"/>
            </w:tcBorders>
            <w:shd w:val="clear" w:color="auto" w:fill="1B6F80"/>
          </w:tcPr>
          <w:p>
            <w:pPr>
              <w:jc w:val="right"/>
              <w:spacing w:after="0" w:line="21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(2)</w:t>
            </w:r>
          </w:p>
        </w:tc>
        <w:tc>
          <w:tcPr>
            <w:tcW w:w="2580" w:type="dxa"/>
            <w:vAlign w:val="bottom"/>
            <w:tcBorders>
              <w:bottom w:val="single" w:sz="8" w:color="1B6F80"/>
            </w:tcBorders>
            <w:shd w:val="clear" w:color="auto" w:fill="1B6F80"/>
          </w:tcPr>
          <w:p>
            <w:pPr>
              <w:jc w:val="right"/>
              <w:ind w:right="412"/>
              <w:spacing w:after="0" w:line="21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(3)</w:t>
            </w:r>
          </w:p>
        </w:tc>
        <w:tc>
          <w:tcPr>
            <w:tcW w:w="1340" w:type="dxa"/>
            <w:vAlign w:val="bottom"/>
            <w:tcBorders>
              <w:bottom w:val="single" w:sz="8" w:color="1B6F80"/>
              <w:right w:val="single" w:sz="8" w:color="181818"/>
            </w:tcBorders>
            <w:shd w:val="clear" w:color="auto" w:fill="1B6F80"/>
          </w:tcPr>
          <w:p>
            <w:pPr>
              <w:jc w:val="right"/>
              <w:ind w:right="72"/>
              <w:spacing w:after="0" w:line="21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(4)</w:t>
            </w:r>
          </w:p>
        </w:tc>
      </w:tr>
      <w:tr>
        <w:trPr>
          <w:trHeight w:val="268"/>
        </w:trPr>
        <w:tc>
          <w:tcPr>
            <w:tcW w:w="354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Scott A. Lang</w:t>
            </w:r>
          </w:p>
        </w:tc>
        <w:tc>
          <w:tcPr>
            <w:tcW w:w="260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580" w:type="dxa"/>
            <w:vAlign w:val="bottom"/>
          </w:tcPr>
          <w:p>
            <w:pPr>
              <w:jc w:val="right"/>
              <w:ind w:right="412"/>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181818"/>
            </w:tcBorders>
          </w:tcPr>
          <w:p>
            <w:pPr>
              <w:jc w:val="right"/>
              <w:ind w:right="132"/>
              <w:spacing w:after="0"/>
              <w:rPr>
                <w:sz w:val="20"/>
                <w:szCs w:val="20"/>
                <w:color w:val="auto"/>
              </w:rPr>
            </w:pPr>
            <w:r>
              <w:rPr>
                <w:rFonts w:ascii="Arial" w:cs="Arial" w:eastAsia="Arial" w:hAnsi="Arial"/>
                <w:sz w:val="14"/>
                <w:szCs w:val="14"/>
                <w:color w:val="auto"/>
              </w:rPr>
              <w:t>—</w:t>
            </w:r>
          </w:p>
        </w:tc>
      </w:tr>
      <w:tr>
        <w:trPr>
          <w:trHeight w:val="70"/>
        </w:trPr>
        <w:tc>
          <w:tcPr>
            <w:tcW w:w="3540" w:type="dxa"/>
            <w:vAlign w:val="bottom"/>
            <w:tcBorders>
              <w:left w:val="single" w:sz="8" w:color="181818"/>
              <w:bottom w:val="single" w:sz="8" w:color="181818"/>
            </w:tcBorders>
          </w:tcPr>
          <w:p>
            <w:pPr>
              <w:spacing w:after="0"/>
              <w:rPr>
                <w:sz w:val="6"/>
                <w:szCs w:val="6"/>
                <w:color w:val="auto"/>
              </w:rPr>
            </w:pPr>
          </w:p>
        </w:tc>
        <w:tc>
          <w:tcPr>
            <w:tcW w:w="2600" w:type="dxa"/>
            <w:vAlign w:val="bottom"/>
            <w:tcBorders>
              <w:bottom w:val="single" w:sz="8" w:color="181818"/>
            </w:tcBorders>
          </w:tcPr>
          <w:p>
            <w:pPr>
              <w:spacing w:after="0"/>
              <w:rPr>
                <w:sz w:val="6"/>
                <w:szCs w:val="6"/>
                <w:color w:val="auto"/>
              </w:rPr>
            </w:pPr>
          </w:p>
        </w:tc>
        <w:tc>
          <w:tcPr>
            <w:tcW w:w="1220" w:type="dxa"/>
            <w:vAlign w:val="bottom"/>
            <w:tcBorders>
              <w:bottom w:val="single" w:sz="8" w:color="181818"/>
            </w:tcBorders>
          </w:tcPr>
          <w:p>
            <w:pPr>
              <w:spacing w:after="0"/>
              <w:rPr>
                <w:sz w:val="6"/>
                <w:szCs w:val="6"/>
                <w:color w:val="auto"/>
              </w:rPr>
            </w:pPr>
          </w:p>
        </w:tc>
        <w:tc>
          <w:tcPr>
            <w:tcW w:w="2580" w:type="dxa"/>
            <w:vAlign w:val="bottom"/>
            <w:tcBorders>
              <w:bottom w:val="single" w:sz="8" w:color="181818"/>
            </w:tcBorders>
          </w:tcPr>
          <w:p>
            <w:pPr>
              <w:spacing w:after="0"/>
              <w:rPr>
                <w:sz w:val="6"/>
                <w:szCs w:val="6"/>
                <w:color w:val="auto"/>
              </w:rPr>
            </w:pPr>
          </w:p>
        </w:tc>
        <w:tc>
          <w:tcPr>
            <w:tcW w:w="1340" w:type="dxa"/>
            <w:vAlign w:val="bottom"/>
            <w:tcBorders>
              <w:bottom w:val="single" w:sz="8" w:color="181818"/>
              <w:right w:val="single" w:sz="8" w:color="181818"/>
            </w:tcBorders>
          </w:tcPr>
          <w:p>
            <w:pPr>
              <w:spacing w:after="0"/>
              <w:rPr>
                <w:sz w:val="6"/>
                <w:szCs w:val="6"/>
                <w:color w:val="auto"/>
              </w:rPr>
            </w:pPr>
          </w:p>
        </w:tc>
      </w:tr>
      <w:tr>
        <w:trPr>
          <w:trHeight w:val="262"/>
        </w:trPr>
        <w:tc>
          <w:tcPr>
            <w:tcW w:w="354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Christopher E. Guttman-McCabe</w:t>
            </w:r>
          </w:p>
        </w:tc>
        <w:tc>
          <w:tcPr>
            <w:tcW w:w="260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580" w:type="dxa"/>
            <w:vAlign w:val="bottom"/>
          </w:tcPr>
          <w:p>
            <w:pPr>
              <w:jc w:val="right"/>
              <w:ind w:right="412"/>
              <w:spacing w:after="0"/>
              <w:rPr>
                <w:sz w:val="20"/>
                <w:szCs w:val="20"/>
                <w:color w:val="auto"/>
              </w:rPr>
            </w:pPr>
            <w:r>
              <w:rPr>
                <w:rFonts w:ascii="Arial" w:cs="Arial" w:eastAsia="Arial" w:hAnsi="Arial"/>
                <w:sz w:val="14"/>
                <w:szCs w:val="14"/>
                <w:color w:val="auto"/>
              </w:rPr>
              <w:t>11,961</w:t>
            </w:r>
          </w:p>
        </w:tc>
        <w:tc>
          <w:tcPr>
            <w:tcW w:w="1340" w:type="dxa"/>
            <w:vAlign w:val="bottom"/>
            <w:tcBorders>
              <w:right w:val="single" w:sz="8" w:color="181818"/>
            </w:tcBorders>
          </w:tcPr>
          <w:p>
            <w:pPr>
              <w:jc w:val="right"/>
              <w:ind w:right="132"/>
              <w:spacing w:after="0"/>
              <w:rPr>
                <w:sz w:val="20"/>
                <w:szCs w:val="20"/>
                <w:color w:val="auto"/>
              </w:rPr>
            </w:pPr>
            <w:r>
              <w:rPr>
                <w:rFonts w:ascii="Arial" w:cs="Arial" w:eastAsia="Arial" w:hAnsi="Arial"/>
                <w:sz w:val="14"/>
                <w:szCs w:val="14"/>
                <w:color w:val="auto"/>
              </w:rPr>
              <w:t>322,947</w:t>
            </w:r>
          </w:p>
        </w:tc>
      </w:tr>
      <w:tr>
        <w:trPr>
          <w:trHeight w:val="69"/>
        </w:trPr>
        <w:tc>
          <w:tcPr>
            <w:tcW w:w="3540" w:type="dxa"/>
            <w:vAlign w:val="bottom"/>
            <w:tcBorders>
              <w:left w:val="single" w:sz="8" w:color="181818"/>
              <w:bottom w:val="single" w:sz="8" w:color="181818"/>
            </w:tcBorders>
          </w:tcPr>
          <w:p>
            <w:pPr>
              <w:spacing w:after="0"/>
              <w:rPr>
                <w:sz w:val="6"/>
                <w:szCs w:val="6"/>
                <w:color w:val="auto"/>
              </w:rPr>
            </w:pPr>
          </w:p>
        </w:tc>
        <w:tc>
          <w:tcPr>
            <w:tcW w:w="2600" w:type="dxa"/>
            <w:vAlign w:val="bottom"/>
            <w:tcBorders>
              <w:bottom w:val="single" w:sz="8" w:color="181818"/>
            </w:tcBorders>
          </w:tcPr>
          <w:p>
            <w:pPr>
              <w:spacing w:after="0"/>
              <w:rPr>
                <w:sz w:val="6"/>
                <w:szCs w:val="6"/>
                <w:color w:val="auto"/>
              </w:rPr>
            </w:pPr>
          </w:p>
        </w:tc>
        <w:tc>
          <w:tcPr>
            <w:tcW w:w="1220" w:type="dxa"/>
            <w:vAlign w:val="bottom"/>
            <w:tcBorders>
              <w:bottom w:val="single" w:sz="8" w:color="181818"/>
            </w:tcBorders>
          </w:tcPr>
          <w:p>
            <w:pPr>
              <w:spacing w:after="0"/>
              <w:rPr>
                <w:sz w:val="6"/>
                <w:szCs w:val="6"/>
                <w:color w:val="auto"/>
              </w:rPr>
            </w:pPr>
          </w:p>
        </w:tc>
        <w:tc>
          <w:tcPr>
            <w:tcW w:w="2580" w:type="dxa"/>
            <w:vAlign w:val="bottom"/>
            <w:tcBorders>
              <w:bottom w:val="single" w:sz="8" w:color="181818"/>
            </w:tcBorders>
          </w:tcPr>
          <w:p>
            <w:pPr>
              <w:spacing w:after="0"/>
              <w:rPr>
                <w:sz w:val="6"/>
                <w:szCs w:val="6"/>
                <w:color w:val="auto"/>
              </w:rPr>
            </w:pPr>
          </w:p>
        </w:tc>
        <w:tc>
          <w:tcPr>
            <w:tcW w:w="1340" w:type="dxa"/>
            <w:vAlign w:val="bottom"/>
            <w:tcBorders>
              <w:bottom w:val="single" w:sz="8" w:color="181818"/>
              <w:right w:val="single" w:sz="8" w:color="181818"/>
            </w:tcBorders>
          </w:tcPr>
          <w:p>
            <w:pPr>
              <w:spacing w:after="0"/>
              <w:rPr>
                <w:sz w:val="6"/>
                <w:szCs w:val="6"/>
                <w:color w:val="auto"/>
              </w:rPr>
            </w:pPr>
          </w:p>
        </w:tc>
      </w:tr>
      <w:tr>
        <w:trPr>
          <w:trHeight w:val="262"/>
        </w:trPr>
        <w:tc>
          <w:tcPr>
            <w:tcW w:w="354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Heather Martin</w:t>
            </w:r>
          </w:p>
        </w:tc>
        <w:tc>
          <w:tcPr>
            <w:tcW w:w="260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580" w:type="dxa"/>
            <w:vAlign w:val="bottom"/>
          </w:tcPr>
          <w:p>
            <w:pPr>
              <w:jc w:val="right"/>
              <w:ind w:right="412"/>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181818"/>
            </w:tcBorders>
          </w:tcPr>
          <w:p>
            <w:pPr>
              <w:jc w:val="right"/>
              <w:ind w:right="132"/>
              <w:spacing w:after="0"/>
              <w:rPr>
                <w:sz w:val="20"/>
                <w:szCs w:val="20"/>
                <w:color w:val="auto"/>
              </w:rPr>
            </w:pPr>
            <w:r>
              <w:rPr>
                <w:rFonts w:ascii="Arial" w:cs="Arial" w:eastAsia="Arial" w:hAnsi="Arial"/>
                <w:sz w:val="14"/>
                <w:szCs w:val="14"/>
                <w:color w:val="auto"/>
              </w:rPr>
              <w:t>—</w:t>
            </w:r>
          </w:p>
        </w:tc>
      </w:tr>
      <w:tr>
        <w:trPr>
          <w:trHeight w:val="70"/>
        </w:trPr>
        <w:tc>
          <w:tcPr>
            <w:tcW w:w="3540" w:type="dxa"/>
            <w:vAlign w:val="bottom"/>
            <w:tcBorders>
              <w:left w:val="single" w:sz="8" w:color="181818"/>
              <w:bottom w:val="single" w:sz="8" w:color="181818"/>
            </w:tcBorders>
          </w:tcPr>
          <w:p>
            <w:pPr>
              <w:spacing w:after="0"/>
              <w:rPr>
                <w:sz w:val="6"/>
                <w:szCs w:val="6"/>
                <w:color w:val="auto"/>
              </w:rPr>
            </w:pPr>
          </w:p>
        </w:tc>
        <w:tc>
          <w:tcPr>
            <w:tcW w:w="2600" w:type="dxa"/>
            <w:vAlign w:val="bottom"/>
            <w:tcBorders>
              <w:bottom w:val="single" w:sz="8" w:color="181818"/>
            </w:tcBorders>
          </w:tcPr>
          <w:p>
            <w:pPr>
              <w:spacing w:after="0"/>
              <w:rPr>
                <w:sz w:val="6"/>
                <w:szCs w:val="6"/>
                <w:color w:val="auto"/>
              </w:rPr>
            </w:pPr>
          </w:p>
        </w:tc>
        <w:tc>
          <w:tcPr>
            <w:tcW w:w="1220" w:type="dxa"/>
            <w:vAlign w:val="bottom"/>
            <w:tcBorders>
              <w:bottom w:val="single" w:sz="8" w:color="181818"/>
            </w:tcBorders>
          </w:tcPr>
          <w:p>
            <w:pPr>
              <w:spacing w:after="0"/>
              <w:rPr>
                <w:sz w:val="6"/>
                <w:szCs w:val="6"/>
                <w:color w:val="auto"/>
              </w:rPr>
            </w:pPr>
          </w:p>
        </w:tc>
        <w:tc>
          <w:tcPr>
            <w:tcW w:w="2580" w:type="dxa"/>
            <w:vAlign w:val="bottom"/>
            <w:tcBorders>
              <w:bottom w:val="single" w:sz="8" w:color="181818"/>
            </w:tcBorders>
          </w:tcPr>
          <w:p>
            <w:pPr>
              <w:spacing w:after="0"/>
              <w:rPr>
                <w:sz w:val="6"/>
                <w:szCs w:val="6"/>
                <w:color w:val="auto"/>
              </w:rPr>
            </w:pPr>
          </w:p>
        </w:tc>
        <w:tc>
          <w:tcPr>
            <w:tcW w:w="1340" w:type="dxa"/>
            <w:vAlign w:val="bottom"/>
            <w:tcBorders>
              <w:bottom w:val="single" w:sz="8" w:color="181818"/>
              <w:right w:val="single" w:sz="8" w:color="181818"/>
            </w:tcBorders>
          </w:tcPr>
          <w:p>
            <w:pPr>
              <w:spacing w:after="0"/>
              <w:rPr>
                <w:sz w:val="6"/>
                <w:szCs w:val="6"/>
                <w:color w:val="auto"/>
              </w:rPr>
            </w:pPr>
          </w:p>
        </w:tc>
      </w:tr>
      <w:tr>
        <w:trPr>
          <w:trHeight w:val="261"/>
        </w:trPr>
        <w:tc>
          <w:tcPr>
            <w:tcW w:w="354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Ryan L. Gerbrandt</w:t>
            </w:r>
          </w:p>
        </w:tc>
        <w:tc>
          <w:tcPr>
            <w:tcW w:w="2600" w:type="dxa"/>
            <w:vAlign w:val="bottom"/>
          </w:tcPr>
          <w:p>
            <w:pPr>
              <w:jc w:val="right"/>
              <w:ind w:right="432"/>
              <w:spacing w:after="0"/>
              <w:rPr>
                <w:sz w:val="20"/>
                <w:szCs w:val="20"/>
                <w:color w:val="auto"/>
              </w:rPr>
            </w:pPr>
            <w:r>
              <w:rPr>
                <w:rFonts w:ascii="Arial" w:cs="Arial" w:eastAsia="Arial" w:hAnsi="Arial"/>
                <w:sz w:val="14"/>
                <w:szCs w:val="14"/>
                <w:color w:val="auto"/>
              </w:rPr>
              <w:t>22,595</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208,806</w:t>
            </w:r>
          </w:p>
        </w:tc>
        <w:tc>
          <w:tcPr>
            <w:tcW w:w="2580" w:type="dxa"/>
            <w:vAlign w:val="bottom"/>
          </w:tcPr>
          <w:p>
            <w:pPr>
              <w:jc w:val="right"/>
              <w:ind w:right="412"/>
              <w:spacing w:after="0"/>
              <w:rPr>
                <w:sz w:val="20"/>
                <w:szCs w:val="20"/>
                <w:color w:val="auto"/>
              </w:rPr>
            </w:pPr>
            <w:r>
              <w:rPr>
                <w:rFonts w:ascii="Arial" w:cs="Arial" w:eastAsia="Arial" w:hAnsi="Arial"/>
                <w:sz w:val="14"/>
                <w:szCs w:val="14"/>
                <w:color w:val="auto"/>
              </w:rPr>
              <w:t>16,838</w:t>
            </w:r>
          </w:p>
        </w:tc>
        <w:tc>
          <w:tcPr>
            <w:tcW w:w="1340" w:type="dxa"/>
            <w:vAlign w:val="bottom"/>
            <w:tcBorders>
              <w:right w:val="single" w:sz="8" w:color="181818"/>
            </w:tcBorders>
          </w:tcPr>
          <w:p>
            <w:pPr>
              <w:jc w:val="right"/>
              <w:ind w:right="132"/>
              <w:spacing w:after="0"/>
              <w:rPr>
                <w:sz w:val="20"/>
                <w:szCs w:val="20"/>
                <w:color w:val="auto"/>
              </w:rPr>
            </w:pPr>
            <w:r>
              <w:rPr>
                <w:rFonts w:ascii="Arial" w:cs="Arial" w:eastAsia="Arial" w:hAnsi="Arial"/>
                <w:sz w:val="14"/>
                <w:szCs w:val="14"/>
                <w:color w:val="auto"/>
              </w:rPr>
              <w:t>438,420</w:t>
            </w:r>
          </w:p>
        </w:tc>
      </w:tr>
      <w:tr>
        <w:trPr>
          <w:trHeight w:val="56"/>
        </w:trPr>
        <w:tc>
          <w:tcPr>
            <w:tcW w:w="3540" w:type="dxa"/>
            <w:vAlign w:val="bottom"/>
            <w:tcBorders>
              <w:left w:val="single" w:sz="8" w:color="181818"/>
              <w:bottom w:val="single" w:sz="8" w:color="181818"/>
            </w:tcBorders>
          </w:tcPr>
          <w:p>
            <w:pPr>
              <w:spacing w:after="0"/>
              <w:rPr>
                <w:sz w:val="4"/>
                <w:szCs w:val="4"/>
                <w:color w:val="auto"/>
              </w:rPr>
            </w:pPr>
          </w:p>
        </w:tc>
        <w:tc>
          <w:tcPr>
            <w:tcW w:w="2600" w:type="dxa"/>
            <w:vAlign w:val="bottom"/>
            <w:tcBorders>
              <w:bottom w:val="single" w:sz="8" w:color="181818"/>
            </w:tcBorders>
          </w:tcPr>
          <w:p>
            <w:pPr>
              <w:spacing w:after="0"/>
              <w:rPr>
                <w:sz w:val="4"/>
                <w:szCs w:val="4"/>
                <w:color w:val="auto"/>
              </w:rPr>
            </w:pPr>
          </w:p>
        </w:tc>
        <w:tc>
          <w:tcPr>
            <w:tcW w:w="1220" w:type="dxa"/>
            <w:vAlign w:val="bottom"/>
            <w:tcBorders>
              <w:bottom w:val="single" w:sz="8" w:color="181818"/>
            </w:tcBorders>
          </w:tcPr>
          <w:p>
            <w:pPr>
              <w:spacing w:after="0"/>
              <w:rPr>
                <w:sz w:val="4"/>
                <w:szCs w:val="4"/>
                <w:color w:val="auto"/>
              </w:rPr>
            </w:pPr>
          </w:p>
        </w:tc>
        <w:tc>
          <w:tcPr>
            <w:tcW w:w="2580" w:type="dxa"/>
            <w:vAlign w:val="bottom"/>
            <w:tcBorders>
              <w:bottom w:val="single" w:sz="8" w:color="181818"/>
            </w:tcBorders>
          </w:tcPr>
          <w:p>
            <w:pPr>
              <w:spacing w:after="0"/>
              <w:rPr>
                <w:sz w:val="4"/>
                <w:szCs w:val="4"/>
                <w:color w:val="auto"/>
              </w:rPr>
            </w:pPr>
          </w:p>
        </w:tc>
        <w:tc>
          <w:tcPr>
            <w:tcW w:w="1340" w:type="dxa"/>
            <w:vAlign w:val="bottom"/>
            <w:tcBorders>
              <w:bottom w:val="single" w:sz="8" w:color="181818"/>
              <w:right w:val="single" w:sz="8" w:color="181818"/>
            </w:tcBorders>
          </w:tcPr>
          <w:p>
            <w:pPr>
              <w:spacing w:after="0"/>
              <w:rPr>
                <w:sz w:val="4"/>
                <w:szCs w:val="4"/>
                <w:color w:val="auto"/>
              </w:rPr>
            </w:pPr>
          </w:p>
        </w:tc>
      </w:tr>
    </w:tbl>
    <w:p>
      <w:pPr>
        <w:spacing w:after="0" w:line="149" w:lineRule="exact"/>
        <w:rPr>
          <w:sz w:val="20"/>
          <w:szCs w:val="20"/>
          <w:color w:val="auto"/>
        </w:rPr>
      </w:pPr>
    </w:p>
    <w:p>
      <w:pPr>
        <w:ind w:left="307" w:hanging="307"/>
        <w:spacing w:after="0"/>
        <w:tabs>
          <w:tab w:leader="none" w:pos="307" w:val="left"/>
        </w:tabs>
        <w:numPr>
          <w:ilvl w:val="0"/>
          <w:numId w:val="51"/>
        </w:numPr>
        <w:rPr>
          <w:rFonts w:ascii="Arial" w:cs="Arial" w:eastAsia="Arial" w:hAnsi="Arial"/>
          <w:sz w:val="14"/>
          <w:szCs w:val="14"/>
          <w:b w:val="1"/>
          <w:bCs w:val="1"/>
          <w:color w:val="181818"/>
        </w:rPr>
      </w:pPr>
      <w:r>
        <w:rPr>
          <w:rFonts w:ascii="Arial" w:cs="Arial" w:eastAsia="Arial" w:hAnsi="Arial"/>
          <w:sz w:val="14"/>
          <w:szCs w:val="14"/>
          <w:color w:val="auto"/>
        </w:rPr>
        <w:t>Represents options that were exercised in Fiscal 2026.</w:t>
      </w:r>
    </w:p>
    <w:p>
      <w:pPr>
        <w:spacing w:after="0" w:line="95" w:lineRule="exact"/>
        <w:rPr>
          <w:rFonts w:ascii="Arial" w:cs="Arial" w:eastAsia="Arial" w:hAnsi="Arial"/>
          <w:sz w:val="14"/>
          <w:szCs w:val="14"/>
          <w:b w:val="1"/>
          <w:bCs w:val="1"/>
          <w:color w:val="181818"/>
        </w:rPr>
      </w:pPr>
    </w:p>
    <w:p>
      <w:pPr>
        <w:ind w:left="287" w:hanging="287"/>
        <w:spacing w:after="0"/>
        <w:tabs>
          <w:tab w:leader="none" w:pos="287" w:val="left"/>
        </w:tabs>
        <w:numPr>
          <w:ilvl w:val="0"/>
          <w:numId w:val="51"/>
        </w:numPr>
        <w:rPr>
          <w:rFonts w:ascii="Arial" w:cs="Arial" w:eastAsia="Arial" w:hAnsi="Arial"/>
          <w:sz w:val="14"/>
          <w:szCs w:val="14"/>
          <w:b w:val="1"/>
          <w:bCs w:val="1"/>
          <w:color w:val="181818"/>
        </w:rPr>
      </w:pPr>
      <w:r>
        <w:rPr>
          <w:rFonts w:ascii="Arial" w:cs="Arial" w:eastAsia="Arial" w:hAnsi="Arial"/>
          <w:sz w:val="14"/>
          <w:szCs w:val="14"/>
          <w:color w:val="auto"/>
        </w:rPr>
        <w:t>Amounts are calculated as the difference between the market price of our common stock at the time of exercise and the exercise price of the stock option.</w:t>
      </w:r>
    </w:p>
    <w:p>
      <w:pPr>
        <w:spacing w:after="0" w:line="82" w:lineRule="exact"/>
        <w:rPr>
          <w:rFonts w:ascii="Arial" w:cs="Arial" w:eastAsia="Arial" w:hAnsi="Arial"/>
          <w:sz w:val="14"/>
          <w:szCs w:val="14"/>
          <w:b w:val="1"/>
          <w:bCs w:val="1"/>
          <w:color w:val="181818"/>
        </w:rPr>
      </w:pPr>
    </w:p>
    <w:p>
      <w:pPr>
        <w:ind w:left="287" w:hanging="287"/>
        <w:spacing w:after="0"/>
        <w:tabs>
          <w:tab w:leader="none" w:pos="287" w:val="left"/>
        </w:tabs>
        <w:numPr>
          <w:ilvl w:val="0"/>
          <w:numId w:val="51"/>
        </w:numPr>
        <w:rPr>
          <w:rFonts w:ascii="Arial" w:cs="Arial" w:eastAsia="Arial" w:hAnsi="Arial"/>
          <w:sz w:val="14"/>
          <w:szCs w:val="14"/>
          <w:b w:val="1"/>
          <w:bCs w:val="1"/>
          <w:color w:val="181818"/>
        </w:rPr>
      </w:pPr>
      <w:r>
        <w:rPr>
          <w:rFonts w:ascii="Arial" w:cs="Arial" w:eastAsia="Arial" w:hAnsi="Arial"/>
          <w:sz w:val="14"/>
          <w:szCs w:val="14"/>
          <w:color w:val="auto"/>
        </w:rPr>
        <w:t>Represents RSUs that vested in Fiscal 2026.</w:t>
      </w:r>
    </w:p>
    <w:p>
      <w:pPr>
        <w:spacing w:after="0" w:line="95" w:lineRule="exact"/>
        <w:rPr>
          <w:rFonts w:ascii="Arial" w:cs="Arial" w:eastAsia="Arial" w:hAnsi="Arial"/>
          <w:sz w:val="14"/>
          <w:szCs w:val="14"/>
          <w:b w:val="1"/>
          <w:bCs w:val="1"/>
          <w:color w:val="181818"/>
        </w:rPr>
      </w:pPr>
    </w:p>
    <w:p>
      <w:pPr>
        <w:ind w:left="327" w:right="160" w:hanging="327"/>
        <w:spacing w:after="0" w:line="311" w:lineRule="auto"/>
        <w:tabs>
          <w:tab w:leader="none" w:pos="288" w:val="left"/>
        </w:tabs>
        <w:numPr>
          <w:ilvl w:val="0"/>
          <w:numId w:val="51"/>
        </w:numPr>
        <w:rPr>
          <w:rFonts w:ascii="Arial" w:cs="Arial" w:eastAsia="Arial" w:hAnsi="Arial"/>
          <w:sz w:val="14"/>
          <w:szCs w:val="14"/>
          <w:b w:val="1"/>
          <w:bCs w:val="1"/>
          <w:color w:val="181818"/>
        </w:rPr>
      </w:pPr>
      <w:r>
        <w:rPr>
          <w:rFonts w:ascii="Arial" w:cs="Arial" w:eastAsia="Arial" w:hAnsi="Arial"/>
          <w:sz w:val="14"/>
          <w:szCs w:val="14"/>
          <w:color w:val="auto"/>
        </w:rPr>
        <w:t>Amounts are calculated by multiplying the number of shares vested by either (a) the closing stock price of our common stock on the date of vesting or (b) the closing stock price of our common stock the next day the stock market was open.</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1B6F80"/>
        </w:rPr>
        <w:t>Severance Arrangements with our NEOs</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Executive Severance Plan</w:t>
      </w:r>
    </w:p>
    <w:p>
      <w:pPr>
        <w:spacing w:after="0" w:line="148" w:lineRule="exact"/>
        <w:rPr>
          <w:sz w:val="20"/>
          <w:szCs w:val="20"/>
          <w:color w:val="auto"/>
        </w:rPr>
      </w:pPr>
    </w:p>
    <w:p>
      <w:pPr>
        <w:jc w:val="both"/>
        <w:ind w:left="7"/>
        <w:spacing w:after="0" w:line="303" w:lineRule="auto"/>
        <w:rPr>
          <w:sz w:val="20"/>
          <w:szCs w:val="20"/>
          <w:color w:val="auto"/>
        </w:rPr>
      </w:pPr>
      <w:r>
        <w:rPr>
          <w:rFonts w:ascii="Arial" w:cs="Arial" w:eastAsia="Arial" w:hAnsi="Arial"/>
          <w:sz w:val="16"/>
          <w:szCs w:val="16"/>
          <w:color w:val="auto"/>
        </w:rPr>
        <w:t>Under our Severance Plan, our NEOs are entitled to receive cash severance and related benefits and vesting acceleration of equity awards in the event of termination of employment without Cause or for Good Reason (as such terms are defined in the Severance Plan). On December 5, 2024, our Compensation Committee amended the Severance Plan, a copy of which was filed with the SEC in the Company's Form 10-K on June 25, 2025, to provide for different severance payments and benefits for Tier 1 Executives who become eligible for the Severance Plan following such date (the “non-Legacy Tier 1 executives”). Tier 1 Executives who were covered by the Severance Plan prior to such amendment (the “Legacy Tier 1 executives”) continue to be eligible for the payments and benefits that the Severance Plan provided for prior to its amendment. Mr. Lang is a non-Legacy Tier 1 executive and Ms. Martin is a Tier 2 Executive, but she did not become a participant in the Severance Plan until June 10, 2026, following the Compensation Committee’s authorization of her participation in the Severance Plan on June 2, 2026.</w:t>
      </w:r>
    </w:p>
    <w:p>
      <w:pPr>
        <w:spacing w:after="0" w:line="61"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The following table provides information regarding which tier our NEOs are eligible for under our Severance Plan:</w:t>
      </w:r>
    </w:p>
    <w:p>
      <w:pPr>
        <w:spacing w:after="0" w:line="163" w:lineRule="exact"/>
        <w:rPr>
          <w:sz w:val="20"/>
          <w:szCs w:val="20"/>
          <w:color w:val="auto"/>
        </w:rPr>
      </w:pPr>
    </w:p>
    <w:tbl>
      <w:tblPr>
        <w:tblLayout w:type="fixed"/>
        <w:tblInd w:w="17" w:type="dxa"/>
        <w:tblCellMar>
          <w:top w:w="0" w:type="dxa"/>
          <w:left w:w="0" w:type="dxa"/>
          <w:bottom w:w="0" w:type="dxa"/>
          <w:right w:w="0" w:type="dxa"/>
        </w:tblCellMar>
      </w:tblPr>
      <w:tr>
        <w:trPr>
          <w:trHeight w:val="228"/>
        </w:trPr>
        <w:tc>
          <w:tcPr>
            <w:tcW w:w="5580" w:type="dxa"/>
            <w:vAlign w:val="bottom"/>
            <w:tcBorders>
              <w:top w:val="single" w:sz="8" w:color="181818"/>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Name</w:t>
            </w:r>
          </w:p>
        </w:tc>
        <w:tc>
          <w:tcPr>
            <w:tcW w:w="5700" w:type="dxa"/>
            <w:vAlign w:val="bottom"/>
            <w:tcBorders>
              <w:top w:val="single" w:sz="8" w:color="181818"/>
              <w:right w:val="single" w:sz="8" w:color="181818"/>
            </w:tcBorders>
            <w:gridSpan w:val="2"/>
            <w:shd w:val="clear" w:color="auto" w:fill="1B6F80"/>
          </w:tcPr>
          <w:p>
            <w:pPr>
              <w:ind w:left="20"/>
              <w:spacing w:after="0"/>
              <w:rPr>
                <w:sz w:val="20"/>
                <w:szCs w:val="20"/>
                <w:color w:val="auto"/>
              </w:rPr>
            </w:pPr>
            <w:r>
              <w:rPr>
                <w:rFonts w:ascii="Arial" w:cs="Arial" w:eastAsia="Arial" w:hAnsi="Arial"/>
                <w:sz w:val="14"/>
                <w:szCs w:val="14"/>
                <w:b w:val="1"/>
                <w:bCs w:val="1"/>
                <w:color w:val="FFFFFF"/>
              </w:rPr>
              <w:t>Severance Plan Tier for Fiscal 2026</w:t>
            </w:r>
          </w:p>
        </w:tc>
      </w:tr>
      <w:tr>
        <w:trPr>
          <w:trHeight w:val="69"/>
        </w:trPr>
        <w:tc>
          <w:tcPr>
            <w:tcW w:w="5580" w:type="dxa"/>
            <w:vAlign w:val="bottom"/>
            <w:tcBorders>
              <w:left w:val="single" w:sz="8" w:color="181818"/>
            </w:tcBorders>
            <w:shd w:val="clear" w:color="auto" w:fill="1B6F80"/>
          </w:tcPr>
          <w:p>
            <w:pPr>
              <w:spacing w:after="0"/>
              <w:rPr>
                <w:sz w:val="6"/>
                <w:szCs w:val="6"/>
                <w:color w:val="auto"/>
              </w:rPr>
            </w:pPr>
          </w:p>
        </w:tc>
        <w:tc>
          <w:tcPr>
            <w:tcW w:w="400" w:type="dxa"/>
            <w:vAlign w:val="bottom"/>
            <w:shd w:val="clear" w:color="auto" w:fill="1B6F80"/>
          </w:tcPr>
          <w:p>
            <w:pPr>
              <w:spacing w:after="0"/>
              <w:rPr>
                <w:sz w:val="6"/>
                <w:szCs w:val="6"/>
                <w:color w:val="auto"/>
              </w:rPr>
            </w:pPr>
          </w:p>
        </w:tc>
        <w:tc>
          <w:tcPr>
            <w:tcW w:w="5300" w:type="dxa"/>
            <w:vAlign w:val="bottom"/>
            <w:tcBorders>
              <w:right w:val="single" w:sz="8" w:color="181818"/>
            </w:tcBorders>
            <w:shd w:val="clear" w:color="auto" w:fill="1B6F80"/>
          </w:tcPr>
          <w:p>
            <w:pPr>
              <w:spacing w:after="0"/>
              <w:rPr>
                <w:sz w:val="6"/>
                <w:szCs w:val="6"/>
                <w:color w:val="auto"/>
              </w:rPr>
            </w:pPr>
          </w:p>
        </w:tc>
      </w:tr>
      <w:tr>
        <w:trPr>
          <w:trHeight w:val="268"/>
        </w:trPr>
        <w:tc>
          <w:tcPr>
            <w:tcW w:w="55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Scott A. Lang</w:t>
            </w:r>
          </w:p>
        </w:tc>
        <w:tc>
          <w:tcPr>
            <w:tcW w:w="400" w:type="dxa"/>
            <w:vAlign w:val="bottom"/>
          </w:tcPr>
          <w:p>
            <w:pPr>
              <w:ind w:left="20"/>
              <w:spacing w:after="0"/>
              <w:rPr>
                <w:sz w:val="20"/>
                <w:szCs w:val="20"/>
                <w:color w:val="auto"/>
              </w:rPr>
            </w:pPr>
            <w:r>
              <w:rPr>
                <w:rFonts w:ascii="Arial" w:cs="Arial" w:eastAsia="Arial" w:hAnsi="Arial"/>
                <w:sz w:val="14"/>
                <w:szCs w:val="14"/>
                <w:color w:val="auto"/>
              </w:rPr>
              <w:t>Tier 1</w:t>
            </w:r>
          </w:p>
        </w:tc>
        <w:tc>
          <w:tcPr>
            <w:tcW w:w="5300" w:type="dxa"/>
            <w:vAlign w:val="bottom"/>
            <w:tcBorders>
              <w:right w:val="single" w:sz="8" w:color="181818"/>
            </w:tcBorders>
          </w:tcPr>
          <w:p>
            <w:pPr>
              <w:ind w:left="20"/>
              <w:spacing w:after="0"/>
              <w:rPr>
                <w:sz w:val="20"/>
                <w:szCs w:val="20"/>
                <w:color w:val="auto"/>
              </w:rPr>
            </w:pPr>
            <w:r>
              <w:rPr>
                <w:rFonts w:ascii="Arial" w:cs="Arial" w:eastAsia="Arial" w:hAnsi="Arial"/>
                <w:sz w:val="14"/>
                <w:szCs w:val="14"/>
                <w:color w:val="auto"/>
              </w:rPr>
              <w:t>(non-Legacy) Executive</w:t>
            </w:r>
          </w:p>
        </w:tc>
      </w:tr>
      <w:tr>
        <w:trPr>
          <w:trHeight w:val="69"/>
        </w:trPr>
        <w:tc>
          <w:tcPr>
            <w:tcW w:w="5580" w:type="dxa"/>
            <w:vAlign w:val="bottom"/>
            <w:tcBorders>
              <w:left w:val="single" w:sz="8" w:color="181818"/>
              <w:bottom w:val="single" w:sz="8" w:color="181818"/>
            </w:tcBorders>
          </w:tcPr>
          <w:p>
            <w:pPr>
              <w:spacing w:after="0"/>
              <w:rPr>
                <w:sz w:val="6"/>
                <w:szCs w:val="6"/>
                <w:color w:val="auto"/>
              </w:rPr>
            </w:pPr>
          </w:p>
        </w:tc>
        <w:tc>
          <w:tcPr>
            <w:tcW w:w="400" w:type="dxa"/>
            <w:vAlign w:val="bottom"/>
            <w:tcBorders>
              <w:bottom w:val="single" w:sz="8" w:color="181818"/>
            </w:tcBorders>
          </w:tcPr>
          <w:p>
            <w:pPr>
              <w:spacing w:after="0"/>
              <w:rPr>
                <w:sz w:val="6"/>
                <w:szCs w:val="6"/>
                <w:color w:val="auto"/>
              </w:rPr>
            </w:pPr>
          </w:p>
        </w:tc>
        <w:tc>
          <w:tcPr>
            <w:tcW w:w="5300" w:type="dxa"/>
            <w:vAlign w:val="bottom"/>
            <w:tcBorders>
              <w:bottom w:val="single" w:sz="8" w:color="181818"/>
              <w:right w:val="single" w:sz="8" w:color="181818"/>
            </w:tcBorders>
          </w:tcPr>
          <w:p>
            <w:pPr>
              <w:spacing w:after="0"/>
              <w:rPr>
                <w:sz w:val="6"/>
                <w:szCs w:val="6"/>
                <w:color w:val="auto"/>
              </w:rPr>
            </w:pPr>
          </w:p>
        </w:tc>
      </w:tr>
      <w:tr>
        <w:trPr>
          <w:trHeight w:val="262"/>
        </w:trPr>
        <w:tc>
          <w:tcPr>
            <w:tcW w:w="55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Christopher E. Guttman-McCabe</w:t>
            </w:r>
          </w:p>
        </w:tc>
        <w:tc>
          <w:tcPr>
            <w:tcW w:w="400" w:type="dxa"/>
            <w:vAlign w:val="bottom"/>
          </w:tcPr>
          <w:p>
            <w:pPr>
              <w:ind w:left="20"/>
              <w:spacing w:after="0"/>
              <w:rPr>
                <w:sz w:val="20"/>
                <w:szCs w:val="20"/>
                <w:color w:val="auto"/>
              </w:rPr>
            </w:pPr>
            <w:r>
              <w:rPr>
                <w:rFonts w:ascii="Arial" w:cs="Arial" w:eastAsia="Arial" w:hAnsi="Arial"/>
                <w:sz w:val="14"/>
                <w:szCs w:val="14"/>
                <w:color w:val="auto"/>
              </w:rPr>
              <w:t>Tier 1</w:t>
            </w:r>
          </w:p>
        </w:tc>
        <w:tc>
          <w:tcPr>
            <w:tcW w:w="5300" w:type="dxa"/>
            <w:vAlign w:val="bottom"/>
            <w:tcBorders>
              <w:right w:val="single" w:sz="8" w:color="181818"/>
            </w:tcBorders>
          </w:tcPr>
          <w:p>
            <w:pPr>
              <w:ind w:left="20"/>
              <w:spacing w:after="0"/>
              <w:rPr>
                <w:sz w:val="20"/>
                <w:szCs w:val="20"/>
                <w:color w:val="auto"/>
              </w:rPr>
            </w:pPr>
            <w:r>
              <w:rPr>
                <w:rFonts w:ascii="Arial" w:cs="Arial" w:eastAsia="Arial" w:hAnsi="Arial"/>
                <w:sz w:val="14"/>
                <w:szCs w:val="14"/>
                <w:color w:val="auto"/>
              </w:rPr>
              <w:t>(Legacy) Executive</w:t>
            </w:r>
          </w:p>
        </w:tc>
      </w:tr>
      <w:tr>
        <w:trPr>
          <w:trHeight w:val="56"/>
        </w:trPr>
        <w:tc>
          <w:tcPr>
            <w:tcW w:w="5580" w:type="dxa"/>
            <w:vAlign w:val="bottom"/>
            <w:tcBorders>
              <w:left w:val="single" w:sz="8" w:color="181818"/>
              <w:bottom w:val="single" w:sz="8" w:color="181818"/>
            </w:tcBorders>
          </w:tcPr>
          <w:p>
            <w:pPr>
              <w:spacing w:after="0"/>
              <w:rPr>
                <w:sz w:val="4"/>
                <w:szCs w:val="4"/>
                <w:color w:val="auto"/>
              </w:rPr>
            </w:pPr>
          </w:p>
        </w:tc>
        <w:tc>
          <w:tcPr>
            <w:tcW w:w="5700" w:type="dxa"/>
            <w:vAlign w:val="bottom"/>
            <w:tcBorders>
              <w:bottom w:val="single" w:sz="8" w:color="181818"/>
              <w:right w:val="single" w:sz="8" w:color="181818"/>
            </w:tcBorders>
            <w:gridSpan w:val="2"/>
          </w:tcPr>
          <w:p>
            <w:pPr>
              <w:spacing w:after="0"/>
              <w:rPr>
                <w:sz w:val="4"/>
                <w:szCs w:val="4"/>
                <w:color w:val="auto"/>
              </w:rPr>
            </w:pPr>
          </w:p>
        </w:tc>
      </w:tr>
      <w:tr>
        <w:trPr>
          <w:trHeight w:val="262"/>
        </w:trPr>
        <w:tc>
          <w:tcPr>
            <w:tcW w:w="55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Heather Martin</w:t>
            </w:r>
          </w:p>
        </w:tc>
        <w:tc>
          <w:tcPr>
            <w:tcW w:w="5700" w:type="dxa"/>
            <w:vAlign w:val="bottom"/>
            <w:tcBorders>
              <w:right w:val="single" w:sz="8" w:color="181818"/>
            </w:tcBorders>
            <w:gridSpan w:val="2"/>
          </w:tcPr>
          <w:p>
            <w:pPr>
              <w:ind w:left="20"/>
              <w:spacing w:after="0"/>
              <w:rPr>
                <w:sz w:val="20"/>
                <w:szCs w:val="20"/>
                <w:color w:val="auto"/>
              </w:rPr>
            </w:pPr>
            <w:r>
              <w:rPr>
                <w:rFonts w:ascii="Arial" w:cs="Arial" w:eastAsia="Arial" w:hAnsi="Arial"/>
                <w:sz w:val="14"/>
                <w:szCs w:val="14"/>
                <w:color w:val="auto"/>
              </w:rPr>
              <w:t xml:space="preserve">None </w:t>
            </w:r>
            <w:r>
              <w:rPr>
                <w:rFonts w:ascii="Arial" w:cs="Arial" w:eastAsia="Arial" w:hAnsi="Arial"/>
                <w:sz w:val="9"/>
                <w:szCs w:val="9"/>
                <w:color w:val="auto"/>
              </w:rPr>
              <w:t>(1)</w:t>
            </w:r>
          </w:p>
        </w:tc>
      </w:tr>
      <w:tr>
        <w:trPr>
          <w:trHeight w:val="69"/>
        </w:trPr>
        <w:tc>
          <w:tcPr>
            <w:tcW w:w="5580" w:type="dxa"/>
            <w:vAlign w:val="bottom"/>
            <w:tcBorders>
              <w:left w:val="single" w:sz="8" w:color="181818"/>
              <w:bottom w:val="single" w:sz="8" w:color="181818"/>
            </w:tcBorders>
          </w:tcPr>
          <w:p>
            <w:pPr>
              <w:spacing w:after="0"/>
              <w:rPr>
                <w:sz w:val="6"/>
                <w:szCs w:val="6"/>
                <w:color w:val="auto"/>
              </w:rPr>
            </w:pPr>
          </w:p>
        </w:tc>
        <w:tc>
          <w:tcPr>
            <w:tcW w:w="400" w:type="dxa"/>
            <w:vAlign w:val="bottom"/>
            <w:tcBorders>
              <w:bottom w:val="single" w:sz="8" w:color="181818"/>
            </w:tcBorders>
          </w:tcPr>
          <w:p>
            <w:pPr>
              <w:spacing w:after="0"/>
              <w:rPr>
                <w:sz w:val="6"/>
                <w:szCs w:val="6"/>
                <w:color w:val="auto"/>
              </w:rPr>
            </w:pPr>
          </w:p>
        </w:tc>
        <w:tc>
          <w:tcPr>
            <w:tcW w:w="5300" w:type="dxa"/>
            <w:vAlign w:val="bottom"/>
            <w:tcBorders>
              <w:bottom w:val="single" w:sz="8" w:color="181818"/>
              <w:right w:val="single" w:sz="8" w:color="181818"/>
            </w:tcBorders>
          </w:tcPr>
          <w:p>
            <w:pPr>
              <w:spacing w:after="0"/>
              <w:rPr>
                <w:sz w:val="6"/>
                <w:szCs w:val="6"/>
                <w:color w:val="auto"/>
              </w:rPr>
            </w:pPr>
          </w:p>
        </w:tc>
      </w:tr>
    </w:tbl>
    <w:p>
      <w:pPr>
        <w:spacing w:after="0" w:line="189" w:lineRule="exact"/>
        <w:rPr>
          <w:sz w:val="20"/>
          <w:szCs w:val="20"/>
          <w:color w:val="auto"/>
        </w:rPr>
      </w:pPr>
    </w:p>
    <w:p>
      <w:pPr>
        <w:ind w:left="327" w:right="180" w:hanging="327"/>
        <w:spacing w:after="0" w:line="311" w:lineRule="auto"/>
        <w:tabs>
          <w:tab w:leader="none" w:pos="315" w:val="left"/>
        </w:tabs>
        <w:numPr>
          <w:ilvl w:val="0"/>
          <w:numId w:val="52"/>
        </w:numPr>
        <w:rPr>
          <w:rFonts w:ascii="Arial" w:cs="Arial" w:eastAsia="Arial" w:hAnsi="Arial"/>
          <w:sz w:val="14"/>
          <w:szCs w:val="14"/>
          <w:b w:val="1"/>
          <w:bCs w:val="1"/>
          <w:color w:val="181818"/>
        </w:rPr>
      </w:pPr>
      <w:r>
        <w:rPr>
          <w:rFonts w:ascii="Arial" w:cs="Arial" w:eastAsia="Arial" w:hAnsi="Arial"/>
          <w:sz w:val="14"/>
          <w:szCs w:val="14"/>
          <w:color w:val="auto"/>
        </w:rPr>
        <w:t>In accordance with the terms of her offer letter, Ms. Martin was not covered by the Severance Plan as of March 31, 2026. On June 2, 2026, the Compensation Committee approved Ms. Martin’s participation in the Executive Severance Plan as a Tier 2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429260</wp:posOffset>
            </wp:positionV>
            <wp:extent cx="71577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
        <w:spacing w:after="0"/>
        <w:tabs>
          <w:tab w:leader="none" w:pos="10267" w:val="left"/>
        </w:tabs>
        <w:rPr>
          <w:sz w:val="20"/>
          <w:szCs w:val="20"/>
          <w:color w:val="auto"/>
        </w:rPr>
      </w:pPr>
      <w:r>
        <w:rPr>
          <w:rFonts w:ascii="Arial" w:cs="Arial" w:eastAsia="Arial" w:hAnsi="Arial"/>
          <w:sz w:val="14"/>
          <w:szCs w:val="14"/>
          <w:color w:val="09314A"/>
        </w:rPr>
        <w:t xml:space="preserve">46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1831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50" w:name="page51"/>
    <w:bookmarkEnd w:id="50"/>
    <w:p>
      <w:pPr>
        <w:ind w:left="900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7"/>
        <w:spacing w:after="0" w:line="300" w:lineRule="auto"/>
        <w:rPr>
          <w:sz w:val="20"/>
          <w:szCs w:val="20"/>
          <w:color w:val="auto"/>
        </w:rPr>
      </w:pPr>
      <w:r>
        <w:rPr>
          <w:rFonts w:ascii="Arial" w:cs="Arial" w:eastAsia="Arial" w:hAnsi="Arial"/>
          <w:sz w:val="16"/>
          <w:szCs w:val="16"/>
          <w:color w:val="auto"/>
        </w:rPr>
        <w:t>Upon termination of employment without Cause or for Good Reason with no Change in Control (as such term is defined in the Severance Plan), each Legacy Tier 1 executive is eligible for: (1) a cash severance payment equal to 2.0 times the sum of the executive’s base salary plus target bonus, paid in installments over 24 months; (2) a pro-rated target bonus for the fiscal year in which the termination occurs, paid at the time at which bonuses are paid to actively employed executives for such fiscal year; (3) pro-rated accelerated vesting of time-based equity awards to reflect their actual time-based service between the prior vesting date and next vesting date and, with respect to any time-based stock option awards, a nine-month time period to exercise; (4) performance metrics for performance-based equity determined based upon actual levels of performance achieved; (5) with respect to additional time-based elements of performance-based equity, if any, pro-rated vesting of achieved performance-based equity awards following the pro-rated accelerated vesting protocol for time-based equity stated in item (3) above; and (6) continued payment of the Legacy Tier 1 executive's health plan premiums for a maximum of 18 months and outplacement assistance for 12 months at a cost not exceeding $25,000. With respect to any vested stock options, the terminated Legacy Tier 1 executive will have until the earlier of 9 months after termination, or expiration of the option to exercise said options.</w:t>
      </w:r>
    </w:p>
    <w:p>
      <w:pPr>
        <w:spacing w:after="0" w:line="76" w:lineRule="exact"/>
        <w:rPr>
          <w:sz w:val="20"/>
          <w:szCs w:val="20"/>
          <w:color w:val="auto"/>
        </w:rPr>
      </w:pPr>
    </w:p>
    <w:p>
      <w:pPr>
        <w:jc w:val="both"/>
        <w:ind w:left="7"/>
        <w:spacing w:after="0" w:line="299" w:lineRule="auto"/>
        <w:rPr>
          <w:sz w:val="20"/>
          <w:szCs w:val="20"/>
          <w:color w:val="auto"/>
        </w:rPr>
      </w:pPr>
      <w:r>
        <w:rPr>
          <w:rFonts w:ascii="Arial" w:cs="Arial" w:eastAsia="Arial" w:hAnsi="Arial"/>
          <w:sz w:val="16"/>
          <w:szCs w:val="16"/>
          <w:color w:val="auto"/>
        </w:rPr>
        <w:t>Upon termination of employment without Cause or for Good Reason with no Change in Control, each non-Legacy Tier 1 executive and Tier 2 executive is eligible for: (1) a cash severance payment equal to 1.0 times the sum of the executive’s base salary plus target bonus, paid in installments over 12 months;</w:t>
      </w:r>
    </w:p>
    <w:p>
      <w:pPr>
        <w:spacing w:after="0" w:line="1" w:lineRule="exact"/>
        <w:rPr>
          <w:sz w:val="20"/>
          <w:szCs w:val="20"/>
          <w:color w:val="auto"/>
        </w:rPr>
      </w:pPr>
    </w:p>
    <w:p>
      <w:pPr>
        <w:jc w:val="both"/>
        <w:ind w:left="7" w:hanging="7"/>
        <w:spacing w:after="0" w:line="300" w:lineRule="auto"/>
        <w:tabs>
          <w:tab w:leader="none" w:pos="2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pro-rated target bonus for the fiscal year in which the termination occurs, paid at the time at which bonuses are paid to actively employed executives for such fiscal year; (3) pro-rated accelerated vesting of time-based equity awards to reflect their actual time-based service between the prior vesting date and next vesting date and, with respect to any time-based stock option awards, a nine-month time period to exercise; (4) performance metrics for performance-based equity determined based upon actual levels of performance achieved; (5) with respect to additional time-based elements of performance-based equity, if any, pro-rated vesting of achieved performance-based equity awards following the pro-rated accelerated vesting protocol for time-based equity stated in item (3) above; and (6) continued payment of the non-Legacy Tier 1 executive's and Tier 2 executive’s health plan premiums for a maximum of 12 months and outplacement assistance for 12 months at a cost not exceeding $25,000. With respect to any vested stock options, the terminated Tier 1 executive or Tier 2 executive will have until the earlier of 9 months after termination, or expiration of the option to exercise said options.</w:t>
      </w:r>
    </w:p>
    <w:p>
      <w:pPr>
        <w:spacing w:after="0" w:line="77" w:lineRule="exact"/>
        <w:rPr>
          <w:sz w:val="20"/>
          <w:szCs w:val="20"/>
          <w:color w:val="auto"/>
        </w:rPr>
      </w:pPr>
    </w:p>
    <w:p>
      <w:pPr>
        <w:jc w:val="both"/>
        <w:ind w:left="7"/>
        <w:spacing w:after="0" w:line="300" w:lineRule="auto"/>
        <w:rPr>
          <w:sz w:val="20"/>
          <w:szCs w:val="20"/>
          <w:color w:val="auto"/>
        </w:rPr>
      </w:pPr>
      <w:r>
        <w:rPr>
          <w:rFonts w:ascii="Arial" w:cs="Arial" w:eastAsia="Arial" w:hAnsi="Arial"/>
          <w:sz w:val="16"/>
          <w:szCs w:val="16"/>
          <w:color w:val="auto"/>
        </w:rPr>
        <w:t>Upon termination of any Tier 1 executive’s employment (including a Legacy Tier 1 executive) without Cause or for Good Reason within 6 months before or 24 months after a Change in Control, each Tier 1 executive (including Legacy Tier 1) is eligible for: (1) a cash severance payment equal to 2.0 times the sum of the executive’s base salary plus target bonus, paid in lump sum; (2) a pro-rated target bonus for the fiscal year in which the termination occurs, payable in a lump sum; (3) full accelerated vesting of time-based equity awards; (4) performance metrics for performance-based equity determined as the greater of 100% of target or the actual levels of performance achieved; (5) with respect to time-based elements of performance-based equity, if any, full accelerated vesting of any achieved performance-based equity awards following the full accelerated vesting protocol for time-based equity stated in item (3) above; and (6) continued payment of the Tier 1 executive's health plan premiums for a maximum of 18 months and outplacement assistance for 12 months at a cost not exceeding $25,000. With respect to any vested stock options, the terminated Tier 1 executive (including Legacy Tier 1 executives) will have until the earlier of 2 years after termination, or expiration of the option to exercise said options.</w:t>
      </w:r>
    </w:p>
    <w:p>
      <w:pPr>
        <w:spacing w:after="0" w:line="77" w:lineRule="exact"/>
        <w:rPr>
          <w:sz w:val="20"/>
          <w:szCs w:val="20"/>
          <w:color w:val="auto"/>
        </w:rPr>
      </w:pPr>
    </w:p>
    <w:p>
      <w:pPr>
        <w:jc w:val="both"/>
        <w:ind w:left="7"/>
        <w:spacing w:after="0" w:line="299" w:lineRule="auto"/>
        <w:rPr>
          <w:sz w:val="20"/>
          <w:szCs w:val="20"/>
          <w:color w:val="auto"/>
        </w:rPr>
      </w:pPr>
      <w:r>
        <w:rPr>
          <w:rFonts w:ascii="Arial" w:cs="Arial" w:eastAsia="Arial" w:hAnsi="Arial"/>
          <w:sz w:val="16"/>
          <w:szCs w:val="16"/>
          <w:color w:val="auto"/>
        </w:rPr>
        <w:t>Upon termination of a Tier 2 executive’s employment without Cause or for Good Reason within 6 months before or 24 months after a Change in Control, each Tier 2 executive is eligible for: (1) a cash severance payment equal to 1.0 times the sum of the executive’s base salary plus target bonus, paid in lump sum;</w:t>
      </w:r>
    </w:p>
    <w:p>
      <w:pPr>
        <w:spacing w:after="0" w:line="1" w:lineRule="exact"/>
        <w:rPr>
          <w:sz w:val="20"/>
          <w:szCs w:val="20"/>
          <w:color w:val="auto"/>
        </w:rPr>
      </w:pPr>
    </w:p>
    <w:p>
      <w:pPr>
        <w:jc w:val="both"/>
        <w:ind w:left="7" w:hanging="7"/>
        <w:spacing w:after="0" w:line="301" w:lineRule="auto"/>
        <w:tabs>
          <w:tab w:leader="none" w:pos="27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pro-rated target bonus for the fiscal year in which the termination occurs, payable in a lump sum; (3) full accelerated vesting of time-based equity awards, and with respect to any time-based stock option awards, a two-year time period to exercise; (4) performance metrics for performance-based equity determined as the greater of 100% of target or the actual levels of performance achieved; (5) with respect to time-based elements of performance-based equity, if any, full accelerated vesting of achieved performance-based equity awards following the full accelerated vesting protocol for time-based equity stated; and (6) continued payment of the Tier 2 executive's health plan premiums for a maximum of 18 months and outplacement assistance for 12 months at a cost not exceeding $25,000. With respect to any vested stock options, the terminated Tier 2 executive will have until the earlier of 2 years after termination, or expiration of the option to exercise said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71577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51" w:name="page52"/>
    <w:bookmarkEnd w:id="51"/>
    <w:p>
      <w:pPr>
        <w:ind w:left="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603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0325"/>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7"/>
        <w:spacing w:after="0" w:line="300" w:lineRule="auto"/>
        <w:rPr>
          <w:sz w:val="20"/>
          <w:szCs w:val="20"/>
          <w:color w:val="auto"/>
        </w:rPr>
      </w:pPr>
      <w:r>
        <w:rPr>
          <w:rFonts w:ascii="Arial" w:cs="Arial" w:eastAsia="Arial" w:hAnsi="Arial"/>
          <w:sz w:val="16"/>
          <w:szCs w:val="16"/>
          <w:color w:val="auto"/>
        </w:rPr>
        <w:t>For purposes of the Severance Plan, “Cause” with respect to our NEOs is defined as the NEO’s: (i) willful and continued failure to perform substantially their duties with the Company (other than any such failure resulting from incapacity due to physical or mental illness), as determined by the Board no earlier than thirty days after a written demand for substantial performance is delivered to the NEO, which specifically identifies the manner in which the Company believes that they have willfully and continuously failed to substantially perform their duties with the Company (provided, however, that the failure to achieve individual or Company-based performance goals, budgets or targets shall not be deemed to be a failure of the NEO to perform their duties); (ii) willful engagement in illegal conduct or gross misconduct which is materially and demonstrably injurious to the Company or their ability to perform their duties with the Company; (iii) conviction (including a plea of guilty or nolo contendere) of a felony; (iv) breach of any written agreement between them and the Company or their failure or refusal to comply with the procedures and policies of the Company which, in each case, materially harms the Company; or (v) material breach of the restrictive covenants in the Severance Plan (subject to the cure provisions provided for in the Severance Plan).</w:t>
      </w:r>
    </w:p>
    <w:p>
      <w:pPr>
        <w:spacing w:after="0" w:line="77" w:lineRule="exact"/>
        <w:rPr>
          <w:sz w:val="20"/>
          <w:szCs w:val="20"/>
          <w:color w:val="auto"/>
        </w:rPr>
      </w:pPr>
    </w:p>
    <w:p>
      <w:pPr>
        <w:jc w:val="both"/>
        <w:ind w:left="7"/>
        <w:spacing w:after="0" w:line="296" w:lineRule="auto"/>
        <w:rPr>
          <w:sz w:val="20"/>
          <w:szCs w:val="20"/>
          <w:color w:val="auto"/>
        </w:rPr>
      </w:pPr>
      <w:r>
        <w:rPr>
          <w:rFonts w:ascii="Arial" w:cs="Arial" w:eastAsia="Arial" w:hAnsi="Arial"/>
          <w:sz w:val="16"/>
          <w:szCs w:val="16"/>
          <w:color w:val="auto"/>
        </w:rPr>
        <w:t>For purposes of the Severance Plan, “Good Reason” with respect to our NEOs is defined as, without the NEO’s consent: (i) a material diminution in their annual base salary, other than a material diminution that results from a determination by both our President and CEO and Executive Chair that the Company’s financial condition is such that a reduction in compensation is appropriate and the reduction is applied uniformly to all Company officers; (ii) a material diminution in their authority, duties, or responsibilities, which shall include: (A) if the NEO is a member of the Board, any failure of the Board to appoint or the stockholders of the Company to elect them as a member of the Board, or any removal of them from the Board for reasons other than Cause, and (B) following a Change in Control, a material change in the Company’s long-term business plan or its strategy to increase the value of its FCC licenses or</w:t>
      </w:r>
    </w:p>
    <w:p>
      <w:pPr>
        <w:spacing w:after="0" w:line="2" w:lineRule="exact"/>
        <w:rPr>
          <w:sz w:val="20"/>
          <w:szCs w:val="20"/>
          <w:color w:val="auto"/>
        </w:rPr>
      </w:pPr>
    </w:p>
    <w:p>
      <w:pPr>
        <w:jc w:val="both"/>
        <w:ind w:left="7" w:hanging="7"/>
        <w:spacing w:after="0" w:line="306" w:lineRule="auto"/>
        <w:tabs>
          <w:tab w:leader="none" w:pos="27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requirement that they relocate, by more than fifty miles, the principal location from which they perform services for the Company immediately prior to the termination of employment or the occurrence of the Change in Control. It is a condition precedent to an NEO’s right to terminate employment for Good Reason (before or after a Change in Control) that: (i) they shall have first given the Company written notice stating with reasonable specificity the breach on which such termination is premised within ninety days after they become aware or should have become aware of such breach; and (ii) if such breach is susceptible of cure or remedy, such breach has not been cured or remedied within fifteen days after receipt of such notice.</w:t>
      </w:r>
    </w:p>
    <w:p>
      <w:pPr>
        <w:spacing w:after="0" w:line="69" w:lineRule="exact"/>
        <w:rPr>
          <w:sz w:val="20"/>
          <w:szCs w:val="20"/>
          <w:color w:val="auto"/>
        </w:rPr>
      </w:pPr>
    </w:p>
    <w:p>
      <w:pPr>
        <w:jc w:val="both"/>
        <w:ind w:left="7"/>
        <w:spacing w:after="0" w:line="300" w:lineRule="auto"/>
        <w:rPr>
          <w:sz w:val="20"/>
          <w:szCs w:val="20"/>
          <w:color w:val="auto"/>
        </w:rPr>
      </w:pPr>
      <w:r>
        <w:rPr>
          <w:rFonts w:ascii="Arial" w:cs="Arial" w:eastAsia="Arial" w:hAnsi="Arial"/>
          <w:sz w:val="16"/>
          <w:szCs w:val="16"/>
          <w:color w:val="auto"/>
        </w:rPr>
        <w:t>In order to receive such severance payments and benefits, the NEO generally must execute and allow a general release of claims against us to become effective and comply with the restrictive covenants outlined in our Severance Plan. The Severance Plan also provides that, in the event that the payments and benefits provided under the Severance Plan, together with all other payments and benefits received or to be received by an NEO constitute “parachute payments” within the meaning of Section 280G of the IR Code and would otherwise be subject to the excise tax imposed by Section 4999 of the IR Code (the “Excise Tax”), then the payments and benefits provided under the Severance Plan or other payments and benefits payable to the NEO will be made either: (i) in full; or (ii) as to such lesser amount as would result in no portion of such payments and benefits being subject to the Excise Tax, whichever of the foregoing amounts, taking into account applicable federal, state and local income and employment taxes and the Excise Tax, results in the receipt by the NEO on an after-tax basis, of the greatest amount of such payments and benefits, notwithstanding that all or some portion of the payment and benefits may be subject to the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1577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7"/>
        <w:spacing w:after="0"/>
        <w:tabs>
          <w:tab w:leader="none" w:pos="10267" w:val="left"/>
        </w:tabs>
        <w:rPr>
          <w:sz w:val="20"/>
          <w:szCs w:val="20"/>
          <w:color w:val="auto"/>
        </w:rPr>
      </w:pPr>
      <w:r>
        <w:rPr>
          <w:rFonts w:ascii="Arial" w:cs="Arial" w:eastAsia="Arial" w:hAnsi="Arial"/>
          <w:sz w:val="14"/>
          <w:szCs w:val="14"/>
          <w:color w:val="09314A"/>
        </w:rPr>
        <w:t xml:space="preserve">48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52" w:name="page53"/>
    <w:bookmarkEnd w:id="52"/>
    <w:p>
      <w:pPr>
        <w:ind w:left="900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Potential Payments Upon Termination or Change in Control</w:t>
      </w:r>
    </w:p>
    <w:p>
      <w:pPr>
        <w:spacing w:after="0" w:line="150" w:lineRule="exact"/>
        <w:rPr>
          <w:sz w:val="20"/>
          <w:szCs w:val="20"/>
          <w:color w:val="auto"/>
        </w:rPr>
      </w:pPr>
    </w:p>
    <w:p>
      <w:pPr>
        <w:jc w:val="both"/>
        <w:ind w:left="7"/>
        <w:spacing w:after="0" w:line="311" w:lineRule="auto"/>
        <w:rPr>
          <w:sz w:val="20"/>
          <w:szCs w:val="20"/>
          <w:color w:val="auto"/>
        </w:rPr>
      </w:pPr>
      <w:r>
        <w:rPr>
          <w:rFonts w:ascii="Arial" w:cs="Arial" w:eastAsia="Arial" w:hAnsi="Arial"/>
          <w:sz w:val="16"/>
          <w:szCs w:val="16"/>
          <w:i w:val="1"/>
          <w:iCs w:val="1"/>
          <w:color w:val="auto"/>
        </w:rPr>
        <w:t>The following table reflects the potential payments and benefits to which our NEOs who were employed as of March 31, 2026 (the last day of Fiscal 2026) would be entitled under the arrangements described above, in the event an Involuntary Termination of employment without cause occurred on such date (showing numbers for both "with" and "without"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61595</wp:posOffset>
            </wp:positionV>
            <wp:extent cx="1602740" cy="1631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602740" cy="163195"/>
                    </a:xfrm>
                    <a:prstGeom prst="rect">
                      <a:avLst/>
                    </a:prstGeom>
                    <a:noFill/>
                  </pic:spPr>
                </pic:pic>
              </a:graphicData>
            </a:graphic>
          </wp:anchor>
        </w:drawing>
      </w:r>
    </w:p>
    <w:p>
      <w:pPr>
        <w:spacing w:after="0" w:line="102"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FFFFFF"/>
        </w:rPr>
        <w:t xml:space="preserve">Acceleration of Vesting </w:t>
      </w:r>
      <w:r>
        <w:rPr>
          <w:rFonts w:ascii="Arial" w:cs="Arial" w:eastAsia="Arial" w:hAnsi="Arial"/>
          <w:sz w:val="18"/>
          <w:szCs w:val="18"/>
          <w:b w:val="1"/>
          <w:bCs w:val="1"/>
          <w:color w:val="FFFFFF"/>
          <w:vertAlign w:val="superscript"/>
        </w:rPr>
        <w:t>(1)</w:t>
      </w:r>
    </w:p>
    <w:p>
      <w:pPr>
        <w:spacing w:after="0" w:line="11" w:lineRule="exact"/>
        <w:rPr>
          <w:sz w:val="20"/>
          <w:szCs w:val="20"/>
          <w:color w:val="auto"/>
        </w:rPr>
      </w:pPr>
    </w:p>
    <w:tbl>
      <w:tblPr>
        <w:tblLayout w:type="fixed"/>
        <w:tblInd w:w="17" w:type="dxa"/>
        <w:tblCellMar>
          <w:top w:w="0" w:type="dxa"/>
          <w:left w:w="0" w:type="dxa"/>
          <w:bottom w:w="0" w:type="dxa"/>
          <w:right w:w="0" w:type="dxa"/>
        </w:tblCellMar>
      </w:tblPr>
      <w:tr>
        <w:trPr>
          <w:trHeight w:val="181"/>
        </w:trPr>
        <w:tc>
          <w:tcPr>
            <w:tcW w:w="4540" w:type="dxa"/>
            <w:vAlign w:val="bottom"/>
            <w:tcBorders>
              <w:top w:val="single" w:sz="8" w:color="181818"/>
              <w:left w:val="single" w:sz="8" w:color="181818"/>
            </w:tcBorders>
            <w:shd w:val="clear" w:color="auto" w:fill="1B6F80"/>
          </w:tcPr>
          <w:p>
            <w:pPr>
              <w:spacing w:after="0"/>
              <w:rPr>
                <w:sz w:val="15"/>
                <w:szCs w:val="15"/>
                <w:color w:val="auto"/>
              </w:rPr>
            </w:pPr>
          </w:p>
        </w:tc>
        <w:tc>
          <w:tcPr>
            <w:tcW w:w="1620" w:type="dxa"/>
            <w:vAlign w:val="bottom"/>
            <w:tcBorders>
              <w:top w:val="single" w:sz="8" w:color="181818"/>
            </w:tcBorders>
            <w:shd w:val="clear" w:color="auto" w:fill="1B6F80"/>
          </w:tcPr>
          <w:p>
            <w:pPr>
              <w:spacing w:after="0"/>
              <w:rPr>
                <w:sz w:val="15"/>
                <w:szCs w:val="15"/>
                <w:color w:val="auto"/>
              </w:rPr>
            </w:pPr>
          </w:p>
        </w:tc>
        <w:tc>
          <w:tcPr>
            <w:tcW w:w="1000" w:type="dxa"/>
            <w:vAlign w:val="bottom"/>
            <w:tcBorders>
              <w:top w:val="single" w:sz="8" w:color="181818"/>
            </w:tcBorders>
            <w:shd w:val="clear" w:color="auto" w:fill="1B6F80"/>
          </w:tcPr>
          <w:p>
            <w:pPr>
              <w:spacing w:after="0"/>
              <w:rPr>
                <w:sz w:val="15"/>
                <w:szCs w:val="15"/>
                <w:color w:val="auto"/>
              </w:rPr>
            </w:pPr>
          </w:p>
        </w:tc>
        <w:tc>
          <w:tcPr>
            <w:tcW w:w="1120" w:type="dxa"/>
            <w:vAlign w:val="bottom"/>
            <w:tcBorders>
              <w:top w:val="single" w:sz="8" w:color="181818"/>
            </w:tcBorders>
            <w:shd w:val="clear" w:color="auto" w:fill="1B6F80"/>
          </w:tcPr>
          <w:p>
            <w:pPr>
              <w:spacing w:after="0"/>
              <w:rPr>
                <w:sz w:val="15"/>
                <w:szCs w:val="15"/>
                <w:color w:val="auto"/>
              </w:rPr>
            </w:pPr>
          </w:p>
        </w:tc>
        <w:tc>
          <w:tcPr>
            <w:tcW w:w="920" w:type="dxa"/>
            <w:vAlign w:val="bottom"/>
            <w:tcBorders>
              <w:top w:val="single" w:sz="8" w:color="181818"/>
            </w:tcBorders>
            <w:shd w:val="clear" w:color="auto" w:fill="1B6F80"/>
          </w:tcPr>
          <w:p>
            <w:pPr>
              <w:jc w:val="right"/>
              <w:ind w:right="71"/>
              <w:spacing w:after="0"/>
              <w:rPr>
                <w:sz w:val="20"/>
                <w:szCs w:val="20"/>
                <w:color w:val="auto"/>
              </w:rPr>
            </w:pPr>
            <w:r>
              <w:rPr>
                <w:rFonts w:ascii="Arial" w:cs="Arial" w:eastAsia="Arial" w:hAnsi="Arial"/>
                <w:sz w:val="14"/>
                <w:szCs w:val="14"/>
                <w:b w:val="1"/>
                <w:bCs w:val="1"/>
                <w:color w:val="FFFFFF"/>
              </w:rPr>
              <w:t>Health</w:t>
            </w:r>
          </w:p>
        </w:tc>
        <w:tc>
          <w:tcPr>
            <w:tcW w:w="1040" w:type="dxa"/>
            <w:vAlign w:val="bottom"/>
            <w:tcBorders>
              <w:top w:val="single" w:sz="8" w:color="181818"/>
            </w:tcBorders>
            <w:shd w:val="clear" w:color="auto" w:fill="1B6F80"/>
          </w:tcPr>
          <w:p>
            <w:pPr>
              <w:spacing w:after="0"/>
              <w:rPr>
                <w:sz w:val="15"/>
                <w:szCs w:val="15"/>
                <w:color w:val="auto"/>
              </w:rPr>
            </w:pPr>
          </w:p>
        </w:tc>
        <w:tc>
          <w:tcPr>
            <w:tcW w:w="1040" w:type="dxa"/>
            <w:vAlign w:val="bottom"/>
            <w:tcBorders>
              <w:top w:val="single" w:sz="8" w:color="181818"/>
              <w:right w:val="single" w:sz="8" w:color="181818"/>
            </w:tcBorders>
            <w:shd w:val="clear" w:color="auto" w:fill="1B6F80"/>
          </w:tcPr>
          <w:p>
            <w:pPr>
              <w:spacing w:after="0"/>
              <w:rPr>
                <w:sz w:val="15"/>
                <w:szCs w:val="15"/>
                <w:color w:val="auto"/>
              </w:rPr>
            </w:pPr>
          </w:p>
        </w:tc>
      </w:tr>
      <w:tr>
        <w:trPr>
          <w:trHeight w:val="162"/>
        </w:trPr>
        <w:tc>
          <w:tcPr>
            <w:tcW w:w="4540" w:type="dxa"/>
            <w:vAlign w:val="bottom"/>
            <w:tcBorders>
              <w:left w:val="single" w:sz="8" w:color="181818"/>
            </w:tcBorders>
            <w:shd w:val="clear" w:color="auto" w:fill="1B6F80"/>
          </w:tcPr>
          <w:p>
            <w:pPr>
              <w:spacing w:after="0"/>
              <w:rPr>
                <w:sz w:val="14"/>
                <w:szCs w:val="14"/>
                <w:color w:val="auto"/>
              </w:rPr>
            </w:pPr>
          </w:p>
        </w:tc>
        <w:tc>
          <w:tcPr>
            <w:tcW w:w="1620" w:type="dxa"/>
            <w:vAlign w:val="bottom"/>
            <w:shd w:val="clear" w:color="auto" w:fill="1B6F80"/>
          </w:tcPr>
          <w:p>
            <w:pPr>
              <w:jc w:val="right"/>
              <w:ind w:right="228"/>
              <w:spacing w:after="0"/>
              <w:rPr>
                <w:sz w:val="20"/>
                <w:szCs w:val="20"/>
                <w:color w:val="auto"/>
              </w:rPr>
            </w:pPr>
            <w:r>
              <w:rPr>
                <w:rFonts w:ascii="Arial" w:cs="Arial" w:eastAsia="Arial" w:hAnsi="Arial"/>
                <w:sz w:val="14"/>
                <w:szCs w:val="14"/>
                <w:b w:val="1"/>
                <w:bCs w:val="1"/>
                <w:color w:val="FFFFFF"/>
              </w:rPr>
              <w:t>Stock Options</w:t>
            </w:r>
          </w:p>
        </w:tc>
        <w:tc>
          <w:tcPr>
            <w:tcW w:w="1000" w:type="dxa"/>
            <w:vAlign w:val="bottom"/>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RSUs</w:t>
            </w:r>
          </w:p>
        </w:tc>
        <w:tc>
          <w:tcPr>
            <w:tcW w:w="1120" w:type="dxa"/>
            <w:vAlign w:val="bottom"/>
            <w:shd w:val="clear" w:color="auto" w:fill="1B6F80"/>
          </w:tcPr>
          <w:p>
            <w:pPr>
              <w:jc w:val="right"/>
              <w:ind w:right="112"/>
              <w:spacing w:after="0"/>
              <w:rPr>
                <w:sz w:val="20"/>
                <w:szCs w:val="20"/>
                <w:color w:val="auto"/>
              </w:rPr>
            </w:pPr>
            <w:r>
              <w:rPr>
                <w:rFonts w:ascii="Arial" w:cs="Arial" w:eastAsia="Arial" w:hAnsi="Arial"/>
                <w:sz w:val="14"/>
                <w:szCs w:val="14"/>
                <w:b w:val="1"/>
                <w:bCs w:val="1"/>
                <w:color w:val="FFFFFF"/>
              </w:rPr>
              <w:t>Base Salary</w:t>
            </w:r>
          </w:p>
        </w:tc>
        <w:tc>
          <w:tcPr>
            <w:tcW w:w="920" w:type="dxa"/>
            <w:vAlign w:val="bottom"/>
            <w:shd w:val="clear" w:color="auto" w:fill="1B6F80"/>
          </w:tcPr>
          <w:p>
            <w:pPr>
              <w:jc w:val="right"/>
              <w:ind w:right="71"/>
              <w:spacing w:after="0"/>
              <w:rPr>
                <w:sz w:val="20"/>
                <w:szCs w:val="20"/>
                <w:color w:val="auto"/>
              </w:rPr>
            </w:pPr>
            <w:r>
              <w:rPr>
                <w:rFonts w:ascii="Arial" w:cs="Arial" w:eastAsia="Arial" w:hAnsi="Arial"/>
                <w:sz w:val="14"/>
                <w:szCs w:val="14"/>
                <w:b w:val="1"/>
                <w:bCs w:val="1"/>
                <w:color w:val="FFFFFF"/>
              </w:rPr>
              <w:t>Benefits</w:t>
            </w:r>
          </w:p>
        </w:tc>
        <w:tc>
          <w:tcPr>
            <w:tcW w:w="1040" w:type="dxa"/>
            <w:vAlign w:val="bottom"/>
            <w:shd w:val="clear" w:color="auto" w:fill="1B6F80"/>
          </w:tcPr>
          <w:p>
            <w:pPr>
              <w:jc w:val="right"/>
              <w:ind w:right="132"/>
              <w:spacing w:after="0"/>
              <w:rPr>
                <w:sz w:val="20"/>
                <w:szCs w:val="20"/>
                <w:color w:val="auto"/>
              </w:rPr>
            </w:pPr>
            <w:r>
              <w:rPr>
                <w:rFonts w:ascii="Arial" w:cs="Arial" w:eastAsia="Arial" w:hAnsi="Arial"/>
                <w:sz w:val="14"/>
                <w:szCs w:val="14"/>
                <w:b w:val="1"/>
                <w:bCs w:val="1"/>
                <w:color w:val="FFFFFF"/>
              </w:rPr>
              <w:t>Other</w:t>
            </w:r>
          </w:p>
        </w:tc>
        <w:tc>
          <w:tcPr>
            <w:tcW w:w="104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Total</w:t>
            </w:r>
          </w:p>
        </w:tc>
      </w:tr>
      <w:tr>
        <w:trPr>
          <w:trHeight w:val="252"/>
        </w:trPr>
        <w:tc>
          <w:tcPr>
            <w:tcW w:w="4540" w:type="dxa"/>
            <w:vAlign w:val="bottom"/>
            <w:tcBorders>
              <w:left w:val="single" w:sz="8" w:color="181818"/>
              <w:bottom w:val="single" w:sz="8" w:color="1B6F80"/>
            </w:tcBorders>
            <w:shd w:val="clear" w:color="auto" w:fill="1B6F80"/>
          </w:tcPr>
          <w:p>
            <w:pPr>
              <w:spacing w:after="0"/>
              <w:rPr>
                <w:sz w:val="21"/>
                <w:szCs w:val="21"/>
                <w:color w:val="auto"/>
              </w:rPr>
            </w:pPr>
          </w:p>
        </w:tc>
        <w:tc>
          <w:tcPr>
            <w:tcW w:w="1620" w:type="dxa"/>
            <w:vAlign w:val="bottom"/>
            <w:tcBorders>
              <w:bottom w:val="single" w:sz="8" w:color="1B6F80"/>
            </w:tcBorders>
            <w:shd w:val="clear" w:color="auto" w:fill="1B6F80"/>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1B6F80"/>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1B6F80"/>
            </w:tcBorders>
            <w:shd w:val="clear" w:color="auto" w:fill="1B6F80"/>
          </w:tcPr>
          <w:p>
            <w:pPr>
              <w:jc w:val="right"/>
              <w:ind w:right="112"/>
              <w:spacing w:after="0" w:line="21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(2)</w:t>
            </w:r>
          </w:p>
        </w:tc>
        <w:tc>
          <w:tcPr>
            <w:tcW w:w="920" w:type="dxa"/>
            <w:vAlign w:val="bottom"/>
            <w:tcBorders>
              <w:bottom w:val="single" w:sz="8" w:color="1B6F80"/>
            </w:tcBorders>
            <w:shd w:val="clear" w:color="auto" w:fill="1B6F80"/>
          </w:tcPr>
          <w:p>
            <w:pPr>
              <w:jc w:val="right"/>
              <w:ind w:right="71"/>
              <w:spacing w:after="0" w:line="21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(3)</w:t>
            </w:r>
          </w:p>
        </w:tc>
        <w:tc>
          <w:tcPr>
            <w:tcW w:w="1040" w:type="dxa"/>
            <w:vAlign w:val="bottom"/>
            <w:tcBorders>
              <w:bottom w:val="single" w:sz="8" w:color="1B6F80"/>
            </w:tcBorders>
            <w:shd w:val="clear" w:color="auto" w:fill="1B6F80"/>
          </w:tcPr>
          <w:p>
            <w:pPr>
              <w:jc w:val="right"/>
              <w:ind w:right="132"/>
              <w:spacing w:after="0" w:line="21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(4)</w:t>
            </w:r>
          </w:p>
        </w:tc>
        <w:tc>
          <w:tcPr>
            <w:tcW w:w="1040" w:type="dxa"/>
            <w:vAlign w:val="bottom"/>
            <w:tcBorders>
              <w:bottom w:val="single" w:sz="8" w:color="1B6F80"/>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268"/>
        </w:trPr>
        <w:tc>
          <w:tcPr>
            <w:tcW w:w="4540" w:type="dxa"/>
            <w:vAlign w:val="bottom"/>
            <w:tcBorders>
              <w:left w:val="single" w:sz="8" w:color="181818"/>
            </w:tcBorders>
            <w:shd w:val="clear" w:color="auto" w:fill="AED0C7"/>
          </w:tcPr>
          <w:p>
            <w:pPr>
              <w:ind w:left="100"/>
              <w:spacing w:after="0"/>
              <w:rPr>
                <w:sz w:val="20"/>
                <w:szCs w:val="20"/>
                <w:color w:val="auto"/>
              </w:rPr>
            </w:pPr>
            <w:r>
              <w:rPr>
                <w:rFonts w:ascii="Arial" w:cs="Arial" w:eastAsia="Arial" w:hAnsi="Arial"/>
                <w:sz w:val="14"/>
                <w:szCs w:val="14"/>
                <w:b w:val="1"/>
                <w:bCs w:val="1"/>
                <w:color w:val="181818"/>
              </w:rPr>
              <w:t>Scott A. Lang</w:t>
            </w:r>
          </w:p>
        </w:tc>
        <w:tc>
          <w:tcPr>
            <w:tcW w:w="1620" w:type="dxa"/>
            <w:vAlign w:val="bottom"/>
            <w:shd w:val="clear" w:color="auto" w:fill="AED0C7"/>
          </w:tcPr>
          <w:p>
            <w:pPr>
              <w:spacing w:after="0"/>
              <w:rPr>
                <w:sz w:val="23"/>
                <w:szCs w:val="23"/>
                <w:color w:val="auto"/>
              </w:rPr>
            </w:pPr>
          </w:p>
        </w:tc>
        <w:tc>
          <w:tcPr>
            <w:tcW w:w="1000" w:type="dxa"/>
            <w:vAlign w:val="bottom"/>
            <w:shd w:val="clear" w:color="auto" w:fill="AED0C7"/>
          </w:tcPr>
          <w:p>
            <w:pPr>
              <w:spacing w:after="0"/>
              <w:rPr>
                <w:sz w:val="23"/>
                <w:szCs w:val="23"/>
                <w:color w:val="auto"/>
              </w:rPr>
            </w:pPr>
          </w:p>
        </w:tc>
        <w:tc>
          <w:tcPr>
            <w:tcW w:w="1120" w:type="dxa"/>
            <w:vAlign w:val="bottom"/>
            <w:shd w:val="clear" w:color="auto" w:fill="AED0C7"/>
          </w:tcPr>
          <w:p>
            <w:pPr>
              <w:spacing w:after="0"/>
              <w:rPr>
                <w:sz w:val="23"/>
                <w:szCs w:val="23"/>
                <w:color w:val="auto"/>
              </w:rPr>
            </w:pPr>
          </w:p>
        </w:tc>
        <w:tc>
          <w:tcPr>
            <w:tcW w:w="920" w:type="dxa"/>
            <w:vAlign w:val="bottom"/>
            <w:shd w:val="clear" w:color="auto" w:fill="AED0C7"/>
          </w:tcPr>
          <w:p>
            <w:pPr>
              <w:spacing w:after="0"/>
              <w:rPr>
                <w:sz w:val="23"/>
                <w:szCs w:val="23"/>
                <w:color w:val="auto"/>
              </w:rPr>
            </w:pPr>
          </w:p>
        </w:tc>
        <w:tc>
          <w:tcPr>
            <w:tcW w:w="1040" w:type="dxa"/>
            <w:vAlign w:val="bottom"/>
            <w:shd w:val="clear" w:color="auto" w:fill="AED0C7"/>
          </w:tcPr>
          <w:p>
            <w:pPr>
              <w:spacing w:after="0"/>
              <w:rPr>
                <w:sz w:val="23"/>
                <w:szCs w:val="23"/>
                <w:color w:val="auto"/>
              </w:rPr>
            </w:pPr>
          </w:p>
        </w:tc>
        <w:tc>
          <w:tcPr>
            <w:tcW w:w="1040" w:type="dxa"/>
            <w:vAlign w:val="bottom"/>
            <w:tcBorders>
              <w:right w:val="single" w:sz="8" w:color="181818"/>
            </w:tcBorders>
            <w:shd w:val="clear" w:color="auto" w:fill="AED0C7"/>
          </w:tcPr>
          <w:p>
            <w:pPr>
              <w:spacing w:after="0"/>
              <w:rPr>
                <w:sz w:val="23"/>
                <w:szCs w:val="23"/>
                <w:color w:val="auto"/>
              </w:rPr>
            </w:pPr>
          </w:p>
        </w:tc>
      </w:tr>
      <w:tr>
        <w:trPr>
          <w:trHeight w:val="70"/>
        </w:trPr>
        <w:tc>
          <w:tcPr>
            <w:tcW w:w="4540" w:type="dxa"/>
            <w:vAlign w:val="bottom"/>
            <w:tcBorders>
              <w:left w:val="single" w:sz="8" w:color="181818"/>
            </w:tcBorders>
            <w:shd w:val="clear" w:color="auto" w:fill="AED0C7"/>
          </w:tcPr>
          <w:p>
            <w:pPr>
              <w:spacing w:after="0"/>
              <w:rPr>
                <w:sz w:val="6"/>
                <w:szCs w:val="6"/>
                <w:color w:val="auto"/>
              </w:rPr>
            </w:pPr>
          </w:p>
        </w:tc>
        <w:tc>
          <w:tcPr>
            <w:tcW w:w="1620" w:type="dxa"/>
            <w:vAlign w:val="bottom"/>
            <w:shd w:val="clear" w:color="auto" w:fill="AED0C7"/>
          </w:tcPr>
          <w:p>
            <w:pPr>
              <w:spacing w:after="0"/>
              <w:rPr>
                <w:sz w:val="6"/>
                <w:szCs w:val="6"/>
                <w:color w:val="auto"/>
              </w:rPr>
            </w:pPr>
          </w:p>
        </w:tc>
        <w:tc>
          <w:tcPr>
            <w:tcW w:w="1000" w:type="dxa"/>
            <w:vAlign w:val="bottom"/>
            <w:shd w:val="clear" w:color="auto" w:fill="AED0C7"/>
          </w:tcPr>
          <w:p>
            <w:pPr>
              <w:spacing w:after="0"/>
              <w:rPr>
                <w:sz w:val="6"/>
                <w:szCs w:val="6"/>
                <w:color w:val="auto"/>
              </w:rPr>
            </w:pPr>
          </w:p>
        </w:tc>
        <w:tc>
          <w:tcPr>
            <w:tcW w:w="1120" w:type="dxa"/>
            <w:vAlign w:val="bottom"/>
            <w:shd w:val="clear" w:color="auto" w:fill="AED0C7"/>
          </w:tcPr>
          <w:p>
            <w:pPr>
              <w:spacing w:after="0"/>
              <w:rPr>
                <w:sz w:val="6"/>
                <w:szCs w:val="6"/>
                <w:color w:val="auto"/>
              </w:rPr>
            </w:pPr>
          </w:p>
        </w:tc>
        <w:tc>
          <w:tcPr>
            <w:tcW w:w="920" w:type="dxa"/>
            <w:vAlign w:val="bottom"/>
            <w:shd w:val="clear" w:color="auto" w:fill="AED0C7"/>
          </w:tcPr>
          <w:p>
            <w:pPr>
              <w:spacing w:after="0"/>
              <w:rPr>
                <w:sz w:val="6"/>
                <w:szCs w:val="6"/>
                <w:color w:val="auto"/>
              </w:rPr>
            </w:pPr>
          </w:p>
        </w:tc>
        <w:tc>
          <w:tcPr>
            <w:tcW w:w="1040" w:type="dxa"/>
            <w:vAlign w:val="bottom"/>
            <w:shd w:val="clear" w:color="auto" w:fill="AED0C7"/>
          </w:tcPr>
          <w:p>
            <w:pPr>
              <w:spacing w:after="0"/>
              <w:rPr>
                <w:sz w:val="6"/>
                <w:szCs w:val="6"/>
                <w:color w:val="auto"/>
              </w:rPr>
            </w:pPr>
          </w:p>
        </w:tc>
        <w:tc>
          <w:tcPr>
            <w:tcW w:w="1040" w:type="dxa"/>
            <w:vAlign w:val="bottom"/>
            <w:tcBorders>
              <w:right w:val="single" w:sz="8" w:color="181818"/>
            </w:tcBorders>
            <w:shd w:val="clear" w:color="auto" w:fill="AED0C7"/>
          </w:tcPr>
          <w:p>
            <w:pPr>
              <w:spacing w:after="0"/>
              <w:rPr>
                <w:sz w:val="6"/>
                <w:szCs w:val="6"/>
                <w:color w:val="auto"/>
              </w:rPr>
            </w:pPr>
          </w:p>
        </w:tc>
      </w:tr>
      <w:tr>
        <w:trPr>
          <w:trHeight w:val="262"/>
        </w:trPr>
        <w:tc>
          <w:tcPr>
            <w:tcW w:w="45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Severance absent a change of control</w:t>
            </w: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335,445</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72"/>
              <w:spacing w:after="0"/>
              <w:rPr>
                <w:sz w:val="20"/>
                <w:szCs w:val="20"/>
                <w:color w:val="auto"/>
              </w:rPr>
            </w:pPr>
            <w:r>
              <w:rPr>
                <w:rFonts w:ascii="Arial" w:cs="Arial" w:eastAsia="Arial" w:hAnsi="Arial"/>
                <w:sz w:val="14"/>
                <w:szCs w:val="14"/>
                <w:color w:val="auto"/>
              </w:rPr>
              <w:t>564,075</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58,950</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589,075</w:t>
            </w:r>
          </w:p>
        </w:tc>
        <w:tc>
          <w:tcPr>
            <w:tcW w:w="104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1,547,545</w:t>
            </w:r>
          </w:p>
        </w:tc>
      </w:tr>
      <w:tr>
        <w:trPr>
          <w:trHeight w:val="76"/>
        </w:trPr>
        <w:tc>
          <w:tcPr>
            <w:tcW w:w="4540" w:type="dxa"/>
            <w:vAlign w:val="bottom"/>
            <w:tcBorders>
              <w:left w:val="single" w:sz="8" w:color="181818"/>
              <w:bottom w:val="single" w:sz="8" w:color="181818"/>
            </w:tcBorders>
          </w:tcPr>
          <w:p>
            <w:pPr>
              <w:spacing w:after="0"/>
              <w:rPr>
                <w:sz w:val="6"/>
                <w:szCs w:val="6"/>
                <w:color w:val="auto"/>
              </w:rPr>
            </w:pPr>
          </w:p>
        </w:tc>
        <w:tc>
          <w:tcPr>
            <w:tcW w:w="1620" w:type="dxa"/>
            <w:vAlign w:val="bottom"/>
            <w:tcBorders>
              <w:bottom w:val="single" w:sz="8" w:color="181818"/>
            </w:tcBorders>
          </w:tcPr>
          <w:p>
            <w:pPr>
              <w:spacing w:after="0"/>
              <w:rPr>
                <w:sz w:val="6"/>
                <w:szCs w:val="6"/>
                <w:color w:val="auto"/>
              </w:rPr>
            </w:pPr>
          </w:p>
        </w:tc>
        <w:tc>
          <w:tcPr>
            <w:tcW w:w="1000" w:type="dxa"/>
            <w:vAlign w:val="bottom"/>
            <w:tcBorders>
              <w:bottom w:val="single" w:sz="8" w:color="181818"/>
            </w:tcBorders>
          </w:tcPr>
          <w:p>
            <w:pPr>
              <w:spacing w:after="0"/>
              <w:rPr>
                <w:sz w:val="6"/>
                <w:szCs w:val="6"/>
                <w:color w:val="auto"/>
              </w:rPr>
            </w:pPr>
          </w:p>
        </w:tc>
        <w:tc>
          <w:tcPr>
            <w:tcW w:w="1120" w:type="dxa"/>
            <w:vAlign w:val="bottom"/>
            <w:tcBorders>
              <w:bottom w:val="single" w:sz="8" w:color="181818"/>
            </w:tcBorders>
          </w:tcPr>
          <w:p>
            <w:pPr>
              <w:spacing w:after="0"/>
              <w:rPr>
                <w:sz w:val="6"/>
                <w:szCs w:val="6"/>
                <w:color w:val="auto"/>
              </w:rPr>
            </w:pPr>
          </w:p>
        </w:tc>
        <w:tc>
          <w:tcPr>
            <w:tcW w:w="920" w:type="dxa"/>
            <w:vAlign w:val="bottom"/>
            <w:tcBorders>
              <w:bottom w:val="single" w:sz="8" w:color="181818"/>
            </w:tcBorders>
          </w:tcPr>
          <w:p>
            <w:pPr>
              <w:spacing w:after="0"/>
              <w:rPr>
                <w:sz w:val="6"/>
                <w:szCs w:val="6"/>
                <w:color w:val="auto"/>
              </w:rPr>
            </w:pPr>
          </w:p>
        </w:tc>
        <w:tc>
          <w:tcPr>
            <w:tcW w:w="1040" w:type="dxa"/>
            <w:vAlign w:val="bottom"/>
            <w:tcBorders>
              <w:bottom w:val="single" w:sz="8" w:color="181818"/>
            </w:tcBorders>
          </w:tcPr>
          <w:p>
            <w:pPr>
              <w:spacing w:after="0"/>
              <w:rPr>
                <w:sz w:val="6"/>
                <w:szCs w:val="6"/>
                <w:color w:val="auto"/>
              </w:rPr>
            </w:pPr>
          </w:p>
        </w:tc>
        <w:tc>
          <w:tcPr>
            <w:tcW w:w="1040" w:type="dxa"/>
            <w:vAlign w:val="bottom"/>
            <w:tcBorders>
              <w:bottom w:val="single" w:sz="8" w:color="181818"/>
              <w:right w:val="single" w:sz="8" w:color="181818"/>
            </w:tcBorders>
          </w:tcPr>
          <w:p>
            <w:pPr>
              <w:spacing w:after="0"/>
              <w:rPr>
                <w:sz w:val="6"/>
                <w:szCs w:val="6"/>
                <w:color w:val="auto"/>
              </w:rPr>
            </w:pPr>
          </w:p>
        </w:tc>
      </w:tr>
      <w:tr>
        <w:trPr>
          <w:trHeight w:val="256"/>
        </w:trPr>
        <w:tc>
          <w:tcPr>
            <w:tcW w:w="45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Severance in connection with a change of control</w:t>
            </w: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1,640,327</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72"/>
              <w:spacing w:after="0"/>
              <w:rPr>
                <w:sz w:val="20"/>
                <w:szCs w:val="20"/>
                <w:color w:val="auto"/>
              </w:rPr>
            </w:pPr>
            <w:r>
              <w:rPr>
                <w:rFonts w:ascii="Arial" w:cs="Arial" w:eastAsia="Arial" w:hAnsi="Arial"/>
                <w:sz w:val="14"/>
                <w:szCs w:val="14"/>
                <w:color w:val="auto"/>
              </w:rPr>
              <w:t>1,128,150</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58,950</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1,153,150</w:t>
            </w:r>
          </w:p>
        </w:tc>
        <w:tc>
          <w:tcPr>
            <w:tcW w:w="104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3,980,577</w:t>
            </w:r>
          </w:p>
        </w:tc>
      </w:tr>
      <w:tr>
        <w:trPr>
          <w:trHeight w:val="75"/>
        </w:trPr>
        <w:tc>
          <w:tcPr>
            <w:tcW w:w="4540" w:type="dxa"/>
            <w:vAlign w:val="bottom"/>
            <w:tcBorders>
              <w:left w:val="single" w:sz="8" w:color="181818"/>
            </w:tcBorders>
          </w:tcPr>
          <w:p>
            <w:pPr>
              <w:spacing w:after="0"/>
              <w:rPr>
                <w:sz w:val="6"/>
                <w:szCs w:val="6"/>
                <w:color w:val="auto"/>
              </w:rPr>
            </w:pPr>
          </w:p>
        </w:tc>
        <w:tc>
          <w:tcPr>
            <w:tcW w:w="1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Borders>
              <w:right w:val="single" w:sz="8" w:color="181818"/>
            </w:tcBorders>
          </w:tcPr>
          <w:p>
            <w:pPr>
              <w:spacing w:after="0"/>
              <w:rPr>
                <w:sz w:val="6"/>
                <w:szCs w:val="6"/>
                <w:color w:val="auto"/>
              </w:rPr>
            </w:pPr>
          </w:p>
        </w:tc>
      </w:tr>
      <w:tr>
        <w:trPr>
          <w:trHeight w:val="304"/>
        </w:trPr>
        <w:tc>
          <w:tcPr>
            <w:tcW w:w="4540" w:type="dxa"/>
            <w:vAlign w:val="bottom"/>
            <w:tcBorders>
              <w:left w:val="single" w:sz="8" w:color="181818"/>
              <w:bottom w:val="single" w:sz="8" w:color="AED0C7"/>
            </w:tcBorders>
            <w:shd w:val="clear" w:color="auto" w:fill="AED0C7"/>
          </w:tcPr>
          <w:p>
            <w:pPr>
              <w:ind w:left="100"/>
              <w:spacing w:after="0"/>
              <w:rPr>
                <w:sz w:val="20"/>
                <w:szCs w:val="20"/>
                <w:color w:val="auto"/>
              </w:rPr>
            </w:pPr>
            <w:r>
              <w:rPr>
                <w:rFonts w:ascii="Arial" w:cs="Arial" w:eastAsia="Arial" w:hAnsi="Arial"/>
                <w:sz w:val="14"/>
                <w:szCs w:val="14"/>
                <w:b w:val="1"/>
                <w:bCs w:val="1"/>
                <w:color w:val="181818"/>
              </w:rPr>
              <w:t>Christopher E. Guttman-McCabe</w:t>
            </w:r>
          </w:p>
        </w:tc>
        <w:tc>
          <w:tcPr>
            <w:tcW w:w="1620" w:type="dxa"/>
            <w:vAlign w:val="bottom"/>
            <w:tcBorders>
              <w:bottom w:val="single" w:sz="8" w:color="AED0C7"/>
            </w:tcBorders>
            <w:shd w:val="clear" w:color="auto" w:fill="AED0C7"/>
          </w:tcPr>
          <w:p>
            <w:pPr>
              <w:spacing w:after="0"/>
              <w:rPr>
                <w:sz w:val="24"/>
                <w:szCs w:val="24"/>
                <w:color w:val="auto"/>
              </w:rPr>
            </w:pPr>
          </w:p>
        </w:tc>
        <w:tc>
          <w:tcPr>
            <w:tcW w:w="1000" w:type="dxa"/>
            <w:vAlign w:val="bottom"/>
            <w:tcBorders>
              <w:bottom w:val="single" w:sz="8" w:color="AED0C7"/>
            </w:tcBorders>
            <w:shd w:val="clear" w:color="auto" w:fill="AED0C7"/>
          </w:tcPr>
          <w:p>
            <w:pPr>
              <w:spacing w:after="0"/>
              <w:rPr>
                <w:sz w:val="24"/>
                <w:szCs w:val="24"/>
                <w:color w:val="auto"/>
              </w:rPr>
            </w:pPr>
          </w:p>
        </w:tc>
        <w:tc>
          <w:tcPr>
            <w:tcW w:w="1120" w:type="dxa"/>
            <w:vAlign w:val="bottom"/>
            <w:tcBorders>
              <w:bottom w:val="single" w:sz="8" w:color="AED0C7"/>
            </w:tcBorders>
            <w:shd w:val="clear" w:color="auto" w:fill="AED0C7"/>
          </w:tcPr>
          <w:p>
            <w:pPr>
              <w:spacing w:after="0"/>
              <w:rPr>
                <w:sz w:val="24"/>
                <w:szCs w:val="24"/>
                <w:color w:val="auto"/>
              </w:rPr>
            </w:pPr>
          </w:p>
        </w:tc>
        <w:tc>
          <w:tcPr>
            <w:tcW w:w="920" w:type="dxa"/>
            <w:vAlign w:val="bottom"/>
            <w:tcBorders>
              <w:bottom w:val="single" w:sz="8" w:color="AED0C7"/>
            </w:tcBorders>
            <w:shd w:val="clear" w:color="auto" w:fill="AED0C7"/>
          </w:tcPr>
          <w:p>
            <w:pPr>
              <w:spacing w:after="0"/>
              <w:rPr>
                <w:sz w:val="24"/>
                <w:szCs w:val="24"/>
                <w:color w:val="auto"/>
              </w:rPr>
            </w:pPr>
          </w:p>
        </w:tc>
        <w:tc>
          <w:tcPr>
            <w:tcW w:w="1040" w:type="dxa"/>
            <w:vAlign w:val="bottom"/>
            <w:tcBorders>
              <w:bottom w:val="single" w:sz="8" w:color="AED0C7"/>
            </w:tcBorders>
            <w:shd w:val="clear" w:color="auto" w:fill="AED0C7"/>
          </w:tcPr>
          <w:p>
            <w:pPr>
              <w:spacing w:after="0"/>
              <w:rPr>
                <w:sz w:val="24"/>
                <w:szCs w:val="24"/>
                <w:color w:val="auto"/>
              </w:rPr>
            </w:pPr>
          </w:p>
        </w:tc>
        <w:tc>
          <w:tcPr>
            <w:tcW w:w="1040" w:type="dxa"/>
            <w:vAlign w:val="bottom"/>
            <w:tcBorders>
              <w:bottom w:val="single" w:sz="8" w:color="AED0C7"/>
              <w:right w:val="single" w:sz="8" w:color="181818"/>
            </w:tcBorders>
            <w:shd w:val="clear" w:color="auto" w:fill="AED0C7"/>
          </w:tcPr>
          <w:p>
            <w:pPr>
              <w:spacing w:after="0"/>
              <w:rPr>
                <w:sz w:val="24"/>
                <w:szCs w:val="24"/>
                <w:color w:val="auto"/>
              </w:rPr>
            </w:pPr>
          </w:p>
        </w:tc>
      </w:tr>
      <w:tr>
        <w:trPr>
          <w:trHeight w:val="262"/>
        </w:trPr>
        <w:tc>
          <w:tcPr>
            <w:tcW w:w="45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Severance absent a change of control</w:t>
            </w: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344,077</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207,022</w:t>
            </w:r>
          </w:p>
        </w:tc>
        <w:tc>
          <w:tcPr>
            <w:tcW w:w="1120" w:type="dxa"/>
            <w:vAlign w:val="bottom"/>
          </w:tcPr>
          <w:p>
            <w:pPr>
              <w:jc w:val="right"/>
              <w:ind w:right="172"/>
              <w:spacing w:after="0"/>
              <w:rPr>
                <w:sz w:val="20"/>
                <w:szCs w:val="20"/>
                <w:color w:val="auto"/>
              </w:rPr>
            </w:pPr>
            <w:r>
              <w:rPr>
                <w:rFonts w:ascii="Arial" w:cs="Arial" w:eastAsia="Arial" w:hAnsi="Arial"/>
                <w:sz w:val="14"/>
                <w:szCs w:val="14"/>
                <w:color w:val="auto"/>
              </w:rPr>
              <w:t>1,002,800</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58,950</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777,100</w:t>
            </w:r>
          </w:p>
        </w:tc>
        <w:tc>
          <w:tcPr>
            <w:tcW w:w="104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2,389,949</w:t>
            </w:r>
          </w:p>
        </w:tc>
      </w:tr>
      <w:tr>
        <w:trPr>
          <w:trHeight w:val="76"/>
        </w:trPr>
        <w:tc>
          <w:tcPr>
            <w:tcW w:w="4540" w:type="dxa"/>
            <w:vAlign w:val="bottom"/>
            <w:tcBorders>
              <w:left w:val="single" w:sz="8" w:color="181818"/>
              <w:bottom w:val="single" w:sz="8" w:color="181818"/>
            </w:tcBorders>
          </w:tcPr>
          <w:p>
            <w:pPr>
              <w:spacing w:after="0"/>
              <w:rPr>
                <w:sz w:val="6"/>
                <w:szCs w:val="6"/>
                <w:color w:val="auto"/>
              </w:rPr>
            </w:pPr>
          </w:p>
        </w:tc>
        <w:tc>
          <w:tcPr>
            <w:tcW w:w="1620" w:type="dxa"/>
            <w:vAlign w:val="bottom"/>
            <w:tcBorders>
              <w:bottom w:val="single" w:sz="8" w:color="181818"/>
            </w:tcBorders>
          </w:tcPr>
          <w:p>
            <w:pPr>
              <w:spacing w:after="0"/>
              <w:rPr>
                <w:sz w:val="6"/>
                <w:szCs w:val="6"/>
                <w:color w:val="auto"/>
              </w:rPr>
            </w:pPr>
          </w:p>
        </w:tc>
        <w:tc>
          <w:tcPr>
            <w:tcW w:w="1000" w:type="dxa"/>
            <w:vAlign w:val="bottom"/>
            <w:tcBorders>
              <w:bottom w:val="single" w:sz="8" w:color="181818"/>
            </w:tcBorders>
          </w:tcPr>
          <w:p>
            <w:pPr>
              <w:spacing w:after="0"/>
              <w:rPr>
                <w:sz w:val="6"/>
                <w:szCs w:val="6"/>
                <w:color w:val="auto"/>
              </w:rPr>
            </w:pPr>
          </w:p>
        </w:tc>
        <w:tc>
          <w:tcPr>
            <w:tcW w:w="1120" w:type="dxa"/>
            <w:vAlign w:val="bottom"/>
            <w:tcBorders>
              <w:bottom w:val="single" w:sz="8" w:color="181818"/>
            </w:tcBorders>
          </w:tcPr>
          <w:p>
            <w:pPr>
              <w:spacing w:after="0"/>
              <w:rPr>
                <w:sz w:val="6"/>
                <w:szCs w:val="6"/>
                <w:color w:val="auto"/>
              </w:rPr>
            </w:pPr>
          </w:p>
        </w:tc>
        <w:tc>
          <w:tcPr>
            <w:tcW w:w="920" w:type="dxa"/>
            <w:vAlign w:val="bottom"/>
            <w:tcBorders>
              <w:bottom w:val="single" w:sz="8" w:color="181818"/>
            </w:tcBorders>
          </w:tcPr>
          <w:p>
            <w:pPr>
              <w:spacing w:after="0"/>
              <w:rPr>
                <w:sz w:val="6"/>
                <w:szCs w:val="6"/>
                <w:color w:val="auto"/>
              </w:rPr>
            </w:pPr>
          </w:p>
        </w:tc>
        <w:tc>
          <w:tcPr>
            <w:tcW w:w="1040" w:type="dxa"/>
            <w:vAlign w:val="bottom"/>
            <w:tcBorders>
              <w:bottom w:val="single" w:sz="8" w:color="181818"/>
            </w:tcBorders>
          </w:tcPr>
          <w:p>
            <w:pPr>
              <w:spacing w:after="0"/>
              <w:rPr>
                <w:sz w:val="6"/>
                <w:szCs w:val="6"/>
                <w:color w:val="auto"/>
              </w:rPr>
            </w:pPr>
          </w:p>
        </w:tc>
        <w:tc>
          <w:tcPr>
            <w:tcW w:w="1040" w:type="dxa"/>
            <w:vAlign w:val="bottom"/>
            <w:tcBorders>
              <w:bottom w:val="single" w:sz="8" w:color="181818"/>
              <w:right w:val="single" w:sz="8" w:color="181818"/>
            </w:tcBorders>
          </w:tcPr>
          <w:p>
            <w:pPr>
              <w:spacing w:after="0"/>
              <w:rPr>
                <w:sz w:val="6"/>
                <w:szCs w:val="6"/>
                <w:color w:val="auto"/>
              </w:rPr>
            </w:pPr>
          </w:p>
        </w:tc>
      </w:tr>
      <w:tr>
        <w:trPr>
          <w:trHeight w:val="256"/>
        </w:trPr>
        <w:tc>
          <w:tcPr>
            <w:tcW w:w="45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Severance in connection with a change of control</w:t>
            </w: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1,049,780</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249,190</w:t>
            </w:r>
          </w:p>
        </w:tc>
        <w:tc>
          <w:tcPr>
            <w:tcW w:w="1120" w:type="dxa"/>
            <w:vAlign w:val="bottom"/>
          </w:tcPr>
          <w:p>
            <w:pPr>
              <w:jc w:val="right"/>
              <w:ind w:right="172"/>
              <w:spacing w:after="0"/>
              <w:rPr>
                <w:sz w:val="20"/>
                <w:szCs w:val="20"/>
                <w:color w:val="auto"/>
              </w:rPr>
            </w:pPr>
            <w:r>
              <w:rPr>
                <w:rFonts w:ascii="Arial" w:cs="Arial" w:eastAsia="Arial" w:hAnsi="Arial"/>
                <w:sz w:val="14"/>
                <w:szCs w:val="14"/>
                <w:color w:val="auto"/>
              </w:rPr>
              <w:t>1,002,800</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58,950</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777,100</w:t>
            </w:r>
          </w:p>
        </w:tc>
        <w:tc>
          <w:tcPr>
            <w:tcW w:w="104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3,137,820</w:t>
            </w:r>
          </w:p>
        </w:tc>
      </w:tr>
      <w:tr>
        <w:trPr>
          <w:trHeight w:val="75"/>
        </w:trPr>
        <w:tc>
          <w:tcPr>
            <w:tcW w:w="4540" w:type="dxa"/>
            <w:vAlign w:val="bottom"/>
            <w:tcBorders>
              <w:left w:val="single" w:sz="8" w:color="181818"/>
            </w:tcBorders>
          </w:tcPr>
          <w:p>
            <w:pPr>
              <w:spacing w:after="0"/>
              <w:rPr>
                <w:sz w:val="6"/>
                <w:szCs w:val="6"/>
                <w:color w:val="auto"/>
              </w:rPr>
            </w:pPr>
          </w:p>
        </w:tc>
        <w:tc>
          <w:tcPr>
            <w:tcW w:w="16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Borders>
              <w:right w:val="single" w:sz="8" w:color="181818"/>
            </w:tcBorders>
          </w:tcPr>
          <w:p>
            <w:pPr>
              <w:spacing w:after="0"/>
              <w:rPr>
                <w:sz w:val="6"/>
                <w:szCs w:val="6"/>
                <w:color w:val="auto"/>
              </w:rPr>
            </w:pPr>
          </w:p>
        </w:tc>
      </w:tr>
      <w:tr>
        <w:trPr>
          <w:trHeight w:val="338"/>
        </w:trPr>
        <w:tc>
          <w:tcPr>
            <w:tcW w:w="4540" w:type="dxa"/>
            <w:vAlign w:val="bottom"/>
            <w:tcBorders>
              <w:left w:val="single" w:sz="8" w:color="181818"/>
            </w:tcBorders>
            <w:shd w:val="clear" w:color="auto" w:fill="AED0C7"/>
          </w:tcPr>
          <w:p>
            <w:pPr>
              <w:ind w:left="100"/>
              <w:spacing w:after="0"/>
              <w:rPr>
                <w:sz w:val="20"/>
                <w:szCs w:val="20"/>
                <w:color w:val="auto"/>
              </w:rPr>
            </w:pPr>
            <w:r>
              <w:rPr>
                <w:rFonts w:ascii="Arial" w:cs="Arial" w:eastAsia="Arial" w:hAnsi="Arial"/>
                <w:sz w:val="14"/>
                <w:szCs w:val="14"/>
                <w:b w:val="1"/>
                <w:bCs w:val="1"/>
                <w:color w:val="181818"/>
              </w:rPr>
              <w:t xml:space="preserve">Heather Martin </w:t>
            </w:r>
            <w:r>
              <w:rPr>
                <w:rFonts w:ascii="Arial" w:cs="Arial" w:eastAsia="Arial" w:hAnsi="Arial"/>
                <w:sz w:val="18"/>
                <w:szCs w:val="18"/>
                <w:b w:val="1"/>
                <w:bCs w:val="1"/>
                <w:color w:val="181818"/>
                <w:vertAlign w:val="superscript"/>
              </w:rPr>
              <w:t>(5)</w:t>
            </w:r>
          </w:p>
        </w:tc>
        <w:tc>
          <w:tcPr>
            <w:tcW w:w="1620" w:type="dxa"/>
            <w:vAlign w:val="bottom"/>
            <w:shd w:val="clear" w:color="auto" w:fill="AED0C7"/>
          </w:tcPr>
          <w:p>
            <w:pPr>
              <w:spacing w:after="0"/>
              <w:rPr>
                <w:sz w:val="24"/>
                <w:szCs w:val="24"/>
                <w:color w:val="auto"/>
              </w:rPr>
            </w:pPr>
          </w:p>
        </w:tc>
        <w:tc>
          <w:tcPr>
            <w:tcW w:w="1000" w:type="dxa"/>
            <w:vAlign w:val="bottom"/>
            <w:shd w:val="clear" w:color="auto" w:fill="AED0C7"/>
          </w:tcPr>
          <w:p>
            <w:pPr>
              <w:spacing w:after="0"/>
              <w:rPr>
                <w:sz w:val="24"/>
                <w:szCs w:val="24"/>
                <w:color w:val="auto"/>
              </w:rPr>
            </w:pPr>
          </w:p>
        </w:tc>
        <w:tc>
          <w:tcPr>
            <w:tcW w:w="1120" w:type="dxa"/>
            <w:vAlign w:val="bottom"/>
            <w:shd w:val="clear" w:color="auto" w:fill="AED0C7"/>
          </w:tcPr>
          <w:p>
            <w:pPr>
              <w:spacing w:after="0"/>
              <w:rPr>
                <w:sz w:val="24"/>
                <w:szCs w:val="24"/>
                <w:color w:val="auto"/>
              </w:rPr>
            </w:pPr>
          </w:p>
        </w:tc>
        <w:tc>
          <w:tcPr>
            <w:tcW w:w="920" w:type="dxa"/>
            <w:vAlign w:val="bottom"/>
            <w:shd w:val="clear" w:color="auto" w:fill="AED0C7"/>
          </w:tcPr>
          <w:p>
            <w:pPr>
              <w:spacing w:after="0"/>
              <w:rPr>
                <w:sz w:val="24"/>
                <w:szCs w:val="24"/>
                <w:color w:val="auto"/>
              </w:rPr>
            </w:pPr>
          </w:p>
        </w:tc>
        <w:tc>
          <w:tcPr>
            <w:tcW w:w="1040" w:type="dxa"/>
            <w:vAlign w:val="bottom"/>
            <w:shd w:val="clear" w:color="auto" w:fill="AED0C7"/>
          </w:tcPr>
          <w:p>
            <w:pPr>
              <w:spacing w:after="0"/>
              <w:rPr>
                <w:sz w:val="24"/>
                <w:szCs w:val="24"/>
                <w:color w:val="auto"/>
              </w:rPr>
            </w:pPr>
          </w:p>
        </w:tc>
        <w:tc>
          <w:tcPr>
            <w:tcW w:w="1040" w:type="dxa"/>
            <w:vAlign w:val="bottom"/>
            <w:tcBorders>
              <w:right w:val="single" w:sz="8" w:color="181818"/>
            </w:tcBorders>
            <w:shd w:val="clear" w:color="auto" w:fill="AED0C7"/>
          </w:tcPr>
          <w:p>
            <w:pPr>
              <w:spacing w:after="0"/>
              <w:rPr>
                <w:sz w:val="24"/>
                <w:szCs w:val="24"/>
                <w:color w:val="auto"/>
              </w:rPr>
            </w:pPr>
          </w:p>
        </w:tc>
      </w:tr>
      <w:tr>
        <w:trPr>
          <w:trHeight w:val="262"/>
        </w:trPr>
        <w:tc>
          <w:tcPr>
            <w:tcW w:w="45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Severance absent a change of control</w:t>
            </w: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w:t>
            </w:r>
          </w:p>
        </w:tc>
      </w:tr>
      <w:tr>
        <w:trPr>
          <w:trHeight w:val="75"/>
        </w:trPr>
        <w:tc>
          <w:tcPr>
            <w:tcW w:w="4540" w:type="dxa"/>
            <w:vAlign w:val="bottom"/>
            <w:tcBorders>
              <w:left w:val="single" w:sz="8" w:color="181818"/>
              <w:bottom w:val="single" w:sz="8" w:color="181818"/>
            </w:tcBorders>
          </w:tcPr>
          <w:p>
            <w:pPr>
              <w:spacing w:after="0"/>
              <w:rPr>
                <w:sz w:val="6"/>
                <w:szCs w:val="6"/>
                <w:color w:val="auto"/>
              </w:rPr>
            </w:pPr>
          </w:p>
        </w:tc>
        <w:tc>
          <w:tcPr>
            <w:tcW w:w="1620" w:type="dxa"/>
            <w:vAlign w:val="bottom"/>
            <w:tcBorders>
              <w:bottom w:val="single" w:sz="8" w:color="181818"/>
            </w:tcBorders>
          </w:tcPr>
          <w:p>
            <w:pPr>
              <w:spacing w:after="0"/>
              <w:rPr>
                <w:sz w:val="6"/>
                <w:szCs w:val="6"/>
                <w:color w:val="auto"/>
              </w:rPr>
            </w:pPr>
          </w:p>
        </w:tc>
        <w:tc>
          <w:tcPr>
            <w:tcW w:w="1000" w:type="dxa"/>
            <w:vAlign w:val="bottom"/>
            <w:tcBorders>
              <w:bottom w:val="single" w:sz="8" w:color="181818"/>
            </w:tcBorders>
          </w:tcPr>
          <w:p>
            <w:pPr>
              <w:spacing w:after="0"/>
              <w:rPr>
                <w:sz w:val="6"/>
                <w:szCs w:val="6"/>
                <w:color w:val="auto"/>
              </w:rPr>
            </w:pPr>
          </w:p>
        </w:tc>
        <w:tc>
          <w:tcPr>
            <w:tcW w:w="1120" w:type="dxa"/>
            <w:vAlign w:val="bottom"/>
            <w:tcBorders>
              <w:bottom w:val="single" w:sz="8" w:color="181818"/>
            </w:tcBorders>
          </w:tcPr>
          <w:p>
            <w:pPr>
              <w:spacing w:after="0"/>
              <w:rPr>
                <w:sz w:val="6"/>
                <w:szCs w:val="6"/>
                <w:color w:val="auto"/>
              </w:rPr>
            </w:pPr>
          </w:p>
        </w:tc>
        <w:tc>
          <w:tcPr>
            <w:tcW w:w="920" w:type="dxa"/>
            <w:vAlign w:val="bottom"/>
            <w:tcBorders>
              <w:bottom w:val="single" w:sz="8" w:color="181818"/>
            </w:tcBorders>
          </w:tcPr>
          <w:p>
            <w:pPr>
              <w:spacing w:after="0"/>
              <w:rPr>
                <w:sz w:val="6"/>
                <w:szCs w:val="6"/>
                <w:color w:val="auto"/>
              </w:rPr>
            </w:pPr>
          </w:p>
        </w:tc>
        <w:tc>
          <w:tcPr>
            <w:tcW w:w="1040" w:type="dxa"/>
            <w:vAlign w:val="bottom"/>
            <w:tcBorders>
              <w:bottom w:val="single" w:sz="8" w:color="181818"/>
            </w:tcBorders>
          </w:tcPr>
          <w:p>
            <w:pPr>
              <w:spacing w:after="0"/>
              <w:rPr>
                <w:sz w:val="6"/>
                <w:szCs w:val="6"/>
                <w:color w:val="auto"/>
              </w:rPr>
            </w:pPr>
          </w:p>
        </w:tc>
        <w:tc>
          <w:tcPr>
            <w:tcW w:w="1040" w:type="dxa"/>
            <w:vAlign w:val="bottom"/>
            <w:tcBorders>
              <w:bottom w:val="single" w:sz="8" w:color="181818"/>
              <w:right w:val="single" w:sz="8" w:color="181818"/>
            </w:tcBorders>
          </w:tcPr>
          <w:p>
            <w:pPr>
              <w:spacing w:after="0"/>
              <w:rPr>
                <w:sz w:val="6"/>
                <w:szCs w:val="6"/>
                <w:color w:val="auto"/>
              </w:rPr>
            </w:pPr>
          </w:p>
        </w:tc>
      </w:tr>
      <w:tr>
        <w:trPr>
          <w:trHeight w:val="256"/>
        </w:trPr>
        <w:tc>
          <w:tcPr>
            <w:tcW w:w="45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Severance in connection with a change of control</w:t>
            </w:r>
          </w:p>
        </w:tc>
        <w:tc>
          <w:tcPr>
            <w:tcW w:w="16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w:t>
            </w:r>
          </w:p>
        </w:tc>
      </w:tr>
      <w:tr>
        <w:trPr>
          <w:trHeight w:val="62"/>
        </w:trPr>
        <w:tc>
          <w:tcPr>
            <w:tcW w:w="4540" w:type="dxa"/>
            <w:vAlign w:val="bottom"/>
            <w:tcBorders>
              <w:left w:val="single" w:sz="8" w:color="181818"/>
              <w:bottom w:val="single" w:sz="8" w:color="181818"/>
            </w:tcBorders>
          </w:tcPr>
          <w:p>
            <w:pPr>
              <w:spacing w:after="0"/>
              <w:rPr>
                <w:sz w:val="5"/>
                <w:szCs w:val="5"/>
                <w:color w:val="auto"/>
              </w:rPr>
            </w:pPr>
          </w:p>
        </w:tc>
        <w:tc>
          <w:tcPr>
            <w:tcW w:w="1620" w:type="dxa"/>
            <w:vAlign w:val="bottom"/>
            <w:tcBorders>
              <w:bottom w:val="single" w:sz="8" w:color="181818"/>
            </w:tcBorders>
          </w:tcPr>
          <w:p>
            <w:pPr>
              <w:spacing w:after="0"/>
              <w:rPr>
                <w:sz w:val="5"/>
                <w:szCs w:val="5"/>
                <w:color w:val="auto"/>
              </w:rPr>
            </w:pPr>
          </w:p>
        </w:tc>
        <w:tc>
          <w:tcPr>
            <w:tcW w:w="1000" w:type="dxa"/>
            <w:vAlign w:val="bottom"/>
            <w:tcBorders>
              <w:bottom w:val="single" w:sz="8" w:color="181818"/>
            </w:tcBorders>
          </w:tcPr>
          <w:p>
            <w:pPr>
              <w:spacing w:after="0"/>
              <w:rPr>
                <w:sz w:val="5"/>
                <w:szCs w:val="5"/>
                <w:color w:val="auto"/>
              </w:rPr>
            </w:pPr>
          </w:p>
        </w:tc>
        <w:tc>
          <w:tcPr>
            <w:tcW w:w="1120" w:type="dxa"/>
            <w:vAlign w:val="bottom"/>
            <w:tcBorders>
              <w:bottom w:val="single" w:sz="8" w:color="181818"/>
            </w:tcBorders>
          </w:tcPr>
          <w:p>
            <w:pPr>
              <w:spacing w:after="0"/>
              <w:rPr>
                <w:sz w:val="5"/>
                <w:szCs w:val="5"/>
                <w:color w:val="auto"/>
              </w:rPr>
            </w:pPr>
          </w:p>
        </w:tc>
        <w:tc>
          <w:tcPr>
            <w:tcW w:w="920" w:type="dxa"/>
            <w:vAlign w:val="bottom"/>
            <w:tcBorders>
              <w:bottom w:val="single" w:sz="8" w:color="181818"/>
            </w:tcBorders>
          </w:tcPr>
          <w:p>
            <w:pPr>
              <w:spacing w:after="0"/>
              <w:rPr>
                <w:sz w:val="5"/>
                <w:szCs w:val="5"/>
                <w:color w:val="auto"/>
              </w:rPr>
            </w:pPr>
          </w:p>
        </w:tc>
        <w:tc>
          <w:tcPr>
            <w:tcW w:w="1040" w:type="dxa"/>
            <w:vAlign w:val="bottom"/>
            <w:tcBorders>
              <w:bottom w:val="single" w:sz="8" w:color="181818"/>
            </w:tcBorders>
          </w:tcPr>
          <w:p>
            <w:pPr>
              <w:spacing w:after="0"/>
              <w:rPr>
                <w:sz w:val="5"/>
                <w:szCs w:val="5"/>
                <w:color w:val="auto"/>
              </w:rPr>
            </w:pPr>
          </w:p>
        </w:tc>
        <w:tc>
          <w:tcPr>
            <w:tcW w:w="1040" w:type="dxa"/>
            <w:vAlign w:val="bottom"/>
            <w:tcBorders>
              <w:bottom w:val="single" w:sz="8" w:color="181818"/>
              <w:right w:val="single" w:sz="8" w:color="181818"/>
            </w:tcBorders>
          </w:tcPr>
          <w:p>
            <w:pPr>
              <w:spacing w:after="0"/>
              <w:rPr>
                <w:sz w:val="5"/>
                <w:szCs w:val="5"/>
                <w:color w:val="auto"/>
              </w:rPr>
            </w:pPr>
          </w:p>
        </w:tc>
      </w:tr>
    </w:tbl>
    <w:p>
      <w:pPr>
        <w:spacing w:after="0" w:line="149" w:lineRule="exact"/>
        <w:rPr>
          <w:sz w:val="20"/>
          <w:szCs w:val="20"/>
          <w:color w:val="auto"/>
        </w:rPr>
      </w:pPr>
    </w:p>
    <w:p>
      <w:pPr>
        <w:ind w:left="327" w:right="20" w:hanging="327"/>
        <w:spacing w:after="0" w:line="284" w:lineRule="auto"/>
        <w:tabs>
          <w:tab w:leader="none" w:pos="315" w:val="left"/>
        </w:tabs>
        <w:numPr>
          <w:ilvl w:val="0"/>
          <w:numId w:val="56"/>
        </w:numPr>
        <w:rPr>
          <w:rFonts w:ascii="Arial" w:cs="Arial" w:eastAsia="Arial" w:hAnsi="Arial"/>
          <w:sz w:val="14"/>
          <w:szCs w:val="14"/>
          <w:b w:val="1"/>
          <w:bCs w:val="1"/>
          <w:color w:val="181818"/>
        </w:rPr>
      </w:pPr>
      <w:r>
        <w:rPr>
          <w:rFonts w:ascii="Arial" w:cs="Arial" w:eastAsia="Arial" w:hAnsi="Arial"/>
          <w:sz w:val="14"/>
          <w:szCs w:val="14"/>
          <w:color w:val="auto"/>
        </w:rPr>
        <w:t>For Messrs. Lang and Guttman-McCabe, represents value of immediate vesting of unvested stock options and stock awards in accordance with the Severance Plan and applicable award agreements as described above. The market value of the stock awards and stock options is determined by: (i) multiplying the number of shares underlying the stock award or stock option that are subject to acceleration upon the termination or Change in Control (as applicable) by $38.19, the closing stock price of our common stock on March 31, 2026; and (ii) with respect to stock options, reducing such amount by the aggregate exercise price applicable to such accelerated shares.</w:t>
      </w:r>
    </w:p>
    <w:p>
      <w:pPr>
        <w:spacing w:after="0" w:line="20" w:lineRule="exact"/>
        <w:rPr>
          <w:rFonts w:ascii="Arial" w:cs="Arial" w:eastAsia="Arial" w:hAnsi="Arial"/>
          <w:sz w:val="14"/>
          <w:szCs w:val="14"/>
          <w:b w:val="1"/>
          <w:bCs w:val="1"/>
          <w:color w:val="181818"/>
        </w:rPr>
      </w:pPr>
    </w:p>
    <w:p>
      <w:pPr>
        <w:ind w:left="327" w:right="480" w:hanging="327"/>
        <w:spacing w:after="0" w:line="320" w:lineRule="auto"/>
        <w:tabs>
          <w:tab w:leader="none" w:pos="295" w:val="left"/>
        </w:tabs>
        <w:numPr>
          <w:ilvl w:val="0"/>
          <w:numId w:val="56"/>
        </w:numPr>
        <w:rPr>
          <w:rFonts w:ascii="Arial" w:cs="Arial" w:eastAsia="Arial" w:hAnsi="Arial"/>
          <w:sz w:val="14"/>
          <w:szCs w:val="14"/>
          <w:b w:val="1"/>
          <w:bCs w:val="1"/>
          <w:color w:val="181818"/>
        </w:rPr>
      </w:pPr>
      <w:r>
        <w:rPr>
          <w:rFonts w:ascii="Arial" w:cs="Arial" w:eastAsia="Arial" w:hAnsi="Arial"/>
          <w:sz w:val="14"/>
          <w:szCs w:val="14"/>
          <w:color w:val="auto"/>
        </w:rPr>
        <w:t>For Mr. Lang represents one times his annual base salary for an absent change of control and two times his salary for a change of control. For Mr. Guttman-McCabe, represents two times his annual base salary.</w:t>
      </w:r>
    </w:p>
    <w:p>
      <w:pPr>
        <w:spacing w:after="0" w:line="2" w:lineRule="exact"/>
        <w:rPr>
          <w:rFonts w:ascii="Arial" w:cs="Arial" w:eastAsia="Arial" w:hAnsi="Arial"/>
          <w:sz w:val="14"/>
          <w:szCs w:val="14"/>
          <w:b w:val="1"/>
          <w:bCs w:val="1"/>
          <w:color w:val="181818"/>
        </w:rPr>
      </w:pPr>
    </w:p>
    <w:p>
      <w:pPr>
        <w:ind w:left="287" w:hanging="287"/>
        <w:spacing w:after="0"/>
        <w:tabs>
          <w:tab w:leader="none" w:pos="287" w:val="left"/>
        </w:tabs>
        <w:numPr>
          <w:ilvl w:val="0"/>
          <w:numId w:val="56"/>
        </w:numPr>
        <w:rPr>
          <w:rFonts w:ascii="Arial" w:cs="Arial" w:eastAsia="Arial" w:hAnsi="Arial"/>
          <w:sz w:val="14"/>
          <w:szCs w:val="14"/>
          <w:b w:val="1"/>
          <w:bCs w:val="1"/>
          <w:color w:val="181818"/>
        </w:rPr>
      </w:pPr>
      <w:r>
        <w:rPr>
          <w:rFonts w:ascii="Arial" w:cs="Arial" w:eastAsia="Arial" w:hAnsi="Arial"/>
          <w:sz w:val="14"/>
          <w:szCs w:val="14"/>
          <w:color w:val="auto"/>
        </w:rPr>
        <w:t>For Messrs. Lang and Guttman-McCabe, reflects sum of the cost of continued health benefits for a total of 18 months (based on the cost for such benefits for Fiscal 2026).</w:t>
      </w:r>
    </w:p>
    <w:p>
      <w:pPr>
        <w:spacing w:after="0" w:line="95" w:lineRule="exact"/>
        <w:rPr>
          <w:rFonts w:ascii="Arial" w:cs="Arial" w:eastAsia="Arial" w:hAnsi="Arial"/>
          <w:sz w:val="14"/>
          <w:szCs w:val="14"/>
          <w:b w:val="1"/>
          <w:bCs w:val="1"/>
          <w:color w:val="181818"/>
        </w:rPr>
      </w:pPr>
    </w:p>
    <w:p>
      <w:pPr>
        <w:ind w:left="327" w:right="60" w:hanging="327"/>
        <w:spacing w:after="0" w:line="279" w:lineRule="auto"/>
        <w:tabs>
          <w:tab w:leader="none" w:pos="288" w:val="left"/>
        </w:tabs>
        <w:numPr>
          <w:ilvl w:val="0"/>
          <w:numId w:val="56"/>
        </w:numPr>
        <w:rPr>
          <w:rFonts w:ascii="Arial" w:cs="Arial" w:eastAsia="Arial" w:hAnsi="Arial"/>
          <w:sz w:val="14"/>
          <w:szCs w:val="14"/>
          <w:b w:val="1"/>
          <w:bCs w:val="1"/>
          <w:color w:val="181818"/>
        </w:rPr>
      </w:pPr>
      <w:r>
        <w:rPr>
          <w:rFonts w:ascii="Arial" w:cs="Arial" w:eastAsia="Arial" w:hAnsi="Arial"/>
          <w:sz w:val="14"/>
          <w:szCs w:val="14"/>
          <w:color w:val="auto"/>
        </w:rPr>
        <w:t>For Mr. Lang, represents sum of: (i) one times targeted annual cash bonus for an absent change of control and for a change of control two times targeted annual cash bonus; (ii) a pro-rated target bonus for the fiscal year in which the termination occurs; and (iii) estimated outplacement support fees of $25,000. Because it is assumed for purposes of the above table that the termination would occur on the last day of Fiscal 2026, the target annual cash bonus amount for Fiscal 2026 is included. For Mr. Guttman-McCabe, represents sum of: (i) two times targeted annual cash bonus; (ii) a pro-rated target bonus for the fiscal year in which the termination occurs; and (iii) estimated outplacement support fees of $25,000. Because it is assumed for purposes of the above table that the termination would occur on the last day of Fiscal 2026, the target annual cash bonus amount for Fiscal 2026 is included.</w:t>
      </w:r>
    </w:p>
    <w:p>
      <w:pPr>
        <w:spacing w:after="0" w:line="24" w:lineRule="exact"/>
        <w:rPr>
          <w:rFonts w:ascii="Arial" w:cs="Arial" w:eastAsia="Arial" w:hAnsi="Arial"/>
          <w:sz w:val="14"/>
          <w:szCs w:val="14"/>
          <w:b w:val="1"/>
          <w:bCs w:val="1"/>
          <w:color w:val="181818"/>
        </w:rPr>
      </w:pPr>
    </w:p>
    <w:p>
      <w:pPr>
        <w:ind w:left="287" w:hanging="287"/>
        <w:spacing w:after="0"/>
        <w:tabs>
          <w:tab w:leader="none" w:pos="287" w:val="left"/>
        </w:tabs>
        <w:numPr>
          <w:ilvl w:val="0"/>
          <w:numId w:val="56"/>
        </w:numPr>
        <w:rPr>
          <w:rFonts w:ascii="Arial" w:cs="Arial" w:eastAsia="Arial" w:hAnsi="Arial"/>
          <w:sz w:val="14"/>
          <w:szCs w:val="14"/>
          <w:b w:val="1"/>
          <w:bCs w:val="1"/>
          <w:color w:val="181818"/>
        </w:rPr>
      </w:pPr>
      <w:r>
        <w:rPr>
          <w:rFonts w:ascii="Arial" w:cs="Arial" w:eastAsia="Arial" w:hAnsi="Arial"/>
          <w:sz w:val="14"/>
          <w:szCs w:val="14"/>
          <w:color w:val="auto"/>
        </w:rPr>
        <w:t>In accordance with the terms of her offer letter, Ms. Martin was not covered by the Severance Plan as of March 31, 2026.</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COO Separation</w:t>
      </w:r>
    </w:p>
    <w:p>
      <w:pPr>
        <w:spacing w:after="0" w:line="135" w:lineRule="exact"/>
        <w:rPr>
          <w:sz w:val="20"/>
          <w:szCs w:val="20"/>
          <w:color w:val="auto"/>
        </w:rPr>
      </w:pPr>
    </w:p>
    <w:p>
      <w:pPr>
        <w:jc w:val="both"/>
        <w:ind w:left="7"/>
        <w:spacing w:after="0" w:line="303" w:lineRule="auto"/>
        <w:rPr>
          <w:sz w:val="20"/>
          <w:szCs w:val="20"/>
          <w:color w:val="auto"/>
        </w:rPr>
      </w:pPr>
      <w:r>
        <w:rPr>
          <w:rFonts w:ascii="Arial" w:cs="Arial" w:eastAsia="Arial" w:hAnsi="Arial"/>
          <w:sz w:val="16"/>
          <w:szCs w:val="16"/>
          <w:color w:val="auto"/>
        </w:rPr>
        <w:t>In January 2026, the Company announced that Ryan L. Gerbrandt, Chief Operating Officer, was leaving the Company in connection with an internal reorganization pursuant to which the Chief Operating Officer position was being eliminated. In connection with his separation, he received the following benefits as a Legacy Tier 1 Executive: i) cash payments of $1,522,185, which represent severance payments equal to two times the sum of his annualized base salary and target bonus as in effect as of the last day of his employment (the “Separation Date”) and a pro-rated target bonus for Fiscal 2026; (ii) up to $54,000 for 18 months of Company-provided COBRA premiums; (iii) $25,000 in outplacement benefits; (iv) accelerated vesting for an aggregate of 52,069 shares of common stock issuable under Mr. Gerbrandt’s outstanding time-based equity awards, with a value of $1,167,387 as of the Separation Date; and (v) accelerated vesting for an aggregate of 3,790 shares of common stock issuable under Mr. Gerbrandt’s restricted stock unit equity awards, with a value of $84,972 as of the Separation Date. Mr. Gerbrandt’s performance stock options did not vest as the target stock price level was not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71577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1831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CEO Pay Ratio</w:t>
      </w:r>
    </w:p>
    <w:p>
      <w:pPr>
        <w:spacing w:after="0" w:line="1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Under the SEC’s rules, we are required to identify our median employee at least once every three years and to calculate the annual total compensation for that employee each year, referred to as “pay-ratio” disclosure. We have opted to identify our median employee for Fiscal 2026 based on our employee population as of March 31, 2026, as described below.</w:t>
      </w:r>
    </w:p>
    <w:p>
      <w:pPr>
        <w:spacing w:after="0" w:line="58"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We believe the pay ratio reported below is a reasonable estimate calculated consistent with SEC rules based on our internal records and the methodology described below. The SEC’s rules for identifying the median employee and calculating the pay ratio based on that employee’s annual total compensation allow companies to adopt a variety of methodologies, apply certain exclusions, and make reasonable estimates and assumptions that reflect their employee populations and compensation practices. Thus,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Neither the Compensation Committee nor our management use our pay ratio to make compensation decisions.</w:t>
      </w:r>
    </w:p>
    <w:p>
      <w:pPr>
        <w:spacing w:after="0" w:line="28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For purposes of identifying our “median employee,” we used our employee population as of March 31, 2026 (including all employees, whether employed on a full-time, part-time, seasonal or temporary basis). To identify the median employee, we used the following methodology, adjustments, and estimates:</w:t>
      </w:r>
    </w:p>
    <w:p>
      <w:pPr>
        <w:spacing w:after="0" w:line="59" w:lineRule="exact"/>
        <w:rPr>
          <w:sz w:val="20"/>
          <w:szCs w:val="20"/>
          <w:color w:val="auto"/>
        </w:rPr>
      </w:pPr>
    </w:p>
    <w:p>
      <w:pPr>
        <w:jc w:val="both"/>
        <w:ind w:left="480" w:hanging="325"/>
        <w:spacing w:after="0" w:line="214" w:lineRule="auto"/>
        <w:tabs>
          <w:tab w:leader="none" w:pos="467" w:val="left"/>
        </w:tabs>
        <w:numPr>
          <w:ilvl w:val="0"/>
          <w:numId w:val="57"/>
        </w:numPr>
        <w:rPr>
          <w:rFonts w:ascii="Arial" w:cs="Arial" w:eastAsia="Arial" w:hAnsi="Arial"/>
          <w:sz w:val="22"/>
          <w:szCs w:val="22"/>
          <w:b w:val="1"/>
          <w:bCs w:val="1"/>
          <w:color w:val="1B6F80"/>
        </w:rPr>
      </w:pPr>
      <w:r>
        <w:rPr>
          <w:rFonts w:ascii="Arial" w:cs="Arial" w:eastAsia="Arial" w:hAnsi="Arial"/>
          <w:sz w:val="16"/>
          <w:szCs w:val="16"/>
          <w:color w:val="auto"/>
        </w:rPr>
        <w:t>We calculated the Fiscal 2026 annual total compensation of each employee, excluding Mr. Lang, our President and CEO, as the sum of: (1) annual base salary for permanent salaried employees, or hourly rate multiplied by the expected annual work schedule for hourly employees; (2) target annual cash incentive compensation, if applicable; and (3) grant date fair value of equity awards granted during the year.</w:t>
      </w:r>
    </w:p>
    <w:p>
      <w:pPr>
        <w:spacing w:after="0" w:line="59" w:lineRule="exact"/>
        <w:rPr>
          <w:rFonts w:ascii="Arial" w:cs="Arial" w:eastAsia="Arial" w:hAnsi="Arial"/>
          <w:sz w:val="22"/>
          <w:szCs w:val="22"/>
          <w:b w:val="1"/>
          <w:bCs w:val="1"/>
          <w:color w:val="1B6F80"/>
        </w:rPr>
      </w:pPr>
    </w:p>
    <w:p>
      <w:pPr>
        <w:ind w:left="460" w:hanging="305"/>
        <w:spacing w:after="0"/>
        <w:tabs>
          <w:tab w:leader="none" w:pos="460" w:val="left"/>
        </w:tabs>
        <w:numPr>
          <w:ilvl w:val="0"/>
          <w:numId w:val="57"/>
        </w:numPr>
        <w:rPr>
          <w:rFonts w:ascii="Arial" w:cs="Arial" w:eastAsia="Arial" w:hAnsi="Arial"/>
          <w:sz w:val="22"/>
          <w:szCs w:val="22"/>
          <w:b w:val="1"/>
          <w:bCs w:val="1"/>
          <w:color w:val="1B6F80"/>
        </w:rPr>
      </w:pPr>
      <w:r>
        <w:rPr>
          <w:rFonts w:ascii="Arial" w:cs="Arial" w:eastAsia="Arial" w:hAnsi="Arial"/>
          <w:sz w:val="16"/>
          <w:szCs w:val="16"/>
          <w:color w:val="auto"/>
        </w:rPr>
        <w:t>In identifying the median employee, we annualized the compensation values of individuals who joined our Company during Fiscal 2026.</w:t>
      </w:r>
    </w:p>
    <w:p>
      <w:pPr>
        <w:spacing w:after="0" w:line="20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calculated the annual total compensation for Fiscal 2026 for such employees using the same methodology we used for our NEOs as set forth in the Summary Compensation Table above. For Fiscal 2026, the annual total compensation for Mr. Lang and our median employee was $3.8 million and $0.2 million, respectively. Accordingly, the resulting ratio of the two amounts is approximately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577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50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54" w:name="page55"/>
    <w:bookmarkEnd w:id="54"/>
    <w:p>
      <w:pPr>
        <w:ind w:left="900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1B6F80"/>
        </w:rPr>
        <w:t>Pay Versus Performance</w:t>
      </w:r>
    </w:p>
    <w:p>
      <w:pPr>
        <w:spacing w:after="0" w:line="123" w:lineRule="exact"/>
        <w:rPr>
          <w:sz w:val="20"/>
          <w:szCs w:val="20"/>
          <w:color w:val="auto"/>
        </w:rPr>
      </w:pPr>
    </w:p>
    <w:p>
      <w:pPr>
        <w:jc w:val="both"/>
        <w:ind w:left="7"/>
        <w:spacing w:after="0" w:line="314" w:lineRule="auto"/>
        <w:rPr>
          <w:sz w:val="20"/>
          <w:szCs w:val="20"/>
          <w:color w:val="auto"/>
        </w:rPr>
      </w:pPr>
      <w:r>
        <w:rPr>
          <w:rFonts w:ascii="Arial" w:cs="Arial" w:eastAsia="Arial" w:hAnsi="Arial"/>
          <w:sz w:val="16"/>
          <w:szCs w:val="16"/>
          <w:color w:val="auto"/>
        </w:rPr>
        <w:t>In accordance with rules adopted by the SEC pursuant to the Dodd-Frank Act, we provide the following table and graph disclosures regarding executive “compensation actually paid” ("CAP") and certain company performance measures for each of the years ended March 31, 2026, 2025 and 2024. You should refer to the “Compensation Elements” section of the "Executive Compensation" portion of this Proxy Statement for a complete description of how executive compensation relates to our Company performance measures and how our Compensation Committee makes its decisions related thereto.</w:t>
      </w:r>
    </w:p>
    <w:p>
      <w:pPr>
        <w:spacing w:after="0" w:line="75" w:lineRule="exact"/>
        <w:rPr>
          <w:sz w:val="20"/>
          <w:szCs w:val="20"/>
          <w:color w:val="auto"/>
        </w:rPr>
      </w:pPr>
    </w:p>
    <w:tbl>
      <w:tblPr>
        <w:tblLayout w:type="fixed"/>
        <w:tblInd w:w="17" w:type="dxa"/>
        <w:tblCellMar>
          <w:top w:w="0" w:type="dxa"/>
          <w:left w:w="0" w:type="dxa"/>
          <w:bottom w:w="0" w:type="dxa"/>
          <w:right w:w="0" w:type="dxa"/>
        </w:tblCellMar>
      </w:tblPr>
      <w:tr>
        <w:trPr>
          <w:trHeight w:val="216"/>
        </w:trPr>
        <w:tc>
          <w:tcPr>
            <w:tcW w:w="640" w:type="dxa"/>
            <w:vAlign w:val="bottom"/>
            <w:tcBorders>
              <w:right w:val="single" w:sz="8" w:color="181818"/>
            </w:tcBorders>
          </w:tcPr>
          <w:p>
            <w:pPr>
              <w:spacing w:after="0"/>
              <w:rPr>
                <w:sz w:val="18"/>
                <w:szCs w:val="18"/>
                <w:color w:val="auto"/>
              </w:rPr>
            </w:pPr>
          </w:p>
        </w:tc>
        <w:tc>
          <w:tcPr>
            <w:tcW w:w="2660" w:type="dxa"/>
            <w:vAlign w:val="bottom"/>
            <w:tcBorders>
              <w:top w:val="single" w:sz="8" w:color="181818"/>
              <w:bottom w:val="single" w:sz="8" w:color="09314A"/>
              <w:right w:val="single" w:sz="8" w:color="181818"/>
            </w:tcBorders>
            <w:gridSpan w:val="2"/>
            <w:shd w:val="clear" w:color="auto" w:fill="09314A"/>
          </w:tcPr>
          <w:p>
            <w:pPr>
              <w:jc w:val="right"/>
              <w:ind w:right="694"/>
              <w:spacing w:after="0"/>
              <w:rPr>
                <w:sz w:val="20"/>
                <w:szCs w:val="20"/>
                <w:color w:val="auto"/>
              </w:rPr>
            </w:pPr>
            <w:r>
              <w:rPr>
                <w:rFonts w:ascii="Arial" w:cs="Arial" w:eastAsia="Arial" w:hAnsi="Arial"/>
                <w:sz w:val="13"/>
                <w:szCs w:val="13"/>
                <w:b w:val="1"/>
                <w:bCs w:val="1"/>
                <w:color w:val="FFFFFF"/>
              </w:rPr>
              <w:t>Schwartz, Robert H.</w:t>
            </w:r>
          </w:p>
        </w:tc>
        <w:tc>
          <w:tcPr>
            <w:tcW w:w="1740" w:type="dxa"/>
            <w:vAlign w:val="bottom"/>
            <w:tcBorders>
              <w:top w:val="single" w:sz="8" w:color="181818"/>
              <w:bottom w:val="single" w:sz="8" w:color="135368"/>
            </w:tcBorders>
            <w:shd w:val="clear" w:color="auto" w:fill="135368"/>
          </w:tcPr>
          <w:p>
            <w:pPr>
              <w:jc w:val="right"/>
              <w:spacing w:after="0"/>
              <w:rPr>
                <w:sz w:val="20"/>
                <w:szCs w:val="20"/>
                <w:color w:val="auto"/>
              </w:rPr>
            </w:pPr>
            <w:r>
              <w:rPr>
                <w:rFonts w:ascii="Arial" w:cs="Arial" w:eastAsia="Arial" w:hAnsi="Arial"/>
                <w:sz w:val="13"/>
                <w:szCs w:val="13"/>
                <w:b w:val="1"/>
                <w:bCs w:val="1"/>
                <w:color w:val="FFFFFF"/>
              </w:rPr>
              <w:t>Lang, Scott A.</w:t>
            </w:r>
          </w:p>
        </w:tc>
        <w:tc>
          <w:tcPr>
            <w:tcW w:w="920" w:type="dxa"/>
            <w:vAlign w:val="bottom"/>
            <w:tcBorders>
              <w:top w:val="single" w:sz="8" w:color="181818"/>
              <w:bottom w:val="single" w:sz="8" w:color="135368"/>
              <w:right w:val="single" w:sz="8" w:color="181818"/>
            </w:tcBorders>
            <w:shd w:val="clear" w:color="auto" w:fill="135368"/>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45"/>
        </w:trPr>
        <w:tc>
          <w:tcPr>
            <w:tcW w:w="640" w:type="dxa"/>
            <w:vAlign w:val="bottom"/>
            <w:tcBorders>
              <w:top w:val="single" w:sz="8" w:color="181818"/>
              <w:left w:val="single" w:sz="8" w:color="181818"/>
              <w:right w:val="single" w:sz="8" w:color="1B6F80"/>
            </w:tcBorders>
            <w:shd w:val="clear" w:color="auto" w:fill="1B6F80"/>
          </w:tcPr>
          <w:p>
            <w:pPr>
              <w:spacing w:after="0"/>
              <w:rPr>
                <w:sz w:val="12"/>
                <w:szCs w:val="12"/>
                <w:color w:val="auto"/>
              </w:rPr>
            </w:pPr>
          </w:p>
        </w:tc>
        <w:tc>
          <w:tcPr>
            <w:tcW w:w="1520" w:type="dxa"/>
            <w:vAlign w:val="bottom"/>
            <w:tcBorders>
              <w:top w:val="single" w:sz="8" w:color="181818"/>
            </w:tcBorders>
            <w:shd w:val="clear" w:color="auto" w:fill="1B6F80"/>
          </w:tcPr>
          <w:p>
            <w:pPr>
              <w:spacing w:after="0"/>
              <w:rPr>
                <w:sz w:val="12"/>
                <w:szCs w:val="12"/>
                <w:color w:val="auto"/>
              </w:rPr>
            </w:pPr>
          </w:p>
        </w:tc>
        <w:tc>
          <w:tcPr>
            <w:tcW w:w="1140" w:type="dxa"/>
            <w:vAlign w:val="bottom"/>
            <w:tcBorders>
              <w:top w:val="single" w:sz="8" w:color="181818"/>
              <w:right w:val="single" w:sz="8" w:color="1B6F80"/>
            </w:tcBorders>
            <w:shd w:val="clear" w:color="auto" w:fill="1B6F80"/>
          </w:tcPr>
          <w:p>
            <w:pPr>
              <w:spacing w:after="0"/>
              <w:rPr>
                <w:sz w:val="12"/>
                <w:szCs w:val="12"/>
                <w:color w:val="auto"/>
              </w:rPr>
            </w:pPr>
          </w:p>
        </w:tc>
        <w:tc>
          <w:tcPr>
            <w:tcW w:w="1740" w:type="dxa"/>
            <w:vAlign w:val="bottom"/>
            <w:tcBorders>
              <w:top w:val="single" w:sz="8" w:color="181818"/>
            </w:tcBorders>
            <w:shd w:val="clear" w:color="auto" w:fill="1B6F80"/>
          </w:tcPr>
          <w:p>
            <w:pPr>
              <w:spacing w:after="0"/>
              <w:rPr>
                <w:sz w:val="12"/>
                <w:szCs w:val="12"/>
                <w:color w:val="auto"/>
              </w:rPr>
            </w:pPr>
          </w:p>
        </w:tc>
        <w:tc>
          <w:tcPr>
            <w:tcW w:w="920" w:type="dxa"/>
            <w:vAlign w:val="bottom"/>
            <w:tcBorders>
              <w:top w:val="single" w:sz="8" w:color="181818"/>
              <w:right w:val="single" w:sz="8" w:color="1B6F80"/>
            </w:tcBorders>
            <w:shd w:val="clear" w:color="auto" w:fill="1B6F80"/>
          </w:tcPr>
          <w:p>
            <w:pPr>
              <w:spacing w:after="0"/>
              <w:rPr>
                <w:sz w:val="12"/>
                <w:szCs w:val="12"/>
                <w:color w:val="auto"/>
              </w:rPr>
            </w:pPr>
          </w:p>
        </w:tc>
        <w:tc>
          <w:tcPr>
            <w:tcW w:w="1560" w:type="dxa"/>
            <w:vAlign w:val="bottom"/>
            <w:tcBorders>
              <w:top w:val="single" w:sz="8" w:color="181818"/>
            </w:tcBorders>
            <w:shd w:val="clear" w:color="auto" w:fill="1B6F80"/>
          </w:tcPr>
          <w:p>
            <w:pPr>
              <w:jc w:val="right"/>
              <w:ind w:right="154"/>
              <w:spacing w:after="0" w:line="145" w:lineRule="exact"/>
              <w:rPr>
                <w:sz w:val="20"/>
                <w:szCs w:val="20"/>
                <w:color w:val="auto"/>
              </w:rPr>
            </w:pPr>
            <w:r>
              <w:rPr>
                <w:rFonts w:ascii="Arial" w:cs="Arial" w:eastAsia="Arial" w:hAnsi="Arial"/>
                <w:sz w:val="13"/>
                <w:szCs w:val="13"/>
                <w:b w:val="1"/>
                <w:bCs w:val="1"/>
                <w:color w:val="FFFFFF"/>
              </w:rPr>
              <w:t>Average</w:t>
            </w:r>
          </w:p>
        </w:tc>
        <w:tc>
          <w:tcPr>
            <w:tcW w:w="1340" w:type="dxa"/>
            <w:vAlign w:val="bottom"/>
            <w:tcBorders>
              <w:top w:val="single" w:sz="8" w:color="181818"/>
            </w:tcBorders>
            <w:shd w:val="clear" w:color="auto" w:fill="1B6F80"/>
          </w:tcPr>
          <w:p>
            <w:pPr>
              <w:spacing w:after="0"/>
              <w:rPr>
                <w:sz w:val="12"/>
                <w:szCs w:val="12"/>
                <w:color w:val="auto"/>
              </w:rPr>
            </w:pPr>
          </w:p>
        </w:tc>
        <w:tc>
          <w:tcPr>
            <w:tcW w:w="1180" w:type="dxa"/>
            <w:vAlign w:val="bottom"/>
            <w:tcBorders>
              <w:top w:val="single" w:sz="8" w:color="181818"/>
            </w:tcBorders>
            <w:shd w:val="clear" w:color="auto" w:fill="1B6F80"/>
          </w:tcPr>
          <w:p>
            <w:pPr>
              <w:spacing w:after="0"/>
              <w:rPr>
                <w:sz w:val="12"/>
                <w:szCs w:val="12"/>
                <w:color w:val="auto"/>
              </w:rPr>
            </w:pPr>
          </w:p>
        </w:tc>
        <w:tc>
          <w:tcPr>
            <w:tcW w:w="1240" w:type="dxa"/>
            <w:vAlign w:val="bottom"/>
            <w:tcBorders>
              <w:top w:val="single" w:sz="8" w:color="181818"/>
              <w:right w:val="single" w:sz="8" w:color="181818"/>
            </w:tcBorders>
            <w:shd w:val="clear" w:color="auto" w:fill="1B6F80"/>
          </w:tcPr>
          <w:p>
            <w:pPr>
              <w:spacing w:after="0"/>
              <w:rPr>
                <w:sz w:val="12"/>
                <w:szCs w:val="12"/>
                <w:color w:val="auto"/>
              </w:rPr>
            </w:pPr>
          </w:p>
        </w:tc>
      </w:tr>
      <w:tr>
        <w:trPr>
          <w:trHeight w:val="148"/>
        </w:trPr>
        <w:tc>
          <w:tcPr>
            <w:tcW w:w="640" w:type="dxa"/>
            <w:vAlign w:val="bottom"/>
            <w:tcBorders>
              <w:left w:val="single" w:sz="8" w:color="181818"/>
              <w:right w:val="single" w:sz="8" w:color="1B6F80"/>
            </w:tcBorders>
            <w:shd w:val="clear" w:color="auto" w:fill="1B6F80"/>
          </w:tcPr>
          <w:p>
            <w:pPr>
              <w:spacing w:after="0"/>
              <w:rPr>
                <w:sz w:val="12"/>
                <w:szCs w:val="12"/>
                <w:color w:val="auto"/>
              </w:rPr>
            </w:pPr>
          </w:p>
        </w:tc>
        <w:tc>
          <w:tcPr>
            <w:tcW w:w="1520" w:type="dxa"/>
            <w:vAlign w:val="bottom"/>
            <w:shd w:val="clear" w:color="auto" w:fill="1B6F80"/>
          </w:tcPr>
          <w:p>
            <w:pPr>
              <w:jc w:val="right"/>
              <w:ind w:right="154"/>
              <w:spacing w:after="0"/>
              <w:rPr>
                <w:sz w:val="20"/>
                <w:szCs w:val="20"/>
                <w:color w:val="auto"/>
              </w:rPr>
            </w:pPr>
            <w:r>
              <w:rPr>
                <w:rFonts w:ascii="Arial" w:cs="Arial" w:eastAsia="Arial" w:hAnsi="Arial"/>
                <w:sz w:val="13"/>
                <w:szCs w:val="13"/>
                <w:b w:val="1"/>
                <w:bCs w:val="1"/>
                <w:color w:val="FFFFFF"/>
              </w:rPr>
              <w:t>Summary</w:t>
            </w:r>
          </w:p>
        </w:tc>
        <w:tc>
          <w:tcPr>
            <w:tcW w:w="1140" w:type="dxa"/>
            <w:vAlign w:val="bottom"/>
            <w:tcBorders>
              <w:right w:val="single" w:sz="8" w:color="1B6F80"/>
            </w:tcBorders>
            <w:shd w:val="clear" w:color="auto" w:fill="1B6F80"/>
          </w:tcPr>
          <w:p>
            <w:pPr>
              <w:spacing w:after="0"/>
              <w:rPr>
                <w:sz w:val="12"/>
                <w:szCs w:val="12"/>
                <w:color w:val="auto"/>
              </w:rPr>
            </w:pPr>
          </w:p>
        </w:tc>
        <w:tc>
          <w:tcPr>
            <w:tcW w:w="1740" w:type="dxa"/>
            <w:vAlign w:val="bottom"/>
            <w:shd w:val="clear" w:color="auto" w:fill="1B6F80"/>
          </w:tcPr>
          <w:p>
            <w:pPr>
              <w:jc w:val="right"/>
              <w:ind w:right="374"/>
              <w:spacing w:after="0"/>
              <w:rPr>
                <w:sz w:val="20"/>
                <w:szCs w:val="20"/>
                <w:color w:val="auto"/>
              </w:rPr>
            </w:pPr>
            <w:r>
              <w:rPr>
                <w:rFonts w:ascii="Arial" w:cs="Arial" w:eastAsia="Arial" w:hAnsi="Arial"/>
                <w:sz w:val="13"/>
                <w:szCs w:val="13"/>
                <w:b w:val="1"/>
                <w:bCs w:val="1"/>
                <w:color w:val="FFFFFF"/>
              </w:rPr>
              <w:t>Summary</w:t>
            </w:r>
          </w:p>
        </w:tc>
        <w:tc>
          <w:tcPr>
            <w:tcW w:w="920" w:type="dxa"/>
            <w:vAlign w:val="bottom"/>
            <w:tcBorders>
              <w:right w:val="single" w:sz="8" w:color="1B6F80"/>
            </w:tcBorders>
            <w:shd w:val="clear" w:color="auto" w:fill="1B6F80"/>
          </w:tcPr>
          <w:p>
            <w:pPr>
              <w:spacing w:after="0"/>
              <w:rPr>
                <w:sz w:val="12"/>
                <w:szCs w:val="12"/>
                <w:color w:val="auto"/>
              </w:rPr>
            </w:pPr>
          </w:p>
        </w:tc>
        <w:tc>
          <w:tcPr>
            <w:tcW w:w="1560" w:type="dxa"/>
            <w:vAlign w:val="bottom"/>
            <w:shd w:val="clear" w:color="auto" w:fill="1B6F80"/>
          </w:tcPr>
          <w:p>
            <w:pPr>
              <w:jc w:val="right"/>
              <w:ind w:right="154"/>
              <w:spacing w:after="0"/>
              <w:rPr>
                <w:sz w:val="20"/>
                <w:szCs w:val="20"/>
                <w:color w:val="auto"/>
              </w:rPr>
            </w:pPr>
            <w:r>
              <w:rPr>
                <w:rFonts w:ascii="Arial" w:cs="Arial" w:eastAsia="Arial" w:hAnsi="Arial"/>
                <w:sz w:val="13"/>
                <w:szCs w:val="13"/>
                <w:b w:val="1"/>
                <w:bCs w:val="1"/>
                <w:color w:val="FFFFFF"/>
              </w:rPr>
              <w:t>Summary</w:t>
            </w:r>
          </w:p>
        </w:tc>
        <w:tc>
          <w:tcPr>
            <w:tcW w:w="1340" w:type="dxa"/>
            <w:vAlign w:val="bottom"/>
            <w:shd w:val="clear" w:color="auto" w:fill="1B6F80"/>
          </w:tcPr>
          <w:p>
            <w:pPr>
              <w:jc w:val="right"/>
              <w:ind w:right="137"/>
              <w:spacing w:after="0"/>
              <w:rPr>
                <w:sz w:val="20"/>
                <w:szCs w:val="20"/>
                <w:color w:val="auto"/>
              </w:rPr>
            </w:pPr>
            <w:r>
              <w:rPr>
                <w:rFonts w:ascii="Arial" w:cs="Arial" w:eastAsia="Arial" w:hAnsi="Arial"/>
                <w:sz w:val="13"/>
                <w:szCs w:val="13"/>
                <w:b w:val="1"/>
                <w:bCs w:val="1"/>
                <w:color w:val="FFFFFF"/>
              </w:rPr>
              <w:t>Average</w:t>
            </w:r>
          </w:p>
        </w:tc>
        <w:tc>
          <w:tcPr>
            <w:tcW w:w="1180" w:type="dxa"/>
            <w:vAlign w:val="bottom"/>
            <w:shd w:val="clear" w:color="auto" w:fill="1B6F80"/>
          </w:tcPr>
          <w:p>
            <w:pPr>
              <w:spacing w:after="0"/>
              <w:rPr>
                <w:sz w:val="12"/>
                <w:szCs w:val="12"/>
                <w:color w:val="auto"/>
              </w:rPr>
            </w:pPr>
          </w:p>
        </w:tc>
        <w:tc>
          <w:tcPr>
            <w:tcW w:w="1240" w:type="dxa"/>
            <w:vAlign w:val="bottom"/>
            <w:tcBorders>
              <w:right w:val="single" w:sz="8" w:color="181818"/>
            </w:tcBorders>
            <w:shd w:val="clear" w:color="auto" w:fill="1B6F80"/>
          </w:tcPr>
          <w:p>
            <w:pPr>
              <w:spacing w:after="0"/>
              <w:rPr>
                <w:sz w:val="12"/>
                <w:szCs w:val="12"/>
                <w:color w:val="auto"/>
              </w:rPr>
            </w:pPr>
          </w:p>
        </w:tc>
      </w:tr>
      <w:tr>
        <w:trPr>
          <w:trHeight w:val="148"/>
        </w:trPr>
        <w:tc>
          <w:tcPr>
            <w:tcW w:w="640" w:type="dxa"/>
            <w:vAlign w:val="bottom"/>
            <w:tcBorders>
              <w:left w:val="single" w:sz="8" w:color="181818"/>
              <w:right w:val="single" w:sz="8" w:color="1B6F80"/>
            </w:tcBorders>
            <w:shd w:val="clear" w:color="auto" w:fill="1B6F80"/>
          </w:tcPr>
          <w:p>
            <w:pPr>
              <w:spacing w:after="0"/>
              <w:rPr>
                <w:sz w:val="12"/>
                <w:szCs w:val="12"/>
                <w:color w:val="auto"/>
              </w:rPr>
            </w:pPr>
          </w:p>
        </w:tc>
        <w:tc>
          <w:tcPr>
            <w:tcW w:w="1520" w:type="dxa"/>
            <w:vAlign w:val="bottom"/>
            <w:shd w:val="clear" w:color="auto" w:fill="1B6F80"/>
          </w:tcPr>
          <w:p>
            <w:pPr>
              <w:jc w:val="right"/>
              <w:ind w:right="154"/>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tcBorders>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Compensation</w:t>
            </w:r>
          </w:p>
        </w:tc>
        <w:tc>
          <w:tcPr>
            <w:tcW w:w="1740" w:type="dxa"/>
            <w:vAlign w:val="bottom"/>
            <w:shd w:val="clear" w:color="auto" w:fill="1B6F80"/>
          </w:tcPr>
          <w:p>
            <w:pPr>
              <w:jc w:val="right"/>
              <w:ind w:right="374"/>
              <w:spacing w:after="0"/>
              <w:rPr>
                <w:sz w:val="20"/>
                <w:szCs w:val="20"/>
                <w:color w:val="auto"/>
              </w:rPr>
            </w:pPr>
            <w:r>
              <w:rPr>
                <w:rFonts w:ascii="Arial" w:cs="Arial" w:eastAsia="Arial" w:hAnsi="Arial"/>
                <w:sz w:val="13"/>
                <w:szCs w:val="13"/>
                <w:b w:val="1"/>
                <w:bCs w:val="1"/>
                <w:color w:val="FFFFFF"/>
              </w:rPr>
              <w:t>Compensation</w:t>
            </w:r>
          </w:p>
        </w:tc>
        <w:tc>
          <w:tcPr>
            <w:tcW w:w="920" w:type="dxa"/>
            <w:vAlign w:val="bottom"/>
            <w:tcBorders>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w w:val="97"/>
              </w:rPr>
              <w:t>Compensation</w:t>
            </w:r>
          </w:p>
        </w:tc>
        <w:tc>
          <w:tcPr>
            <w:tcW w:w="1560" w:type="dxa"/>
            <w:vAlign w:val="bottom"/>
            <w:shd w:val="clear" w:color="auto" w:fill="1B6F80"/>
          </w:tcPr>
          <w:p>
            <w:pPr>
              <w:jc w:val="right"/>
              <w:ind w:right="154"/>
              <w:spacing w:after="0"/>
              <w:rPr>
                <w:sz w:val="20"/>
                <w:szCs w:val="20"/>
                <w:color w:val="auto"/>
              </w:rPr>
            </w:pPr>
            <w:r>
              <w:rPr>
                <w:rFonts w:ascii="Arial" w:cs="Arial" w:eastAsia="Arial" w:hAnsi="Arial"/>
                <w:sz w:val="13"/>
                <w:szCs w:val="13"/>
                <w:b w:val="1"/>
                <w:bCs w:val="1"/>
                <w:color w:val="FFFFFF"/>
              </w:rPr>
              <w:t>Compensation</w:t>
            </w:r>
          </w:p>
        </w:tc>
        <w:tc>
          <w:tcPr>
            <w:tcW w:w="1340" w:type="dxa"/>
            <w:vAlign w:val="bottom"/>
            <w:shd w:val="clear" w:color="auto" w:fill="1B6F80"/>
          </w:tcPr>
          <w:p>
            <w:pPr>
              <w:jc w:val="right"/>
              <w:ind w:right="137"/>
              <w:spacing w:after="0"/>
              <w:rPr>
                <w:sz w:val="20"/>
                <w:szCs w:val="20"/>
                <w:color w:val="auto"/>
              </w:rPr>
            </w:pPr>
            <w:r>
              <w:rPr>
                <w:rFonts w:ascii="Arial" w:cs="Arial" w:eastAsia="Arial" w:hAnsi="Arial"/>
                <w:sz w:val="13"/>
                <w:szCs w:val="13"/>
                <w:b w:val="1"/>
                <w:bCs w:val="1"/>
                <w:color w:val="FFFFFF"/>
              </w:rPr>
              <w:t>Compensation</w:t>
            </w:r>
          </w:p>
        </w:tc>
        <w:tc>
          <w:tcPr>
            <w:tcW w:w="1180" w:type="dxa"/>
            <w:vAlign w:val="bottom"/>
            <w:shd w:val="clear" w:color="auto" w:fill="1B6F80"/>
          </w:tcPr>
          <w:p>
            <w:pPr>
              <w:jc w:val="right"/>
              <w:ind w:right="174"/>
              <w:spacing w:after="0"/>
              <w:rPr>
                <w:sz w:val="20"/>
                <w:szCs w:val="20"/>
                <w:color w:val="auto"/>
              </w:rPr>
            </w:pPr>
            <w:r>
              <w:rPr>
                <w:rFonts w:ascii="Arial" w:cs="Arial" w:eastAsia="Arial" w:hAnsi="Arial"/>
                <w:sz w:val="13"/>
                <w:szCs w:val="13"/>
                <w:b w:val="1"/>
                <w:bCs w:val="1"/>
                <w:color w:val="FFFFFF"/>
              </w:rPr>
              <w:t>Total</w:t>
            </w:r>
          </w:p>
        </w:tc>
        <w:tc>
          <w:tcPr>
            <w:tcW w:w="1240" w:type="dxa"/>
            <w:vAlign w:val="bottom"/>
            <w:tcBorders>
              <w:right w:val="single" w:sz="8" w:color="181818"/>
            </w:tcBorders>
            <w:shd w:val="clear" w:color="auto" w:fill="1B6F80"/>
          </w:tcPr>
          <w:p>
            <w:pPr>
              <w:spacing w:after="0"/>
              <w:rPr>
                <w:sz w:val="12"/>
                <w:szCs w:val="12"/>
                <w:color w:val="auto"/>
              </w:rPr>
            </w:pPr>
          </w:p>
        </w:tc>
      </w:tr>
      <w:tr>
        <w:trPr>
          <w:trHeight w:val="162"/>
        </w:trPr>
        <w:tc>
          <w:tcPr>
            <w:tcW w:w="640" w:type="dxa"/>
            <w:vAlign w:val="bottom"/>
            <w:tcBorders>
              <w:left w:val="single" w:sz="8" w:color="181818"/>
              <w:right w:val="single" w:sz="8" w:color="1B6F80"/>
            </w:tcBorders>
            <w:shd w:val="clear" w:color="auto" w:fill="1B6F80"/>
          </w:tcPr>
          <w:p>
            <w:pPr>
              <w:spacing w:after="0"/>
              <w:rPr>
                <w:sz w:val="14"/>
                <w:szCs w:val="14"/>
                <w:color w:val="auto"/>
              </w:rPr>
            </w:pPr>
          </w:p>
        </w:tc>
        <w:tc>
          <w:tcPr>
            <w:tcW w:w="1520" w:type="dxa"/>
            <w:vAlign w:val="bottom"/>
            <w:shd w:val="clear" w:color="auto" w:fill="1B6F80"/>
          </w:tcPr>
          <w:p>
            <w:pPr>
              <w:jc w:val="right"/>
              <w:ind w:right="154"/>
              <w:spacing w:after="0"/>
              <w:rPr>
                <w:sz w:val="20"/>
                <w:szCs w:val="20"/>
                <w:color w:val="auto"/>
              </w:rPr>
            </w:pPr>
            <w:r>
              <w:rPr>
                <w:rFonts w:ascii="Arial" w:cs="Arial" w:eastAsia="Arial" w:hAnsi="Arial"/>
                <w:sz w:val="13"/>
                <w:szCs w:val="13"/>
                <w:b w:val="1"/>
                <w:bCs w:val="1"/>
                <w:color w:val="FFFFFF"/>
              </w:rPr>
              <w:t>Table Total</w:t>
            </w:r>
          </w:p>
        </w:tc>
        <w:tc>
          <w:tcPr>
            <w:tcW w:w="1140" w:type="dxa"/>
            <w:vAlign w:val="bottom"/>
            <w:tcBorders>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Actually Paid</w:t>
            </w:r>
          </w:p>
        </w:tc>
        <w:tc>
          <w:tcPr>
            <w:tcW w:w="1740" w:type="dxa"/>
            <w:vAlign w:val="bottom"/>
            <w:shd w:val="clear" w:color="auto" w:fill="1B6F80"/>
          </w:tcPr>
          <w:p>
            <w:pPr>
              <w:jc w:val="right"/>
              <w:ind w:right="374"/>
              <w:spacing w:after="0"/>
              <w:rPr>
                <w:sz w:val="20"/>
                <w:szCs w:val="20"/>
                <w:color w:val="auto"/>
              </w:rPr>
            </w:pPr>
            <w:r>
              <w:rPr>
                <w:rFonts w:ascii="Arial" w:cs="Arial" w:eastAsia="Arial" w:hAnsi="Arial"/>
                <w:sz w:val="13"/>
                <w:szCs w:val="13"/>
                <w:b w:val="1"/>
                <w:bCs w:val="1"/>
                <w:color w:val="FFFFFF"/>
              </w:rPr>
              <w:t>Table Total</w:t>
            </w:r>
          </w:p>
        </w:tc>
        <w:tc>
          <w:tcPr>
            <w:tcW w:w="920" w:type="dxa"/>
            <w:vAlign w:val="bottom"/>
            <w:tcBorders>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Actually Paid</w:t>
            </w:r>
          </w:p>
        </w:tc>
        <w:tc>
          <w:tcPr>
            <w:tcW w:w="1560" w:type="dxa"/>
            <w:vAlign w:val="bottom"/>
            <w:shd w:val="clear" w:color="auto" w:fill="1B6F80"/>
          </w:tcPr>
          <w:p>
            <w:pPr>
              <w:jc w:val="right"/>
              <w:ind w:right="154"/>
              <w:spacing w:after="0"/>
              <w:rPr>
                <w:sz w:val="20"/>
                <w:szCs w:val="20"/>
                <w:color w:val="auto"/>
              </w:rPr>
            </w:pPr>
            <w:r>
              <w:rPr>
                <w:rFonts w:ascii="Arial" w:cs="Arial" w:eastAsia="Arial" w:hAnsi="Arial"/>
                <w:sz w:val="13"/>
                <w:szCs w:val="13"/>
                <w:b w:val="1"/>
                <w:bCs w:val="1"/>
                <w:color w:val="FFFFFF"/>
              </w:rPr>
              <w:t>Table Total for</w:t>
            </w:r>
          </w:p>
        </w:tc>
        <w:tc>
          <w:tcPr>
            <w:tcW w:w="1340" w:type="dxa"/>
            <w:vAlign w:val="bottom"/>
            <w:shd w:val="clear" w:color="auto" w:fill="1B6F80"/>
          </w:tcPr>
          <w:p>
            <w:pPr>
              <w:jc w:val="right"/>
              <w:ind w:right="137"/>
              <w:spacing w:after="0"/>
              <w:rPr>
                <w:sz w:val="20"/>
                <w:szCs w:val="20"/>
                <w:color w:val="auto"/>
              </w:rPr>
            </w:pPr>
            <w:r>
              <w:rPr>
                <w:rFonts w:ascii="Arial" w:cs="Arial" w:eastAsia="Arial" w:hAnsi="Arial"/>
                <w:sz w:val="13"/>
                <w:szCs w:val="13"/>
                <w:b w:val="1"/>
                <w:bCs w:val="1"/>
                <w:color w:val="FFFFFF"/>
              </w:rPr>
              <w:t>Actually Paid to</w:t>
            </w:r>
          </w:p>
        </w:tc>
        <w:tc>
          <w:tcPr>
            <w:tcW w:w="1180" w:type="dxa"/>
            <w:vAlign w:val="bottom"/>
            <w:shd w:val="clear" w:color="auto" w:fill="1B6F80"/>
          </w:tcPr>
          <w:p>
            <w:pPr>
              <w:jc w:val="right"/>
              <w:ind w:right="174"/>
              <w:spacing w:after="0"/>
              <w:rPr>
                <w:sz w:val="20"/>
                <w:szCs w:val="20"/>
                <w:color w:val="auto"/>
              </w:rPr>
            </w:pPr>
            <w:r>
              <w:rPr>
                <w:rFonts w:ascii="Arial" w:cs="Arial" w:eastAsia="Arial" w:hAnsi="Arial"/>
                <w:sz w:val="13"/>
                <w:szCs w:val="13"/>
                <w:b w:val="1"/>
                <w:bCs w:val="1"/>
                <w:color w:val="FFFFFF"/>
              </w:rPr>
              <w:t>Stockholder</w:t>
            </w:r>
          </w:p>
        </w:tc>
        <w:tc>
          <w:tcPr>
            <w:tcW w:w="1240" w:type="dxa"/>
            <w:vAlign w:val="bottom"/>
            <w:tcBorders>
              <w:right w:val="single" w:sz="8" w:color="181818"/>
            </w:tcBorders>
            <w:shd w:val="clear" w:color="auto" w:fill="1B6F80"/>
          </w:tcPr>
          <w:p>
            <w:pPr>
              <w:jc w:val="right"/>
              <w:ind w:right="73"/>
              <w:spacing w:after="0"/>
              <w:rPr>
                <w:sz w:val="20"/>
                <w:szCs w:val="20"/>
                <w:color w:val="auto"/>
              </w:rPr>
            </w:pPr>
            <w:r>
              <w:rPr>
                <w:rFonts w:ascii="Arial" w:cs="Arial" w:eastAsia="Arial" w:hAnsi="Arial"/>
                <w:sz w:val="13"/>
                <w:szCs w:val="13"/>
                <w:b w:val="1"/>
                <w:bCs w:val="1"/>
                <w:color w:val="FFFFFF"/>
              </w:rPr>
              <w:t>Net Loss</w:t>
            </w:r>
          </w:p>
        </w:tc>
      </w:tr>
      <w:tr>
        <w:trPr>
          <w:trHeight w:val="148"/>
        </w:trPr>
        <w:tc>
          <w:tcPr>
            <w:tcW w:w="640" w:type="dxa"/>
            <w:vAlign w:val="bottom"/>
            <w:tcBorders>
              <w:left w:val="single" w:sz="8" w:color="181818"/>
              <w:right w:val="single" w:sz="8" w:color="1B6F80"/>
            </w:tcBorders>
            <w:shd w:val="clear" w:color="auto" w:fill="1B6F80"/>
          </w:tcPr>
          <w:p>
            <w:pPr>
              <w:spacing w:after="0"/>
              <w:rPr>
                <w:sz w:val="12"/>
                <w:szCs w:val="12"/>
                <w:color w:val="auto"/>
              </w:rPr>
            </w:pPr>
          </w:p>
        </w:tc>
        <w:tc>
          <w:tcPr>
            <w:tcW w:w="1520" w:type="dxa"/>
            <w:vAlign w:val="bottom"/>
            <w:shd w:val="clear" w:color="auto" w:fill="1B6F80"/>
          </w:tcPr>
          <w:p>
            <w:pPr>
              <w:jc w:val="right"/>
              <w:ind w:right="154"/>
              <w:spacing w:after="0"/>
              <w:rPr>
                <w:sz w:val="20"/>
                <w:szCs w:val="20"/>
                <w:color w:val="auto"/>
              </w:rPr>
            </w:pPr>
            <w:r>
              <w:rPr>
                <w:rFonts w:ascii="Arial" w:cs="Arial" w:eastAsia="Arial" w:hAnsi="Arial"/>
                <w:sz w:val="13"/>
                <w:szCs w:val="13"/>
                <w:b w:val="1"/>
                <w:bCs w:val="1"/>
                <w:color w:val="FFFFFF"/>
              </w:rPr>
              <w:t>for PEO</w:t>
            </w:r>
          </w:p>
        </w:tc>
        <w:tc>
          <w:tcPr>
            <w:tcW w:w="1140" w:type="dxa"/>
            <w:vAlign w:val="bottom"/>
            <w:tcBorders>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to PEO</w:t>
            </w:r>
          </w:p>
        </w:tc>
        <w:tc>
          <w:tcPr>
            <w:tcW w:w="1740" w:type="dxa"/>
            <w:vAlign w:val="bottom"/>
            <w:shd w:val="clear" w:color="auto" w:fill="1B6F80"/>
          </w:tcPr>
          <w:p>
            <w:pPr>
              <w:jc w:val="right"/>
              <w:ind w:right="374"/>
              <w:spacing w:after="0"/>
              <w:rPr>
                <w:sz w:val="20"/>
                <w:szCs w:val="20"/>
                <w:color w:val="auto"/>
              </w:rPr>
            </w:pPr>
            <w:r>
              <w:rPr>
                <w:rFonts w:ascii="Arial" w:cs="Arial" w:eastAsia="Arial" w:hAnsi="Arial"/>
                <w:sz w:val="13"/>
                <w:szCs w:val="13"/>
                <w:b w:val="1"/>
                <w:bCs w:val="1"/>
                <w:color w:val="FFFFFF"/>
              </w:rPr>
              <w:t>for PEO</w:t>
            </w:r>
          </w:p>
        </w:tc>
        <w:tc>
          <w:tcPr>
            <w:tcW w:w="920" w:type="dxa"/>
            <w:vAlign w:val="bottom"/>
            <w:tcBorders>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to PEO</w:t>
            </w:r>
          </w:p>
        </w:tc>
        <w:tc>
          <w:tcPr>
            <w:tcW w:w="1560" w:type="dxa"/>
            <w:vAlign w:val="bottom"/>
            <w:shd w:val="clear" w:color="auto" w:fill="1B6F80"/>
          </w:tcPr>
          <w:p>
            <w:pPr>
              <w:jc w:val="right"/>
              <w:ind w:right="154"/>
              <w:spacing w:after="0"/>
              <w:rPr>
                <w:sz w:val="20"/>
                <w:szCs w:val="20"/>
                <w:color w:val="auto"/>
              </w:rPr>
            </w:pPr>
            <w:r>
              <w:rPr>
                <w:rFonts w:ascii="Arial" w:cs="Arial" w:eastAsia="Arial" w:hAnsi="Arial"/>
                <w:sz w:val="13"/>
                <w:szCs w:val="13"/>
                <w:b w:val="1"/>
                <w:bCs w:val="1"/>
                <w:color w:val="FFFFFF"/>
              </w:rPr>
              <w:t>Non-PEO NEOs</w:t>
            </w:r>
          </w:p>
        </w:tc>
        <w:tc>
          <w:tcPr>
            <w:tcW w:w="1340" w:type="dxa"/>
            <w:vAlign w:val="bottom"/>
            <w:shd w:val="clear" w:color="auto" w:fill="1B6F80"/>
          </w:tcPr>
          <w:p>
            <w:pPr>
              <w:jc w:val="right"/>
              <w:ind w:right="137"/>
              <w:spacing w:after="0"/>
              <w:rPr>
                <w:sz w:val="20"/>
                <w:szCs w:val="20"/>
                <w:color w:val="auto"/>
              </w:rPr>
            </w:pPr>
            <w:r>
              <w:rPr>
                <w:rFonts w:ascii="Arial" w:cs="Arial" w:eastAsia="Arial" w:hAnsi="Arial"/>
                <w:sz w:val="13"/>
                <w:szCs w:val="13"/>
                <w:b w:val="1"/>
                <w:bCs w:val="1"/>
                <w:color w:val="FFFFFF"/>
              </w:rPr>
              <w:t>Non-PEO NEOs</w:t>
            </w:r>
          </w:p>
        </w:tc>
        <w:tc>
          <w:tcPr>
            <w:tcW w:w="1180" w:type="dxa"/>
            <w:vAlign w:val="bottom"/>
            <w:shd w:val="clear" w:color="auto" w:fill="1B6F80"/>
          </w:tcPr>
          <w:p>
            <w:pPr>
              <w:jc w:val="right"/>
              <w:ind w:right="174"/>
              <w:spacing w:after="0"/>
              <w:rPr>
                <w:sz w:val="20"/>
                <w:szCs w:val="20"/>
                <w:color w:val="auto"/>
              </w:rPr>
            </w:pPr>
            <w:r>
              <w:rPr>
                <w:rFonts w:ascii="Arial" w:cs="Arial" w:eastAsia="Arial" w:hAnsi="Arial"/>
                <w:sz w:val="13"/>
                <w:szCs w:val="13"/>
                <w:b w:val="1"/>
                <w:bCs w:val="1"/>
                <w:color w:val="FFFFFF"/>
              </w:rPr>
              <w:t>Return</w:t>
            </w:r>
          </w:p>
        </w:tc>
        <w:tc>
          <w:tcPr>
            <w:tcW w:w="1240" w:type="dxa"/>
            <w:vAlign w:val="bottom"/>
            <w:tcBorders>
              <w:right w:val="single" w:sz="8" w:color="181818"/>
            </w:tcBorders>
            <w:shd w:val="clear" w:color="auto" w:fill="1B6F80"/>
          </w:tcPr>
          <w:p>
            <w:pPr>
              <w:jc w:val="right"/>
              <w:ind w:right="73"/>
              <w:spacing w:after="0"/>
              <w:rPr>
                <w:sz w:val="20"/>
                <w:szCs w:val="20"/>
                <w:color w:val="auto"/>
              </w:rPr>
            </w:pPr>
            <w:r>
              <w:rPr>
                <w:rFonts w:ascii="Arial" w:cs="Arial" w:eastAsia="Arial" w:hAnsi="Arial"/>
                <w:sz w:val="13"/>
                <w:szCs w:val="13"/>
                <w:b w:val="1"/>
                <w:bCs w:val="1"/>
                <w:color w:val="FFFFFF"/>
              </w:rPr>
              <w:t>(in thousands)</w:t>
            </w:r>
          </w:p>
        </w:tc>
      </w:tr>
      <w:tr>
        <w:trPr>
          <w:trHeight w:val="233"/>
        </w:trPr>
        <w:tc>
          <w:tcPr>
            <w:tcW w:w="640" w:type="dxa"/>
            <w:vAlign w:val="bottom"/>
            <w:tcBorders>
              <w:left w:val="single" w:sz="8" w:color="181818"/>
              <w:bottom w:val="single" w:sz="8" w:color="1B6F80"/>
              <w:right w:val="single" w:sz="8" w:color="1B6F80"/>
            </w:tcBorders>
            <w:shd w:val="clear" w:color="auto" w:fill="1B6F80"/>
          </w:tcPr>
          <w:p>
            <w:pPr>
              <w:jc w:val="center"/>
              <w:spacing w:after="0"/>
              <w:rPr>
                <w:sz w:val="20"/>
                <w:szCs w:val="20"/>
                <w:color w:val="auto"/>
              </w:rPr>
            </w:pPr>
            <w:r>
              <w:rPr>
                <w:rFonts w:ascii="Arial" w:cs="Arial" w:eastAsia="Arial" w:hAnsi="Arial"/>
                <w:sz w:val="13"/>
                <w:szCs w:val="13"/>
                <w:b w:val="1"/>
                <w:bCs w:val="1"/>
                <w:color w:val="FFFFFF"/>
                <w:w w:val="92"/>
              </w:rPr>
              <w:t>Year</w:t>
            </w:r>
          </w:p>
        </w:tc>
        <w:tc>
          <w:tcPr>
            <w:tcW w:w="1520" w:type="dxa"/>
            <w:vAlign w:val="bottom"/>
            <w:tcBorders>
              <w:bottom w:val="single" w:sz="8" w:color="1B6F80"/>
            </w:tcBorders>
            <w:shd w:val="clear" w:color="auto" w:fill="1B6F80"/>
          </w:tcPr>
          <w:p>
            <w:pPr>
              <w:jc w:val="right"/>
              <w:ind w:right="154"/>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6"/>
                <w:szCs w:val="16"/>
                <w:b w:val="1"/>
                <w:bCs w:val="1"/>
                <w:color w:val="FFFFFF"/>
                <w:vertAlign w:val="superscript"/>
              </w:rPr>
              <w:t>(1)</w:t>
            </w:r>
          </w:p>
        </w:tc>
        <w:tc>
          <w:tcPr>
            <w:tcW w:w="1140" w:type="dxa"/>
            <w:vAlign w:val="bottom"/>
            <w:tcBorders>
              <w:bottom w:val="single" w:sz="8" w:color="1B6F80"/>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6"/>
                <w:szCs w:val="16"/>
                <w:b w:val="1"/>
                <w:bCs w:val="1"/>
                <w:color w:val="FFFFFF"/>
                <w:vertAlign w:val="superscript"/>
              </w:rPr>
              <w:t>(2)</w:t>
            </w:r>
          </w:p>
        </w:tc>
        <w:tc>
          <w:tcPr>
            <w:tcW w:w="1740" w:type="dxa"/>
            <w:vAlign w:val="bottom"/>
            <w:tcBorders>
              <w:bottom w:val="single" w:sz="8" w:color="1B6F80"/>
            </w:tcBorders>
            <w:shd w:val="clear" w:color="auto" w:fill="1B6F80"/>
          </w:tcPr>
          <w:p>
            <w:pPr>
              <w:jc w:val="right"/>
              <w:ind w:right="374"/>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6"/>
                <w:szCs w:val="16"/>
                <w:b w:val="1"/>
                <w:bCs w:val="1"/>
                <w:color w:val="FFFFFF"/>
                <w:vertAlign w:val="superscript"/>
              </w:rPr>
              <w:t>(3)</w:t>
            </w:r>
          </w:p>
        </w:tc>
        <w:tc>
          <w:tcPr>
            <w:tcW w:w="920" w:type="dxa"/>
            <w:vAlign w:val="bottom"/>
            <w:tcBorders>
              <w:bottom w:val="single" w:sz="8" w:color="1B6F80"/>
              <w:right w:val="single" w:sz="8" w:color="1B6F80"/>
            </w:tcBorders>
            <w:shd w:val="clear" w:color="auto" w:fill="1B6F80"/>
          </w:tcPr>
          <w:p>
            <w:pPr>
              <w:jc w:val="right"/>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6"/>
                <w:szCs w:val="16"/>
                <w:b w:val="1"/>
                <w:bCs w:val="1"/>
                <w:color w:val="FFFFFF"/>
                <w:vertAlign w:val="superscript"/>
              </w:rPr>
              <w:t>(2)</w:t>
            </w:r>
          </w:p>
        </w:tc>
        <w:tc>
          <w:tcPr>
            <w:tcW w:w="1560" w:type="dxa"/>
            <w:vAlign w:val="bottom"/>
            <w:tcBorders>
              <w:bottom w:val="single" w:sz="8" w:color="1B6F80"/>
            </w:tcBorders>
            <w:shd w:val="clear" w:color="auto" w:fill="1B6F80"/>
          </w:tcPr>
          <w:p>
            <w:pPr>
              <w:jc w:val="right"/>
              <w:ind w:right="154"/>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6"/>
                <w:szCs w:val="16"/>
                <w:b w:val="1"/>
                <w:bCs w:val="1"/>
                <w:color w:val="FFFFFF"/>
                <w:vertAlign w:val="superscript"/>
              </w:rPr>
              <w:t>(4)</w:t>
            </w:r>
          </w:p>
        </w:tc>
        <w:tc>
          <w:tcPr>
            <w:tcW w:w="1340" w:type="dxa"/>
            <w:vAlign w:val="bottom"/>
            <w:tcBorders>
              <w:bottom w:val="single" w:sz="8" w:color="1B6F80"/>
            </w:tcBorders>
            <w:shd w:val="clear" w:color="auto" w:fill="1B6F80"/>
          </w:tcPr>
          <w:p>
            <w:pPr>
              <w:jc w:val="right"/>
              <w:ind w:right="137"/>
              <w:spacing w:after="0" w:line="200"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 xml:space="preserve"> (4)(5)</w:t>
            </w:r>
          </w:p>
        </w:tc>
        <w:tc>
          <w:tcPr>
            <w:tcW w:w="1180" w:type="dxa"/>
            <w:vAlign w:val="bottom"/>
            <w:tcBorders>
              <w:bottom w:val="single" w:sz="8" w:color="1B6F80"/>
            </w:tcBorders>
            <w:shd w:val="clear" w:color="auto" w:fill="1B6F80"/>
          </w:tcPr>
          <w:p>
            <w:pPr>
              <w:jc w:val="right"/>
              <w:ind w:right="174"/>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6"/>
                <w:szCs w:val="16"/>
                <w:b w:val="1"/>
                <w:bCs w:val="1"/>
                <w:color w:val="FFFFFF"/>
                <w:vertAlign w:val="superscript"/>
              </w:rPr>
              <w:t>(6)</w:t>
            </w:r>
          </w:p>
        </w:tc>
        <w:tc>
          <w:tcPr>
            <w:tcW w:w="1240" w:type="dxa"/>
            <w:vAlign w:val="bottom"/>
            <w:tcBorders>
              <w:bottom w:val="single" w:sz="8" w:color="1B6F80"/>
              <w:right w:val="single" w:sz="8" w:color="181818"/>
            </w:tcBorders>
            <w:shd w:val="clear" w:color="auto" w:fill="1B6F80"/>
          </w:tcPr>
          <w:p>
            <w:pPr>
              <w:jc w:val="right"/>
              <w:ind w:right="73"/>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6"/>
                <w:szCs w:val="16"/>
                <w:b w:val="1"/>
                <w:bCs w:val="1"/>
                <w:color w:val="FFFFFF"/>
                <w:vertAlign w:val="superscript"/>
              </w:rPr>
              <w:t>(7)</w:t>
            </w:r>
          </w:p>
        </w:tc>
      </w:tr>
      <w:tr>
        <w:trPr>
          <w:trHeight w:val="235"/>
        </w:trPr>
        <w:tc>
          <w:tcPr>
            <w:tcW w:w="640" w:type="dxa"/>
            <w:vAlign w:val="bottom"/>
            <w:tcBorders>
              <w:left w:val="single" w:sz="8" w:color="181818"/>
              <w:right w:val="single" w:sz="8" w:color="AED0C7"/>
            </w:tcBorders>
            <w:shd w:val="clear" w:color="auto" w:fill="AED0C7"/>
          </w:tcPr>
          <w:p>
            <w:pPr>
              <w:jc w:val="center"/>
              <w:spacing w:after="0"/>
              <w:rPr>
                <w:sz w:val="20"/>
                <w:szCs w:val="20"/>
                <w:color w:val="auto"/>
              </w:rPr>
            </w:pPr>
            <w:r>
              <w:rPr>
                <w:rFonts w:ascii="Arial" w:cs="Arial" w:eastAsia="Arial" w:hAnsi="Arial"/>
                <w:sz w:val="13"/>
                <w:szCs w:val="13"/>
                <w:b w:val="1"/>
                <w:bCs w:val="1"/>
                <w:color w:val="181818"/>
                <w:w w:val="87"/>
              </w:rPr>
              <w:t>(a)</w:t>
            </w:r>
          </w:p>
        </w:tc>
        <w:tc>
          <w:tcPr>
            <w:tcW w:w="1520" w:type="dxa"/>
            <w:vAlign w:val="bottom"/>
            <w:shd w:val="clear" w:color="auto" w:fill="AED0C7"/>
          </w:tcPr>
          <w:p>
            <w:pPr>
              <w:jc w:val="right"/>
              <w:ind w:right="154"/>
              <w:spacing w:after="0"/>
              <w:rPr>
                <w:sz w:val="20"/>
                <w:szCs w:val="20"/>
                <w:color w:val="auto"/>
              </w:rPr>
            </w:pPr>
            <w:r>
              <w:rPr>
                <w:rFonts w:ascii="Arial" w:cs="Arial" w:eastAsia="Arial" w:hAnsi="Arial"/>
                <w:sz w:val="13"/>
                <w:szCs w:val="13"/>
                <w:b w:val="1"/>
                <w:bCs w:val="1"/>
                <w:color w:val="181818"/>
              </w:rPr>
              <w:t>(b)</w:t>
            </w:r>
          </w:p>
        </w:tc>
        <w:tc>
          <w:tcPr>
            <w:tcW w:w="1140" w:type="dxa"/>
            <w:vAlign w:val="bottom"/>
            <w:tcBorders>
              <w:right w:val="single" w:sz="8" w:color="AED0C7"/>
            </w:tcBorders>
            <w:shd w:val="clear" w:color="auto" w:fill="AED0C7"/>
          </w:tcPr>
          <w:p>
            <w:pPr>
              <w:jc w:val="right"/>
              <w:spacing w:after="0"/>
              <w:rPr>
                <w:sz w:val="20"/>
                <w:szCs w:val="20"/>
                <w:color w:val="auto"/>
              </w:rPr>
            </w:pPr>
            <w:r>
              <w:rPr>
                <w:rFonts w:ascii="Arial" w:cs="Arial" w:eastAsia="Arial" w:hAnsi="Arial"/>
                <w:sz w:val="13"/>
                <w:szCs w:val="13"/>
                <w:b w:val="1"/>
                <w:bCs w:val="1"/>
                <w:color w:val="181818"/>
              </w:rPr>
              <w:t>(c)</w:t>
            </w:r>
          </w:p>
        </w:tc>
        <w:tc>
          <w:tcPr>
            <w:tcW w:w="1740" w:type="dxa"/>
            <w:vAlign w:val="bottom"/>
            <w:shd w:val="clear" w:color="auto" w:fill="AED0C7"/>
          </w:tcPr>
          <w:p>
            <w:pPr>
              <w:jc w:val="right"/>
              <w:ind w:right="374"/>
              <w:spacing w:after="0"/>
              <w:rPr>
                <w:sz w:val="20"/>
                <w:szCs w:val="20"/>
                <w:color w:val="auto"/>
              </w:rPr>
            </w:pPr>
            <w:r>
              <w:rPr>
                <w:rFonts w:ascii="Arial" w:cs="Arial" w:eastAsia="Arial" w:hAnsi="Arial"/>
                <w:sz w:val="13"/>
                <w:szCs w:val="13"/>
                <w:b w:val="1"/>
                <w:bCs w:val="1"/>
                <w:color w:val="181818"/>
              </w:rPr>
              <w:t>(d)</w:t>
            </w:r>
          </w:p>
        </w:tc>
        <w:tc>
          <w:tcPr>
            <w:tcW w:w="920" w:type="dxa"/>
            <w:vAlign w:val="bottom"/>
            <w:tcBorders>
              <w:right w:val="single" w:sz="8" w:color="AED0C7"/>
            </w:tcBorders>
            <w:shd w:val="clear" w:color="auto" w:fill="AED0C7"/>
          </w:tcPr>
          <w:p>
            <w:pPr>
              <w:jc w:val="right"/>
              <w:spacing w:after="0"/>
              <w:rPr>
                <w:sz w:val="20"/>
                <w:szCs w:val="20"/>
                <w:color w:val="auto"/>
              </w:rPr>
            </w:pPr>
            <w:r>
              <w:rPr>
                <w:rFonts w:ascii="Arial" w:cs="Arial" w:eastAsia="Arial" w:hAnsi="Arial"/>
                <w:sz w:val="13"/>
                <w:szCs w:val="13"/>
                <w:b w:val="1"/>
                <w:bCs w:val="1"/>
                <w:color w:val="181818"/>
              </w:rPr>
              <w:t>(e)</w:t>
            </w:r>
          </w:p>
        </w:tc>
        <w:tc>
          <w:tcPr>
            <w:tcW w:w="1560" w:type="dxa"/>
            <w:vAlign w:val="bottom"/>
            <w:shd w:val="clear" w:color="auto" w:fill="AED0C7"/>
          </w:tcPr>
          <w:p>
            <w:pPr>
              <w:jc w:val="right"/>
              <w:ind w:right="154"/>
              <w:spacing w:after="0"/>
              <w:rPr>
                <w:sz w:val="20"/>
                <w:szCs w:val="20"/>
                <w:color w:val="auto"/>
              </w:rPr>
            </w:pPr>
            <w:r>
              <w:rPr>
                <w:rFonts w:ascii="Arial" w:cs="Arial" w:eastAsia="Arial" w:hAnsi="Arial"/>
                <w:sz w:val="13"/>
                <w:szCs w:val="13"/>
                <w:b w:val="1"/>
                <w:bCs w:val="1"/>
                <w:color w:val="181818"/>
              </w:rPr>
              <w:t>(f)</w:t>
            </w:r>
          </w:p>
        </w:tc>
        <w:tc>
          <w:tcPr>
            <w:tcW w:w="1340" w:type="dxa"/>
            <w:vAlign w:val="bottom"/>
            <w:shd w:val="clear" w:color="auto" w:fill="AED0C7"/>
          </w:tcPr>
          <w:p>
            <w:pPr>
              <w:jc w:val="right"/>
              <w:ind w:right="137"/>
              <w:spacing w:after="0"/>
              <w:rPr>
                <w:sz w:val="20"/>
                <w:szCs w:val="20"/>
                <w:color w:val="auto"/>
              </w:rPr>
            </w:pPr>
            <w:r>
              <w:rPr>
                <w:rFonts w:ascii="Arial" w:cs="Arial" w:eastAsia="Arial" w:hAnsi="Arial"/>
                <w:sz w:val="13"/>
                <w:szCs w:val="13"/>
                <w:b w:val="1"/>
                <w:bCs w:val="1"/>
                <w:color w:val="181818"/>
              </w:rPr>
              <w:t>(g)</w:t>
            </w:r>
          </w:p>
        </w:tc>
        <w:tc>
          <w:tcPr>
            <w:tcW w:w="1180" w:type="dxa"/>
            <w:vAlign w:val="bottom"/>
            <w:shd w:val="clear" w:color="auto" w:fill="AED0C7"/>
          </w:tcPr>
          <w:p>
            <w:pPr>
              <w:jc w:val="right"/>
              <w:ind w:right="174"/>
              <w:spacing w:after="0"/>
              <w:rPr>
                <w:sz w:val="20"/>
                <w:szCs w:val="20"/>
                <w:color w:val="auto"/>
              </w:rPr>
            </w:pPr>
            <w:r>
              <w:rPr>
                <w:rFonts w:ascii="Arial" w:cs="Arial" w:eastAsia="Arial" w:hAnsi="Arial"/>
                <w:sz w:val="13"/>
                <w:szCs w:val="13"/>
                <w:b w:val="1"/>
                <w:bCs w:val="1"/>
                <w:color w:val="181818"/>
              </w:rPr>
              <w:t>(h)</w:t>
            </w:r>
          </w:p>
        </w:tc>
        <w:tc>
          <w:tcPr>
            <w:tcW w:w="1240" w:type="dxa"/>
            <w:vAlign w:val="bottom"/>
            <w:tcBorders>
              <w:right w:val="single" w:sz="8" w:color="181818"/>
            </w:tcBorders>
            <w:shd w:val="clear" w:color="auto" w:fill="AED0C7"/>
          </w:tcPr>
          <w:p>
            <w:pPr>
              <w:jc w:val="right"/>
              <w:ind w:right="73"/>
              <w:spacing w:after="0"/>
              <w:rPr>
                <w:sz w:val="20"/>
                <w:szCs w:val="20"/>
                <w:color w:val="auto"/>
              </w:rPr>
            </w:pPr>
            <w:r>
              <w:rPr>
                <w:rFonts w:ascii="Arial" w:cs="Arial" w:eastAsia="Arial" w:hAnsi="Arial"/>
                <w:sz w:val="13"/>
                <w:szCs w:val="13"/>
                <w:b w:val="1"/>
                <w:bCs w:val="1"/>
                <w:color w:val="181818"/>
              </w:rPr>
              <w:t>(i)</w:t>
            </w:r>
          </w:p>
        </w:tc>
      </w:tr>
      <w:tr>
        <w:trPr>
          <w:trHeight w:val="76"/>
        </w:trPr>
        <w:tc>
          <w:tcPr>
            <w:tcW w:w="640" w:type="dxa"/>
            <w:vAlign w:val="bottom"/>
            <w:tcBorders>
              <w:left w:val="single" w:sz="8" w:color="181818"/>
              <w:right w:val="single" w:sz="8" w:color="AED0C7"/>
            </w:tcBorders>
            <w:shd w:val="clear" w:color="auto" w:fill="AED0C7"/>
          </w:tcPr>
          <w:p>
            <w:pPr>
              <w:spacing w:after="0"/>
              <w:rPr>
                <w:sz w:val="6"/>
                <w:szCs w:val="6"/>
                <w:color w:val="auto"/>
              </w:rPr>
            </w:pPr>
          </w:p>
        </w:tc>
        <w:tc>
          <w:tcPr>
            <w:tcW w:w="1520" w:type="dxa"/>
            <w:vAlign w:val="bottom"/>
            <w:shd w:val="clear" w:color="auto" w:fill="AED0C7"/>
          </w:tcPr>
          <w:p>
            <w:pPr>
              <w:spacing w:after="0"/>
              <w:rPr>
                <w:sz w:val="6"/>
                <w:szCs w:val="6"/>
                <w:color w:val="auto"/>
              </w:rPr>
            </w:pPr>
          </w:p>
        </w:tc>
        <w:tc>
          <w:tcPr>
            <w:tcW w:w="1140" w:type="dxa"/>
            <w:vAlign w:val="bottom"/>
            <w:tcBorders>
              <w:right w:val="single" w:sz="8" w:color="AED0C7"/>
            </w:tcBorders>
            <w:shd w:val="clear" w:color="auto" w:fill="AED0C7"/>
          </w:tcPr>
          <w:p>
            <w:pPr>
              <w:spacing w:after="0"/>
              <w:rPr>
                <w:sz w:val="6"/>
                <w:szCs w:val="6"/>
                <w:color w:val="auto"/>
              </w:rPr>
            </w:pPr>
          </w:p>
        </w:tc>
        <w:tc>
          <w:tcPr>
            <w:tcW w:w="1740" w:type="dxa"/>
            <w:vAlign w:val="bottom"/>
            <w:shd w:val="clear" w:color="auto" w:fill="AED0C7"/>
          </w:tcPr>
          <w:p>
            <w:pPr>
              <w:spacing w:after="0"/>
              <w:rPr>
                <w:sz w:val="6"/>
                <w:szCs w:val="6"/>
                <w:color w:val="auto"/>
              </w:rPr>
            </w:pPr>
          </w:p>
        </w:tc>
        <w:tc>
          <w:tcPr>
            <w:tcW w:w="920" w:type="dxa"/>
            <w:vAlign w:val="bottom"/>
            <w:tcBorders>
              <w:right w:val="single" w:sz="8" w:color="AED0C7"/>
            </w:tcBorders>
            <w:shd w:val="clear" w:color="auto" w:fill="AED0C7"/>
          </w:tcPr>
          <w:p>
            <w:pPr>
              <w:spacing w:after="0"/>
              <w:rPr>
                <w:sz w:val="6"/>
                <w:szCs w:val="6"/>
                <w:color w:val="auto"/>
              </w:rPr>
            </w:pPr>
          </w:p>
        </w:tc>
        <w:tc>
          <w:tcPr>
            <w:tcW w:w="1560" w:type="dxa"/>
            <w:vAlign w:val="bottom"/>
            <w:shd w:val="clear" w:color="auto" w:fill="AED0C7"/>
          </w:tcPr>
          <w:p>
            <w:pPr>
              <w:spacing w:after="0"/>
              <w:rPr>
                <w:sz w:val="6"/>
                <w:szCs w:val="6"/>
                <w:color w:val="auto"/>
              </w:rPr>
            </w:pPr>
          </w:p>
        </w:tc>
        <w:tc>
          <w:tcPr>
            <w:tcW w:w="1340" w:type="dxa"/>
            <w:vAlign w:val="bottom"/>
            <w:shd w:val="clear" w:color="auto" w:fill="AED0C7"/>
          </w:tcPr>
          <w:p>
            <w:pPr>
              <w:spacing w:after="0"/>
              <w:rPr>
                <w:sz w:val="6"/>
                <w:szCs w:val="6"/>
                <w:color w:val="auto"/>
              </w:rPr>
            </w:pPr>
          </w:p>
        </w:tc>
        <w:tc>
          <w:tcPr>
            <w:tcW w:w="1180" w:type="dxa"/>
            <w:vAlign w:val="bottom"/>
            <w:shd w:val="clear" w:color="auto" w:fill="AED0C7"/>
          </w:tcPr>
          <w:p>
            <w:pPr>
              <w:spacing w:after="0"/>
              <w:rPr>
                <w:sz w:val="6"/>
                <w:szCs w:val="6"/>
                <w:color w:val="auto"/>
              </w:rPr>
            </w:pPr>
          </w:p>
        </w:tc>
        <w:tc>
          <w:tcPr>
            <w:tcW w:w="1240" w:type="dxa"/>
            <w:vAlign w:val="bottom"/>
            <w:tcBorders>
              <w:right w:val="single" w:sz="8" w:color="181818"/>
            </w:tcBorders>
            <w:shd w:val="clear" w:color="auto" w:fill="AED0C7"/>
          </w:tcPr>
          <w:p>
            <w:pPr>
              <w:spacing w:after="0"/>
              <w:rPr>
                <w:sz w:val="6"/>
                <w:szCs w:val="6"/>
                <w:color w:val="auto"/>
              </w:rPr>
            </w:pPr>
          </w:p>
        </w:tc>
      </w:tr>
      <w:tr>
        <w:trPr>
          <w:trHeight w:val="262"/>
        </w:trPr>
        <w:tc>
          <w:tcPr>
            <w:tcW w:w="640" w:type="dxa"/>
            <w:vAlign w:val="bottom"/>
            <w:tcBorders>
              <w:left w:val="single" w:sz="8" w:color="181818"/>
            </w:tcBorders>
          </w:tcPr>
          <w:p>
            <w:pPr>
              <w:jc w:val="center"/>
              <w:spacing w:after="0"/>
              <w:rPr>
                <w:sz w:val="20"/>
                <w:szCs w:val="20"/>
                <w:color w:val="auto"/>
              </w:rPr>
            </w:pPr>
            <w:r>
              <w:rPr>
                <w:rFonts w:ascii="Arial" w:cs="Arial" w:eastAsia="Arial" w:hAnsi="Arial"/>
                <w:sz w:val="14"/>
                <w:szCs w:val="14"/>
                <w:color w:val="auto"/>
              </w:rPr>
              <w:t>2026</w:t>
            </w:r>
          </w:p>
        </w:tc>
        <w:tc>
          <w:tcPr>
            <w:tcW w:w="1520" w:type="dxa"/>
            <w:vAlign w:val="bottom"/>
          </w:tcPr>
          <w:p>
            <w:pPr>
              <w:jc w:val="right"/>
              <w:ind w:right="214"/>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34"/>
              <w:spacing w:after="0"/>
              <w:rPr>
                <w:sz w:val="20"/>
                <w:szCs w:val="20"/>
                <w:color w:val="auto"/>
              </w:rPr>
            </w:pPr>
            <w:r>
              <w:rPr>
                <w:rFonts w:ascii="Arial" w:cs="Arial" w:eastAsia="Arial" w:hAnsi="Arial"/>
                <w:sz w:val="14"/>
                <w:szCs w:val="14"/>
                <w:color w:val="auto"/>
              </w:rPr>
              <w:t>3,808,874</w:t>
            </w:r>
          </w:p>
        </w:tc>
        <w:tc>
          <w:tcPr>
            <w:tcW w:w="920" w:type="dxa"/>
            <w:vAlign w:val="bottom"/>
          </w:tcPr>
          <w:p>
            <w:pPr>
              <w:jc w:val="right"/>
              <w:ind w:right="14"/>
              <w:spacing w:after="0"/>
              <w:rPr>
                <w:sz w:val="20"/>
                <w:szCs w:val="20"/>
                <w:color w:val="auto"/>
              </w:rPr>
            </w:pPr>
            <w:r>
              <w:rPr>
                <w:rFonts w:ascii="Arial" w:cs="Arial" w:eastAsia="Arial" w:hAnsi="Arial"/>
                <w:sz w:val="14"/>
                <w:szCs w:val="14"/>
                <w:color w:val="auto"/>
              </w:rPr>
              <w:t>4,309,244</w:t>
            </w:r>
          </w:p>
        </w:tc>
        <w:tc>
          <w:tcPr>
            <w:tcW w:w="1560" w:type="dxa"/>
            <w:vAlign w:val="bottom"/>
          </w:tcPr>
          <w:p>
            <w:pPr>
              <w:jc w:val="right"/>
              <w:ind w:right="194"/>
              <w:spacing w:after="0"/>
              <w:rPr>
                <w:sz w:val="20"/>
                <w:szCs w:val="20"/>
                <w:color w:val="auto"/>
              </w:rPr>
            </w:pPr>
            <w:r>
              <w:rPr>
                <w:rFonts w:ascii="Arial" w:cs="Arial" w:eastAsia="Arial" w:hAnsi="Arial"/>
                <w:sz w:val="14"/>
                <w:szCs w:val="14"/>
                <w:color w:val="auto"/>
              </w:rPr>
              <w:t>1,626,908</w:t>
            </w:r>
          </w:p>
        </w:tc>
        <w:tc>
          <w:tcPr>
            <w:tcW w:w="1340" w:type="dxa"/>
            <w:vAlign w:val="bottom"/>
          </w:tcPr>
          <w:p>
            <w:pPr>
              <w:jc w:val="right"/>
              <w:ind w:right="177"/>
              <w:spacing w:after="0"/>
              <w:rPr>
                <w:sz w:val="20"/>
                <w:szCs w:val="20"/>
                <w:color w:val="auto"/>
              </w:rPr>
            </w:pPr>
            <w:r>
              <w:rPr>
                <w:rFonts w:ascii="Arial" w:cs="Arial" w:eastAsia="Arial" w:hAnsi="Arial"/>
                <w:sz w:val="14"/>
                <w:szCs w:val="14"/>
                <w:color w:val="auto"/>
              </w:rPr>
              <w:t>592,550</w:t>
            </w:r>
          </w:p>
        </w:tc>
        <w:tc>
          <w:tcPr>
            <w:tcW w:w="1180" w:type="dxa"/>
            <w:vAlign w:val="bottom"/>
          </w:tcPr>
          <w:p>
            <w:pPr>
              <w:jc w:val="right"/>
              <w:ind w:right="234"/>
              <w:spacing w:after="0"/>
              <w:rPr>
                <w:sz w:val="20"/>
                <w:szCs w:val="20"/>
                <w:color w:val="auto"/>
              </w:rPr>
            </w:pPr>
            <w:r>
              <w:rPr>
                <w:rFonts w:ascii="Arial" w:cs="Arial" w:eastAsia="Arial" w:hAnsi="Arial"/>
                <w:sz w:val="14"/>
                <w:szCs w:val="14"/>
                <w:color w:val="auto"/>
              </w:rPr>
              <w:t>115.59</w:t>
            </w:r>
          </w:p>
        </w:tc>
        <w:tc>
          <w:tcPr>
            <w:tcW w:w="1240" w:type="dxa"/>
            <w:vAlign w:val="bottom"/>
            <w:tcBorders>
              <w:right w:val="single" w:sz="8" w:color="181818"/>
            </w:tcBorders>
          </w:tcPr>
          <w:p>
            <w:pPr>
              <w:jc w:val="right"/>
              <w:ind w:right="133"/>
              <w:spacing w:after="0"/>
              <w:rPr>
                <w:sz w:val="20"/>
                <w:szCs w:val="20"/>
                <w:color w:val="auto"/>
              </w:rPr>
            </w:pPr>
            <w:r>
              <w:rPr>
                <w:rFonts w:ascii="Arial" w:cs="Arial" w:eastAsia="Arial" w:hAnsi="Arial"/>
                <w:sz w:val="14"/>
                <w:szCs w:val="14"/>
                <w:color w:val="auto"/>
              </w:rPr>
              <w:t>90,635</w:t>
            </w:r>
          </w:p>
        </w:tc>
      </w:tr>
      <w:tr>
        <w:trPr>
          <w:trHeight w:val="76"/>
        </w:trPr>
        <w:tc>
          <w:tcPr>
            <w:tcW w:w="640" w:type="dxa"/>
            <w:vAlign w:val="bottom"/>
            <w:tcBorders>
              <w:left w:val="single" w:sz="8" w:color="181818"/>
              <w:bottom w:val="single" w:sz="8" w:color="181818"/>
            </w:tcBorders>
          </w:tcPr>
          <w:p>
            <w:pPr>
              <w:spacing w:after="0"/>
              <w:rPr>
                <w:sz w:val="6"/>
                <w:szCs w:val="6"/>
                <w:color w:val="auto"/>
              </w:rPr>
            </w:pPr>
          </w:p>
        </w:tc>
        <w:tc>
          <w:tcPr>
            <w:tcW w:w="1520" w:type="dxa"/>
            <w:vAlign w:val="bottom"/>
            <w:tcBorders>
              <w:bottom w:val="single" w:sz="8" w:color="181818"/>
            </w:tcBorders>
          </w:tcPr>
          <w:p>
            <w:pPr>
              <w:spacing w:after="0"/>
              <w:rPr>
                <w:sz w:val="6"/>
                <w:szCs w:val="6"/>
                <w:color w:val="auto"/>
              </w:rPr>
            </w:pPr>
          </w:p>
        </w:tc>
        <w:tc>
          <w:tcPr>
            <w:tcW w:w="1140" w:type="dxa"/>
            <w:vAlign w:val="bottom"/>
            <w:tcBorders>
              <w:bottom w:val="single" w:sz="8" w:color="181818"/>
            </w:tcBorders>
          </w:tcPr>
          <w:p>
            <w:pPr>
              <w:spacing w:after="0"/>
              <w:rPr>
                <w:sz w:val="6"/>
                <w:szCs w:val="6"/>
                <w:color w:val="auto"/>
              </w:rPr>
            </w:pPr>
          </w:p>
        </w:tc>
        <w:tc>
          <w:tcPr>
            <w:tcW w:w="1740" w:type="dxa"/>
            <w:vAlign w:val="bottom"/>
            <w:tcBorders>
              <w:bottom w:val="single" w:sz="8" w:color="181818"/>
            </w:tcBorders>
          </w:tcPr>
          <w:p>
            <w:pPr>
              <w:spacing w:after="0"/>
              <w:rPr>
                <w:sz w:val="6"/>
                <w:szCs w:val="6"/>
                <w:color w:val="auto"/>
              </w:rPr>
            </w:pPr>
          </w:p>
        </w:tc>
        <w:tc>
          <w:tcPr>
            <w:tcW w:w="920" w:type="dxa"/>
            <w:vAlign w:val="bottom"/>
            <w:tcBorders>
              <w:bottom w:val="single" w:sz="8" w:color="181818"/>
            </w:tcBorders>
          </w:tcPr>
          <w:p>
            <w:pPr>
              <w:spacing w:after="0"/>
              <w:rPr>
                <w:sz w:val="6"/>
                <w:szCs w:val="6"/>
                <w:color w:val="auto"/>
              </w:rPr>
            </w:pPr>
          </w:p>
        </w:tc>
        <w:tc>
          <w:tcPr>
            <w:tcW w:w="1560" w:type="dxa"/>
            <w:vAlign w:val="bottom"/>
            <w:tcBorders>
              <w:bottom w:val="single" w:sz="8" w:color="181818"/>
            </w:tcBorders>
          </w:tcPr>
          <w:p>
            <w:pPr>
              <w:spacing w:after="0"/>
              <w:rPr>
                <w:sz w:val="6"/>
                <w:szCs w:val="6"/>
                <w:color w:val="auto"/>
              </w:rPr>
            </w:pPr>
          </w:p>
        </w:tc>
        <w:tc>
          <w:tcPr>
            <w:tcW w:w="1340" w:type="dxa"/>
            <w:vAlign w:val="bottom"/>
            <w:tcBorders>
              <w:bottom w:val="single" w:sz="8" w:color="181818"/>
            </w:tcBorders>
          </w:tcPr>
          <w:p>
            <w:pPr>
              <w:spacing w:after="0"/>
              <w:rPr>
                <w:sz w:val="6"/>
                <w:szCs w:val="6"/>
                <w:color w:val="auto"/>
              </w:rPr>
            </w:pPr>
          </w:p>
        </w:tc>
        <w:tc>
          <w:tcPr>
            <w:tcW w:w="1180" w:type="dxa"/>
            <w:vAlign w:val="bottom"/>
            <w:tcBorders>
              <w:bottom w:val="single" w:sz="8" w:color="181818"/>
            </w:tcBorders>
          </w:tcPr>
          <w:p>
            <w:pPr>
              <w:spacing w:after="0"/>
              <w:rPr>
                <w:sz w:val="6"/>
                <w:szCs w:val="6"/>
                <w:color w:val="auto"/>
              </w:rPr>
            </w:pPr>
          </w:p>
        </w:tc>
        <w:tc>
          <w:tcPr>
            <w:tcW w:w="1240" w:type="dxa"/>
            <w:vAlign w:val="bottom"/>
            <w:tcBorders>
              <w:bottom w:val="single" w:sz="8" w:color="181818"/>
              <w:right w:val="single" w:sz="8" w:color="181818"/>
            </w:tcBorders>
          </w:tcPr>
          <w:p>
            <w:pPr>
              <w:spacing w:after="0"/>
              <w:rPr>
                <w:sz w:val="6"/>
                <w:szCs w:val="6"/>
                <w:color w:val="auto"/>
              </w:rPr>
            </w:pPr>
          </w:p>
        </w:tc>
      </w:tr>
      <w:tr>
        <w:trPr>
          <w:trHeight w:val="255"/>
        </w:trPr>
        <w:tc>
          <w:tcPr>
            <w:tcW w:w="640" w:type="dxa"/>
            <w:vAlign w:val="bottom"/>
            <w:tcBorders>
              <w:left w:val="single" w:sz="8" w:color="181818"/>
            </w:tcBorders>
          </w:tcPr>
          <w:p>
            <w:pPr>
              <w:jc w:val="center"/>
              <w:spacing w:after="0"/>
              <w:rPr>
                <w:sz w:val="20"/>
                <w:szCs w:val="20"/>
                <w:color w:val="auto"/>
              </w:rPr>
            </w:pPr>
            <w:r>
              <w:rPr>
                <w:rFonts w:ascii="Arial" w:cs="Arial" w:eastAsia="Arial" w:hAnsi="Arial"/>
                <w:sz w:val="14"/>
                <w:szCs w:val="14"/>
                <w:color w:val="auto"/>
              </w:rPr>
              <w:t>2025</w:t>
            </w:r>
          </w:p>
        </w:tc>
        <w:tc>
          <w:tcPr>
            <w:tcW w:w="1520" w:type="dxa"/>
            <w:vAlign w:val="bottom"/>
          </w:tcPr>
          <w:p>
            <w:pPr>
              <w:jc w:val="right"/>
              <w:ind w:right="214"/>
              <w:spacing w:after="0"/>
              <w:rPr>
                <w:sz w:val="20"/>
                <w:szCs w:val="20"/>
                <w:color w:val="auto"/>
              </w:rPr>
            </w:pPr>
            <w:r>
              <w:rPr>
                <w:rFonts w:ascii="Arial" w:cs="Arial" w:eastAsia="Arial" w:hAnsi="Arial"/>
                <w:sz w:val="14"/>
                <w:szCs w:val="14"/>
                <w:color w:val="auto"/>
              </w:rPr>
              <w:t>2,780,039</w:t>
            </w:r>
          </w:p>
        </w:tc>
        <w:tc>
          <w:tcPr>
            <w:tcW w:w="1140" w:type="dxa"/>
            <w:vAlign w:val="bottom"/>
          </w:tcPr>
          <w:p>
            <w:pPr>
              <w:jc w:val="right"/>
              <w:spacing w:after="0"/>
              <w:rPr>
                <w:sz w:val="20"/>
                <w:szCs w:val="20"/>
                <w:color w:val="auto"/>
              </w:rPr>
            </w:pPr>
            <w:r>
              <w:rPr>
                <w:rFonts w:ascii="Arial" w:cs="Arial" w:eastAsia="Arial" w:hAnsi="Arial"/>
                <w:sz w:val="14"/>
                <w:szCs w:val="14"/>
                <w:color w:val="auto"/>
              </w:rPr>
              <w:t>(1,462,341)</w:t>
            </w:r>
          </w:p>
        </w:tc>
        <w:tc>
          <w:tcPr>
            <w:tcW w:w="1740" w:type="dxa"/>
            <w:vAlign w:val="bottom"/>
          </w:tcPr>
          <w:p>
            <w:pPr>
              <w:jc w:val="right"/>
              <w:ind w:right="434"/>
              <w:spacing w:after="0"/>
              <w:rPr>
                <w:sz w:val="20"/>
                <w:szCs w:val="20"/>
                <w:color w:val="auto"/>
              </w:rPr>
            </w:pPr>
            <w:r>
              <w:rPr>
                <w:rFonts w:ascii="Arial" w:cs="Arial" w:eastAsia="Arial" w:hAnsi="Arial"/>
                <w:sz w:val="14"/>
                <w:szCs w:val="14"/>
                <w:color w:val="auto"/>
              </w:rPr>
              <w:t>3,900,571</w:t>
            </w:r>
          </w:p>
        </w:tc>
        <w:tc>
          <w:tcPr>
            <w:tcW w:w="920" w:type="dxa"/>
            <w:vAlign w:val="bottom"/>
          </w:tcPr>
          <w:p>
            <w:pPr>
              <w:jc w:val="right"/>
              <w:ind w:right="14"/>
              <w:spacing w:after="0"/>
              <w:rPr>
                <w:sz w:val="20"/>
                <w:szCs w:val="20"/>
                <w:color w:val="auto"/>
              </w:rPr>
            </w:pPr>
            <w:r>
              <w:rPr>
                <w:rFonts w:ascii="Arial" w:cs="Arial" w:eastAsia="Arial" w:hAnsi="Arial"/>
                <w:sz w:val="14"/>
                <w:szCs w:val="14"/>
                <w:color w:val="auto"/>
              </w:rPr>
              <w:t>4,297,652</w:t>
            </w:r>
          </w:p>
        </w:tc>
        <w:tc>
          <w:tcPr>
            <w:tcW w:w="1560" w:type="dxa"/>
            <w:vAlign w:val="bottom"/>
          </w:tcPr>
          <w:p>
            <w:pPr>
              <w:jc w:val="right"/>
              <w:ind w:right="194"/>
              <w:spacing w:after="0"/>
              <w:rPr>
                <w:sz w:val="20"/>
                <w:szCs w:val="20"/>
                <w:color w:val="auto"/>
              </w:rPr>
            </w:pPr>
            <w:r>
              <w:rPr>
                <w:rFonts w:ascii="Arial" w:cs="Arial" w:eastAsia="Arial" w:hAnsi="Arial"/>
                <w:sz w:val="14"/>
                <w:szCs w:val="14"/>
                <w:color w:val="auto"/>
              </w:rPr>
              <w:t>3,238,761</w:t>
            </w:r>
          </w:p>
        </w:tc>
        <w:tc>
          <w:tcPr>
            <w:tcW w:w="1340" w:type="dxa"/>
            <w:vAlign w:val="bottom"/>
          </w:tcPr>
          <w:p>
            <w:pPr>
              <w:jc w:val="right"/>
              <w:ind w:right="177"/>
              <w:spacing w:after="0"/>
              <w:rPr>
                <w:sz w:val="20"/>
                <w:szCs w:val="20"/>
                <w:color w:val="auto"/>
              </w:rPr>
            </w:pPr>
            <w:r>
              <w:rPr>
                <w:rFonts w:ascii="Arial" w:cs="Arial" w:eastAsia="Arial" w:hAnsi="Arial"/>
                <w:sz w:val="14"/>
                <w:szCs w:val="14"/>
                <w:color w:val="auto"/>
              </w:rPr>
              <w:t>3,338,054</w:t>
            </w:r>
          </w:p>
        </w:tc>
        <w:tc>
          <w:tcPr>
            <w:tcW w:w="1180" w:type="dxa"/>
            <w:vAlign w:val="bottom"/>
          </w:tcPr>
          <w:p>
            <w:pPr>
              <w:jc w:val="right"/>
              <w:ind w:right="234"/>
              <w:spacing w:after="0"/>
              <w:rPr>
                <w:sz w:val="20"/>
                <w:szCs w:val="20"/>
                <w:color w:val="auto"/>
              </w:rPr>
            </w:pPr>
            <w:r>
              <w:rPr>
                <w:rFonts w:ascii="Arial" w:cs="Arial" w:eastAsia="Arial" w:hAnsi="Arial"/>
                <w:sz w:val="14"/>
                <w:szCs w:val="14"/>
                <w:color w:val="auto"/>
              </w:rPr>
              <w:t>110.77</w:t>
            </w:r>
          </w:p>
        </w:tc>
        <w:tc>
          <w:tcPr>
            <w:tcW w:w="1240" w:type="dxa"/>
            <w:vAlign w:val="bottom"/>
            <w:tcBorders>
              <w:right w:val="single" w:sz="8" w:color="181818"/>
            </w:tcBorders>
          </w:tcPr>
          <w:p>
            <w:pPr>
              <w:jc w:val="right"/>
              <w:ind w:right="93"/>
              <w:spacing w:after="0"/>
              <w:rPr>
                <w:sz w:val="20"/>
                <w:szCs w:val="20"/>
                <w:color w:val="auto"/>
              </w:rPr>
            </w:pPr>
            <w:r>
              <w:rPr>
                <w:rFonts w:ascii="Arial" w:cs="Arial" w:eastAsia="Arial" w:hAnsi="Arial"/>
                <w:sz w:val="14"/>
                <w:szCs w:val="14"/>
                <w:color w:val="auto"/>
              </w:rPr>
              <w:t>(11,372)</w:t>
            </w:r>
          </w:p>
        </w:tc>
      </w:tr>
      <w:tr>
        <w:trPr>
          <w:trHeight w:val="76"/>
        </w:trPr>
        <w:tc>
          <w:tcPr>
            <w:tcW w:w="640" w:type="dxa"/>
            <w:vAlign w:val="bottom"/>
            <w:tcBorders>
              <w:left w:val="single" w:sz="8" w:color="181818"/>
              <w:bottom w:val="single" w:sz="8" w:color="181818"/>
            </w:tcBorders>
          </w:tcPr>
          <w:p>
            <w:pPr>
              <w:spacing w:after="0"/>
              <w:rPr>
                <w:sz w:val="6"/>
                <w:szCs w:val="6"/>
                <w:color w:val="auto"/>
              </w:rPr>
            </w:pPr>
          </w:p>
        </w:tc>
        <w:tc>
          <w:tcPr>
            <w:tcW w:w="1520" w:type="dxa"/>
            <w:vAlign w:val="bottom"/>
            <w:tcBorders>
              <w:bottom w:val="single" w:sz="8" w:color="181818"/>
            </w:tcBorders>
          </w:tcPr>
          <w:p>
            <w:pPr>
              <w:spacing w:after="0"/>
              <w:rPr>
                <w:sz w:val="6"/>
                <w:szCs w:val="6"/>
                <w:color w:val="auto"/>
              </w:rPr>
            </w:pPr>
          </w:p>
        </w:tc>
        <w:tc>
          <w:tcPr>
            <w:tcW w:w="1140" w:type="dxa"/>
            <w:vAlign w:val="bottom"/>
            <w:tcBorders>
              <w:bottom w:val="single" w:sz="8" w:color="181818"/>
            </w:tcBorders>
          </w:tcPr>
          <w:p>
            <w:pPr>
              <w:spacing w:after="0"/>
              <w:rPr>
                <w:sz w:val="6"/>
                <w:szCs w:val="6"/>
                <w:color w:val="auto"/>
              </w:rPr>
            </w:pPr>
          </w:p>
        </w:tc>
        <w:tc>
          <w:tcPr>
            <w:tcW w:w="1740" w:type="dxa"/>
            <w:vAlign w:val="bottom"/>
            <w:tcBorders>
              <w:bottom w:val="single" w:sz="8" w:color="181818"/>
            </w:tcBorders>
          </w:tcPr>
          <w:p>
            <w:pPr>
              <w:spacing w:after="0"/>
              <w:rPr>
                <w:sz w:val="6"/>
                <w:szCs w:val="6"/>
                <w:color w:val="auto"/>
              </w:rPr>
            </w:pPr>
          </w:p>
        </w:tc>
        <w:tc>
          <w:tcPr>
            <w:tcW w:w="920" w:type="dxa"/>
            <w:vAlign w:val="bottom"/>
            <w:tcBorders>
              <w:bottom w:val="single" w:sz="8" w:color="181818"/>
            </w:tcBorders>
          </w:tcPr>
          <w:p>
            <w:pPr>
              <w:spacing w:after="0"/>
              <w:rPr>
                <w:sz w:val="6"/>
                <w:szCs w:val="6"/>
                <w:color w:val="auto"/>
              </w:rPr>
            </w:pPr>
          </w:p>
        </w:tc>
        <w:tc>
          <w:tcPr>
            <w:tcW w:w="1560" w:type="dxa"/>
            <w:vAlign w:val="bottom"/>
            <w:tcBorders>
              <w:bottom w:val="single" w:sz="8" w:color="181818"/>
            </w:tcBorders>
          </w:tcPr>
          <w:p>
            <w:pPr>
              <w:spacing w:after="0"/>
              <w:rPr>
                <w:sz w:val="6"/>
                <w:szCs w:val="6"/>
                <w:color w:val="auto"/>
              </w:rPr>
            </w:pPr>
          </w:p>
        </w:tc>
        <w:tc>
          <w:tcPr>
            <w:tcW w:w="1340" w:type="dxa"/>
            <w:vAlign w:val="bottom"/>
            <w:tcBorders>
              <w:bottom w:val="single" w:sz="8" w:color="181818"/>
            </w:tcBorders>
          </w:tcPr>
          <w:p>
            <w:pPr>
              <w:spacing w:after="0"/>
              <w:rPr>
                <w:sz w:val="6"/>
                <w:szCs w:val="6"/>
                <w:color w:val="auto"/>
              </w:rPr>
            </w:pPr>
          </w:p>
        </w:tc>
        <w:tc>
          <w:tcPr>
            <w:tcW w:w="1180" w:type="dxa"/>
            <w:vAlign w:val="bottom"/>
            <w:tcBorders>
              <w:bottom w:val="single" w:sz="8" w:color="181818"/>
            </w:tcBorders>
          </w:tcPr>
          <w:p>
            <w:pPr>
              <w:spacing w:after="0"/>
              <w:rPr>
                <w:sz w:val="6"/>
                <w:szCs w:val="6"/>
                <w:color w:val="auto"/>
              </w:rPr>
            </w:pPr>
          </w:p>
        </w:tc>
        <w:tc>
          <w:tcPr>
            <w:tcW w:w="1240" w:type="dxa"/>
            <w:vAlign w:val="bottom"/>
            <w:tcBorders>
              <w:bottom w:val="single" w:sz="8" w:color="181818"/>
              <w:right w:val="single" w:sz="8" w:color="181818"/>
            </w:tcBorders>
          </w:tcPr>
          <w:p>
            <w:pPr>
              <w:spacing w:after="0"/>
              <w:rPr>
                <w:sz w:val="6"/>
                <w:szCs w:val="6"/>
                <w:color w:val="auto"/>
              </w:rPr>
            </w:pPr>
          </w:p>
        </w:tc>
      </w:tr>
      <w:tr>
        <w:trPr>
          <w:trHeight w:val="256"/>
        </w:trPr>
        <w:tc>
          <w:tcPr>
            <w:tcW w:w="640" w:type="dxa"/>
            <w:vAlign w:val="bottom"/>
            <w:tcBorders>
              <w:left w:val="single" w:sz="8" w:color="181818"/>
            </w:tcBorders>
          </w:tcPr>
          <w:p>
            <w:pPr>
              <w:jc w:val="center"/>
              <w:spacing w:after="0"/>
              <w:rPr>
                <w:sz w:val="20"/>
                <w:szCs w:val="20"/>
                <w:color w:val="auto"/>
              </w:rPr>
            </w:pPr>
            <w:r>
              <w:rPr>
                <w:rFonts w:ascii="Arial" w:cs="Arial" w:eastAsia="Arial" w:hAnsi="Arial"/>
                <w:sz w:val="14"/>
                <w:szCs w:val="14"/>
                <w:color w:val="auto"/>
              </w:rPr>
              <w:t>2024</w:t>
            </w:r>
          </w:p>
        </w:tc>
        <w:tc>
          <w:tcPr>
            <w:tcW w:w="1520" w:type="dxa"/>
            <w:vAlign w:val="bottom"/>
          </w:tcPr>
          <w:p>
            <w:pPr>
              <w:jc w:val="right"/>
              <w:ind w:right="214"/>
              <w:spacing w:after="0"/>
              <w:rPr>
                <w:sz w:val="20"/>
                <w:szCs w:val="20"/>
                <w:color w:val="auto"/>
              </w:rPr>
            </w:pPr>
            <w:r>
              <w:rPr>
                <w:rFonts w:ascii="Arial" w:cs="Arial" w:eastAsia="Arial" w:hAnsi="Arial"/>
                <w:sz w:val="14"/>
                <w:szCs w:val="14"/>
                <w:color w:val="auto"/>
              </w:rPr>
              <w:t>3,718,723</w:t>
            </w:r>
          </w:p>
        </w:tc>
        <w:tc>
          <w:tcPr>
            <w:tcW w:w="1140" w:type="dxa"/>
            <w:vAlign w:val="bottom"/>
          </w:tcPr>
          <w:p>
            <w:pPr>
              <w:jc w:val="right"/>
              <w:ind w:right="14"/>
              <w:spacing w:after="0"/>
              <w:rPr>
                <w:sz w:val="20"/>
                <w:szCs w:val="20"/>
                <w:color w:val="auto"/>
              </w:rPr>
            </w:pPr>
            <w:r>
              <w:rPr>
                <w:rFonts w:ascii="Arial" w:cs="Arial" w:eastAsia="Arial" w:hAnsi="Arial"/>
                <w:sz w:val="14"/>
                <w:szCs w:val="14"/>
                <w:color w:val="auto"/>
              </w:rPr>
              <w:t>3,230,422</w:t>
            </w:r>
          </w:p>
        </w:tc>
        <w:tc>
          <w:tcPr>
            <w:tcW w:w="1740" w:type="dxa"/>
            <w:vAlign w:val="bottom"/>
          </w:tcPr>
          <w:p>
            <w:pPr>
              <w:jc w:val="right"/>
              <w:ind w:right="434"/>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94"/>
              <w:spacing w:after="0"/>
              <w:rPr>
                <w:sz w:val="20"/>
                <w:szCs w:val="20"/>
                <w:color w:val="auto"/>
              </w:rPr>
            </w:pPr>
            <w:r>
              <w:rPr>
                <w:rFonts w:ascii="Arial" w:cs="Arial" w:eastAsia="Arial" w:hAnsi="Arial"/>
                <w:sz w:val="14"/>
                <w:szCs w:val="14"/>
                <w:color w:val="auto"/>
              </w:rPr>
              <w:t>2,849,180</w:t>
            </w:r>
          </w:p>
        </w:tc>
        <w:tc>
          <w:tcPr>
            <w:tcW w:w="1340" w:type="dxa"/>
            <w:vAlign w:val="bottom"/>
          </w:tcPr>
          <w:p>
            <w:pPr>
              <w:jc w:val="right"/>
              <w:ind w:right="177"/>
              <w:spacing w:after="0"/>
              <w:rPr>
                <w:sz w:val="20"/>
                <w:szCs w:val="20"/>
                <w:color w:val="auto"/>
              </w:rPr>
            </w:pPr>
            <w:r>
              <w:rPr>
                <w:rFonts w:ascii="Arial" w:cs="Arial" w:eastAsia="Arial" w:hAnsi="Arial"/>
                <w:sz w:val="14"/>
                <w:szCs w:val="14"/>
                <w:color w:val="auto"/>
              </w:rPr>
              <w:t>2,735,156</w:t>
            </w:r>
          </w:p>
        </w:tc>
        <w:tc>
          <w:tcPr>
            <w:tcW w:w="1180" w:type="dxa"/>
            <w:vAlign w:val="bottom"/>
          </w:tcPr>
          <w:p>
            <w:pPr>
              <w:jc w:val="right"/>
              <w:ind w:right="234"/>
              <w:spacing w:after="0"/>
              <w:rPr>
                <w:sz w:val="20"/>
                <w:szCs w:val="20"/>
                <w:color w:val="auto"/>
              </w:rPr>
            </w:pPr>
            <w:r>
              <w:rPr>
                <w:rFonts w:ascii="Arial" w:cs="Arial" w:eastAsia="Arial" w:hAnsi="Arial"/>
                <w:sz w:val="14"/>
                <w:szCs w:val="14"/>
                <w:color w:val="auto"/>
              </w:rPr>
              <w:t>101.73</w:t>
            </w:r>
          </w:p>
        </w:tc>
        <w:tc>
          <w:tcPr>
            <w:tcW w:w="1240" w:type="dxa"/>
            <w:vAlign w:val="bottom"/>
            <w:tcBorders>
              <w:right w:val="single" w:sz="8" w:color="181818"/>
            </w:tcBorders>
          </w:tcPr>
          <w:p>
            <w:pPr>
              <w:jc w:val="right"/>
              <w:ind w:right="93"/>
              <w:spacing w:after="0"/>
              <w:rPr>
                <w:sz w:val="20"/>
                <w:szCs w:val="20"/>
                <w:color w:val="auto"/>
              </w:rPr>
            </w:pPr>
            <w:r>
              <w:rPr>
                <w:rFonts w:ascii="Arial" w:cs="Arial" w:eastAsia="Arial" w:hAnsi="Arial"/>
                <w:sz w:val="14"/>
                <w:szCs w:val="14"/>
                <w:color w:val="auto"/>
              </w:rPr>
              <w:t>(9,128)</w:t>
            </w:r>
          </w:p>
        </w:tc>
      </w:tr>
      <w:tr>
        <w:trPr>
          <w:trHeight w:val="75"/>
        </w:trPr>
        <w:tc>
          <w:tcPr>
            <w:tcW w:w="640" w:type="dxa"/>
            <w:vAlign w:val="bottom"/>
            <w:tcBorders>
              <w:left w:val="single" w:sz="8" w:color="181818"/>
              <w:bottom w:val="single" w:sz="8" w:color="181818"/>
            </w:tcBorders>
          </w:tcPr>
          <w:p>
            <w:pPr>
              <w:spacing w:after="0"/>
              <w:rPr>
                <w:sz w:val="6"/>
                <w:szCs w:val="6"/>
                <w:color w:val="auto"/>
              </w:rPr>
            </w:pPr>
          </w:p>
        </w:tc>
        <w:tc>
          <w:tcPr>
            <w:tcW w:w="1520" w:type="dxa"/>
            <w:vAlign w:val="bottom"/>
            <w:tcBorders>
              <w:bottom w:val="single" w:sz="8" w:color="181818"/>
            </w:tcBorders>
          </w:tcPr>
          <w:p>
            <w:pPr>
              <w:spacing w:after="0"/>
              <w:rPr>
                <w:sz w:val="6"/>
                <w:szCs w:val="6"/>
                <w:color w:val="auto"/>
              </w:rPr>
            </w:pPr>
          </w:p>
        </w:tc>
        <w:tc>
          <w:tcPr>
            <w:tcW w:w="1140" w:type="dxa"/>
            <w:vAlign w:val="bottom"/>
            <w:tcBorders>
              <w:bottom w:val="single" w:sz="8" w:color="181818"/>
            </w:tcBorders>
          </w:tcPr>
          <w:p>
            <w:pPr>
              <w:spacing w:after="0"/>
              <w:rPr>
                <w:sz w:val="6"/>
                <w:szCs w:val="6"/>
                <w:color w:val="auto"/>
              </w:rPr>
            </w:pPr>
          </w:p>
        </w:tc>
        <w:tc>
          <w:tcPr>
            <w:tcW w:w="1740" w:type="dxa"/>
            <w:vAlign w:val="bottom"/>
            <w:tcBorders>
              <w:bottom w:val="single" w:sz="8" w:color="181818"/>
            </w:tcBorders>
          </w:tcPr>
          <w:p>
            <w:pPr>
              <w:spacing w:after="0"/>
              <w:rPr>
                <w:sz w:val="6"/>
                <w:szCs w:val="6"/>
                <w:color w:val="auto"/>
              </w:rPr>
            </w:pPr>
          </w:p>
        </w:tc>
        <w:tc>
          <w:tcPr>
            <w:tcW w:w="920" w:type="dxa"/>
            <w:vAlign w:val="bottom"/>
            <w:tcBorders>
              <w:bottom w:val="single" w:sz="8" w:color="181818"/>
            </w:tcBorders>
          </w:tcPr>
          <w:p>
            <w:pPr>
              <w:spacing w:after="0"/>
              <w:rPr>
                <w:sz w:val="6"/>
                <w:szCs w:val="6"/>
                <w:color w:val="auto"/>
              </w:rPr>
            </w:pPr>
          </w:p>
        </w:tc>
        <w:tc>
          <w:tcPr>
            <w:tcW w:w="1560" w:type="dxa"/>
            <w:vAlign w:val="bottom"/>
            <w:tcBorders>
              <w:bottom w:val="single" w:sz="8" w:color="181818"/>
            </w:tcBorders>
          </w:tcPr>
          <w:p>
            <w:pPr>
              <w:spacing w:after="0"/>
              <w:rPr>
                <w:sz w:val="6"/>
                <w:szCs w:val="6"/>
                <w:color w:val="auto"/>
              </w:rPr>
            </w:pPr>
          </w:p>
        </w:tc>
        <w:tc>
          <w:tcPr>
            <w:tcW w:w="1340" w:type="dxa"/>
            <w:vAlign w:val="bottom"/>
            <w:tcBorders>
              <w:bottom w:val="single" w:sz="8" w:color="181818"/>
            </w:tcBorders>
          </w:tcPr>
          <w:p>
            <w:pPr>
              <w:spacing w:after="0"/>
              <w:rPr>
                <w:sz w:val="6"/>
                <w:szCs w:val="6"/>
                <w:color w:val="auto"/>
              </w:rPr>
            </w:pPr>
          </w:p>
        </w:tc>
        <w:tc>
          <w:tcPr>
            <w:tcW w:w="1180" w:type="dxa"/>
            <w:vAlign w:val="bottom"/>
            <w:tcBorders>
              <w:bottom w:val="single" w:sz="8" w:color="181818"/>
            </w:tcBorders>
          </w:tcPr>
          <w:p>
            <w:pPr>
              <w:spacing w:after="0"/>
              <w:rPr>
                <w:sz w:val="6"/>
                <w:szCs w:val="6"/>
                <w:color w:val="auto"/>
              </w:rPr>
            </w:pPr>
          </w:p>
        </w:tc>
        <w:tc>
          <w:tcPr>
            <w:tcW w:w="1240" w:type="dxa"/>
            <w:vAlign w:val="bottom"/>
            <w:tcBorders>
              <w:bottom w:val="single" w:sz="8" w:color="181818"/>
              <w:right w:val="single" w:sz="8" w:color="181818"/>
            </w:tcBorders>
          </w:tcPr>
          <w:p>
            <w:pPr>
              <w:spacing w:after="0"/>
              <w:rPr>
                <w:sz w:val="6"/>
                <w:szCs w:val="6"/>
                <w:color w:val="auto"/>
              </w:rPr>
            </w:pPr>
          </w:p>
        </w:tc>
      </w:tr>
    </w:tbl>
    <w:p>
      <w:pPr>
        <w:spacing w:after="0" w:line="149" w:lineRule="exact"/>
        <w:rPr>
          <w:sz w:val="20"/>
          <w:szCs w:val="20"/>
          <w:color w:val="auto"/>
        </w:rPr>
      </w:pPr>
    </w:p>
    <w:p>
      <w:pPr>
        <w:ind w:left="307" w:hanging="307"/>
        <w:spacing w:after="0"/>
        <w:tabs>
          <w:tab w:leader="none" w:pos="307" w:val="left"/>
        </w:tabs>
        <w:numPr>
          <w:ilvl w:val="0"/>
          <w:numId w:val="58"/>
        </w:numPr>
        <w:rPr>
          <w:rFonts w:ascii="Arial" w:cs="Arial" w:eastAsia="Arial" w:hAnsi="Arial"/>
          <w:sz w:val="14"/>
          <w:szCs w:val="14"/>
          <w:b w:val="1"/>
          <w:bCs w:val="1"/>
          <w:color w:val="181818"/>
        </w:rPr>
      </w:pPr>
      <w:r>
        <w:rPr>
          <w:rFonts w:ascii="Arial" w:cs="Arial" w:eastAsia="Arial" w:hAnsi="Arial"/>
          <w:sz w:val="14"/>
          <w:szCs w:val="14"/>
          <w:color w:val="auto"/>
        </w:rPr>
        <w:t>Represents compensation amounts reported in the “Summary Compensation Table” disclosed above for our former principal executive officer (“PEO”), Robert H. Schwartz.</w:t>
      </w:r>
    </w:p>
    <w:p>
      <w:pPr>
        <w:spacing w:after="0" w:line="82" w:lineRule="exact"/>
        <w:rPr>
          <w:rFonts w:ascii="Arial" w:cs="Arial" w:eastAsia="Arial" w:hAnsi="Arial"/>
          <w:sz w:val="14"/>
          <w:szCs w:val="14"/>
          <w:b w:val="1"/>
          <w:bCs w:val="1"/>
          <w:color w:val="181818"/>
        </w:rPr>
      </w:pPr>
    </w:p>
    <w:p>
      <w:pPr>
        <w:ind w:left="327" w:right="200" w:hanging="327"/>
        <w:spacing w:after="0" w:line="320" w:lineRule="auto"/>
        <w:tabs>
          <w:tab w:leader="none" w:pos="295" w:val="left"/>
        </w:tabs>
        <w:numPr>
          <w:ilvl w:val="0"/>
          <w:numId w:val="58"/>
        </w:numPr>
        <w:rPr>
          <w:rFonts w:ascii="Arial" w:cs="Arial" w:eastAsia="Arial" w:hAnsi="Arial"/>
          <w:sz w:val="14"/>
          <w:szCs w:val="14"/>
          <w:b w:val="1"/>
          <w:bCs w:val="1"/>
          <w:color w:val="181818"/>
        </w:rPr>
      </w:pPr>
      <w:r>
        <w:rPr>
          <w:rFonts w:ascii="Arial" w:cs="Arial" w:eastAsia="Arial" w:hAnsi="Arial"/>
          <w:sz w:val="14"/>
          <w:szCs w:val="14"/>
          <w:color w:val="auto"/>
        </w:rPr>
        <w:t>CAP to our PEO for each year shown reflects the respective amounts from the Summary Compensation Table ("SCT"), adjusted, as noted below, in accordance with SEC rules. The amount included in column (b) above does not reflect the actual amount earned by, or paid to, our PEO for each of the fiscal years shown.</w:t>
      </w:r>
    </w:p>
    <w:p>
      <w:pPr>
        <w:spacing w:after="0" w:line="2" w:lineRule="exact"/>
        <w:rPr>
          <w:rFonts w:ascii="Arial" w:cs="Arial" w:eastAsia="Arial" w:hAnsi="Arial"/>
          <w:sz w:val="14"/>
          <w:szCs w:val="14"/>
          <w:b w:val="1"/>
          <w:bCs w:val="1"/>
          <w:color w:val="181818"/>
        </w:rPr>
      </w:pPr>
    </w:p>
    <w:p>
      <w:pPr>
        <w:ind w:left="287" w:hanging="287"/>
        <w:spacing w:after="0"/>
        <w:tabs>
          <w:tab w:leader="none" w:pos="287" w:val="left"/>
        </w:tabs>
        <w:numPr>
          <w:ilvl w:val="0"/>
          <w:numId w:val="58"/>
        </w:numPr>
        <w:rPr>
          <w:rFonts w:ascii="Arial" w:cs="Arial" w:eastAsia="Arial" w:hAnsi="Arial"/>
          <w:sz w:val="14"/>
          <w:szCs w:val="14"/>
          <w:b w:val="1"/>
          <w:bCs w:val="1"/>
          <w:color w:val="181818"/>
        </w:rPr>
      </w:pPr>
      <w:r>
        <w:rPr>
          <w:rFonts w:ascii="Arial" w:cs="Arial" w:eastAsia="Arial" w:hAnsi="Arial"/>
          <w:sz w:val="14"/>
          <w:szCs w:val="14"/>
          <w:color w:val="auto"/>
        </w:rPr>
        <w:t>Represents compensation amounts reported in the “Summary Compensation Table” disclosed above for our current PEO, Scott A. Lang.</w:t>
      </w:r>
    </w:p>
    <w:p>
      <w:pPr>
        <w:spacing w:after="0" w:line="136" w:lineRule="exact"/>
        <w:rPr>
          <w:sz w:val="20"/>
          <w:szCs w:val="20"/>
          <w:color w:val="auto"/>
        </w:rPr>
      </w:pPr>
    </w:p>
    <w:p>
      <w:pPr>
        <w:ind w:left="327"/>
        <w:spacing w:after="0"/>
        <w:rPr>
          <w:sz w:val="20"/>
          <w:szCs w:val="20"/>
          <w:color w:val="auto"/>
        </w:rPr>
      </w:pPr>
      <w:r>
        <w:rPr>
          <w:rFonts w:ascii="Arial" w:cs="Arial" w:eastAsia="Arial" w:hAnsi="Arial"/>
          <w:sz w:val="14"/>
          <w:szCs w:val="14"/>
          <w:color w:val="auto"/>
        </w:rPr>
        <w:t>The following table reflects the adjustments made to determine the compensation actually paid to our PEO:</w:t>
      </w:r>
    </w:p>
    <w:p>
      <w:pPr>
        <w:spacing w:after="0" w:line="102" w:lineRule="exact"/>
        <w:rPr>
          <w:sz w:val="20"/>
          <w:szCs w:val="20"/>
          <w:color w:val="auto"/>
        </w:rPr>
      </w:pPr>
    </w:p>
    <w:tbl>
      <w:tblPr>
        <w:tblLayout w:type="fixed"/>
        <w:tblInd w:w="337" w:type="dxa"/>
        <w:tblCellMar>
          <w:top w:w="0" w:type="dxa"/>
          <w:left w:w="0" w:type="dxa"/>
          <w:bottom w:w="0" w:type="dxa"/>
          <w:right w:w="0" w:type="dxa"/>
        </w:tblCellMar>
      </w:tblPr>
      <w:tr>
        <w:trPr>
          <w:trHeight w:val="201"/>
        </w:trPr>
        <w:tc>
          <w:tcPr>
            <w:tcW w:w="4920" w:type="dxa"/>
            <w:vAlign w:val="bottom"/>
            <w:tcBorders>
              <w:top w:val="single" w:sz="8" w:color="181818"/>
              <w:left w:val="single" w:sz="8" w:color="181818"/>
            </w:tcBorders>
            <w:shd w:val="clear" w:color="auto" w:fill="1B6F80"/>
          </w:tcPr>
          <w:p>
            <w:pPr>
              <w:spacing w:after="0"/>
              <w:rPr>
                <w:sz w:val="17"/>
                <w:szCs w:val="17"/>
                <w:color w:val="auto"/>
              </w:rPr>
            </w:pPr>
          </w:p>
        </w:tc>
        <w:tc>
          <w:tcPr>
            <w:tcW w:w="1640" w:type="dxa"/>
            <w:vAlign w:val="bottom"/>
            <w:tcBorders>
              <w:top w:val="single" w:sz="8" w:color="181818"/>
            </w:tcBorders>
            <w:shd w:val="clear" w:color="auto" w:fill="1B6F80"/>
          </w:tcPr>
          <w:p>
            <w:pPr>
              <w:jc w:val="right"/>
              <w:ind w:right="208"/>
              <w:spacing w:after="0"/>
              <w:rPr>
                <w:sz w:val="20"/>
                <w:szCs w:val="20"/>
                <w:color w:val="auto"/>
              </w:rPr>
            </w:pPr>
            <w:r>
              <w:rPr>
                <w:rFonts w:ascii="Arial" w:cs="Arial" w:eastAsia="Arial" w:hAnsi="Arial"/>
                <w:sz w:val="14"/>
                <w:szCs w:val="14"/>
                <w:b w:val="1"/>
                <w:bCs w:val="1"/>
                <w:color w:val="FFFFFF"/>
              </w:rPr>
              <w:t>2024</w:t>
            </w:r>
          </w:p>
        </w:tc>
        <w:tc>
          <w:tcPr>
            <w:tcW w:w="1400" w:type="dxa"/>
            <w:vAlign w:val="bottom"/>
            <w:tcBorders>
              <w:top w:val="single" w:sz="8" w:color="181818"/>
            </w:tcBorders>
            <w:shd w:val="clear" w:color="auto" w:fill="1B6F80"/>
          </w:tcPr>
          <w:p>
            <w:pPr>
              <w:jc w:val="right"/>
              <w:ind w:right="228"/>
              <w:spacing w:after="0"/>
              <w:rPr>
                <w:sz w:val="20"/>
                <w:szCs w:val="20"/>
                <w:color w:val="auto"/>
              </w:rPr>
            </w:pPr>
            <w:r>
              <w:rPr>
                <w:rFonts w:ascii="Arial" w:cs="Arial" w:eastAsia="Arial" w:hAnsi="Arial"/>
                <w:sz w:val="14"/>
                <w:szCs w:val="14"/>
                <w:b w:val="1"/>
                <w:bCs w:val="1"/>
                <w:color w:val="FFFFFF"/>
              </w:rPr>
              <w:t>2025</w:t>
            </w:r>
          </w:p>
        </w:tc>
        <w:tc>
          <w:tcPr>
            <w:tcW w:w="1380" w:type="dxa"/>
            <w:vAlign w:val="bottom"/>
            <w:tcBorders>
              <w:top w:val="single" w:sz="8" w:color="181818"/>
            </w:tcBorders>
            <w:shd w:val="clear" w:color="auto" w:fill="1B6F80"/>
          </w:tcPr>
          <w:p>
            <w:pPr>
              <w:jc w:val="right"/>
              <w:ind w:right="248"/>
              <w:spacing w:after="0"/>
              <w:rPr>
                <w:sz w:val="20"/>
                <w:szCs w:val="20"/>
                <w:color w:val="auto"/>
              </w:rPr>
            </w:pPr>
            <w:r>
              <w:rPr>
                <w:rFonts w:ascii="Arial" w:cs="Arial" w:eastAsia="Arial" w:hAnsi="Arial"/>
                <w:sz w:val="14"/>
                <w:szCs w:val="14"/>
                <w:b w:val="1"/>
                <w:bCs w:val="1"/>
                <w:color w:val="FFFFFF"/>
              </w:rPr>
              <w:t>2025</w:t>
            </w:r>
          </w:p>
        </w:tc>
        <w:tc>
          <w:tcPr>
            <w:tcW w:w="120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2026</w:t>
            </w:r>
          </w:p>
        </w:tc>
        <w:tc>
          <w:tcPr>
            <w:tcW w:w="0" w:type="dxa"/>
            <w:vAlign w:val="bottom"/>
          </w:tcPr>
          <w:p>
            <w:pPr>
              <w:spacing w:after="0"/>
              <w:rPr>
                <w:sz w:val="1"/>
                <w:szCs w:val="1"/>
                <w:color w:val="auto"/>
              </w:rPr>
            </w:pPr>
          </w:p>
        </w:tc>
      </w:tr>
      <w:tr>
        <w:trPr>
          <w:trHeight w:val="202"/>
        </w:trPr>
        <w:tc>
          <w:tcPr>
            <w:tcW w:w="4920" w:type="dxa"/>
            <w:vAlign w:val="bottom"/>
            <w:tcBorders>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Year</w:t>
            </w:r>
          </w:p>
        </w:tc>
        <w:tc>
          <w:tcPr>
            <w:tcW w:w="1640" w:type="dxa"/>
            <w:vAlign w:val="bottom"/>
            <w:shd w:val="clear" w:color="auto" w:fill="1B6F80"/>
          </w:tcPr>
          <w:p>
            <w:pPr>
              <w:jc w:val="right"/>
              <w:ind w:right="20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1B6F80"/>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1B6F80"/>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70"/>
        </w:trPr>
        <w:tc>
          <w:tcPr>
            <w:tcW w:w="4920" w:type="dxa"/>
            <w:vAlign w:val="bottom"/>
            <w:tcBorders>
              <w:left w:val="single" w:sz="8" w:color="181818"/>
            </w:tcBorders>
            <w:shd w:val="clear" w:color="auto" w:fill="1B6F80"/>
          </w:tcPr>
          <w:p>
            <w:pPr>
              <w:spacing w:after="0"/>
              <w:rPr>
                <w:sz w:val="6"/>
                <w:szCs w:val="6"/>
                <w:color w:val="auto"/>
              </w:rPr>
            </w:pPr>
          </w:p>
        </w:tc>
        <w:tc>
          <w:tcPr>
            <w:tcW w:w="1640" w:type="dxa"/>
            <w:vAlign w:val="bottom"/>
            <w:shd w:val="clear" w:color="auto" w:fill="1B6F80"/>
          </w:tcPr>
          <w:p>
            <w:pPr>
              <w:spacing w:after="0"/>
              <w:rPr>
                <w:sz w:val="6"/>
                <w:szCs w:val="6"/>
                <w:color w:val="auto"/>
              </w:rPr>
            </w:pPr>
          </w:p>
        </w:tc>
        <w:tc>
          <w:tcPr>
            <w:tcW w:w="1400" w:type="dxa"/>
            <w:vAlign w:val="bottom"/>
            <w:shd w:val="clear" w:color="auto" w:fill="1B6F80"/>
          </w:tcPr>
          <w:p>
            <w:pPr>
              <w:spacing w:after="0"/>
              <w:rPr>
                <w:sz w:val="6"/>
                <w:szCs w:val="6"/>
                <w:color w:val="auto"/>
              </w:rPr>
            </w:pPr>
          </w:p>
        </w:tc>
        <w:tc>
          <w:tcPr>
            <w:tcW w:w="1380" w:type="dxa"/>
            <w:vAlign w:val="bottom"/>
            <w:shd w:val="clear" w:color="auto" w:fill="1B6F80"/>
          </w:tcPr>
          <w:p>
            <w:pPr>
              <w:spacing w:after="0"/>
              <w:rPr>
                <w:sz w:val="6"/>
                <w:szCs w:val="6"/>
                <w:color w:val="auto"/>
              </w:rPr>
            </w:pPr>
          </w:p>
        </w:tc>
        <w:tc>
          <w:tcPr>
            <w:tcW w:w="1200" w:type="dxa"/>
            <w:vAlign w:val="bottom"/>
            <w:tcBorders>
              <w:right w:val="single" w:sz="8" w:color="181818"/>
            </w:tcBorders>
            <w:shd w:val="clear" w:color="auto" w:fill="1B6F80"/>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4920" w:type="dxa"/>
            <w:vAlign w:val="bottom"/>
            <w:tcBorders>
              <w:left w:val="single" w:sz="8" w:color="181818"/>
            </w:tcBorders>
            <w:shd w:val="clear" w:color="auto" w:fill="AED0C7"/>
          </w:tcPr>
          <w:p>
            <w:pPr>
              <w:ind w:left="100"/>
              <w:spacing w:after="0"/>
              <w:rPr>
                <w:sz w:val="20"/>
                <w:szCs w:val="20"/>
                <w:color w:val="auto"/>
              </w:rPr>
            </w:pPr>
            <w:r>
              <w:rPr>
                <w:rFonts w:ascii="Arial" w:cs="Arial" w:eastAsia="Arial" w:hAnsi="Arial"/>
                <w:sz w:val="14"/>
                <w:szCs w:val="14"/>
                <w:b w:val="1"/>
                <w:bCs w:val="1"/>
                <w:color w:val="181818"/>
              </w:rPr>
              <w:t>PEO</w:t>
            </w:r>
          </w:p>
        </w:tc>
        <w:tc>
          <w:tcPr>
            <w:tcW w:w="1640" w:type="dxa"/>
            <w:vAlign w:val="bottom"/>
            <w:shd w:val="clear" w:color="auto" w:fill="AED0C7"/>
          </w:tcPr>
          <w:p>
            <w:pPr>
              <w:jc w:val="right"/>
              <w:ind w:right="208"/>
              <w:spacing w:after="0"/>
              <w:rPr>
                <w:sz w:val="20"/>
                <w:szCs w:val="20"/>
                <w:color w:val="auto"/>
              </w:rPr>
            </w:pPr>
            <w:r>
              <w:rPr>
                <w:rFonts w:ascii="Arial" w:cs="Arial" w:eastAsia="Arial" w:hAnsi="Arial"/>
                <w:sz w:val="14"/>
                <w:szCs w:val="14"/>
                <w:b w:val="1"/>
                <w:bCs w:val="1"/>
                <w:color w:val="181818"/>
              </w:rPr>
              <w:t>R. Schwartz</w:t>
            </w:r>
          </w:p>
        </w:tc>
        <w:tc>
          <w:tcPr>
            <w:tcW w:w="1400" w:type="dxa"/>
            <w:vAlign w:val="bottom"/>
            <w:shd w:val="clear" w:color="auto" w:fill="AED0C7"/>
          </w:tcPr>
          <w:p>
            <w:pPr>
              <w:jc w:val="right"/>
              <w:ind w:right="228"/>
              <w:spacing w:after="0"/>
              <w:rPr>
                <w:sz w:val="20"/>
                <w:szCs w:val="20"/>
                <w:color w:val="auto"/>
              </w:rPr>
            </w:pPr>
            <w:r>
              <w:rPr>
                <w:rFonts w:ascii="Arial" w:cs="Arial" w:eastAsia="Arial" w:hAnsi="Arial"/>
                <w:sz w:val="14"/>
                <w:szCs w:val="14"/>
                <w:b w:val="1"/>
                <w:bCs w:val="1"/>
                <w:color w:val="181818"/>
              </w:rPr>
              <w:t>R. Schwartz</w:t>
            </w:r>
          </w:p>
        </w:tc>
        <w:tc>
          <w:tcPr>
            <w:tcW w:w="1380" w:type="dxa"/>
            <w:vAlign w:val="bottom"/>
            <w:shd w:val="clear" w:color="auto" w:fill="AED0C7"/>
          </w:tcPr>
          <w:p>
            <w:pPr>
              <w:jc w:val="right"/>
              <w:ind w:right="248"/>
              <w:spacing w:after="0"/>
              <w:rPr>
                <w:sz w:val="20"/>
                <w:szCs w:val="20"/>
                <w:color w:val="auto"/>
              </w:rPr>
            </w:pPr>
            <w:r>
              <w:rPr>
                <w:rFonts w:ascii="Arial" w:cs="Arial" w:eastAsia="Arial" w:hAnsi="Arial"/>
                <w:sz w:val="14"/>
                <w:szCs w:val="14"/>
                <w:b w:val="1"/>
                <w:bCs w:val="1"/>
                <w:color w:val="181818"/>
              </w:rPr>
              <w:t>S. Lang</w:t>
            </w:r>
          </w:p>
        </w:tc>
        <w:tc>
          <w:tcPr>
            <w:tcW w:w="1200" w:type="dxa"/>
            <w:vAlign w:val="bottom"/>
            <w:tcBorders>
              <w:right w:val="single" w:sz="8" w:color="181818"/>
            </w:tcBorders>
            <w:shd w:val="clear" w:color="auto" w:fill="AED0C7"/>
          </w:tcPr>
          <w:p>
            <w:pPr>
              <w:jc w:val="right"/>
              <w:ind w:right="68"/>
              <w:spacing w:after="0"/>
              <w:rPr>
                <w:sz w:val="20"/>
                <w:szCs w:val="20"/>
                <w:color w:val="auto"/>
              </w:rPr>
            </w:pPr>
            <w:r>
              <w:rPr>
                <w:rFonts w:ascii="Arial" w:cs="Arial" w:eastAsia="Arial" w:hAnsi="Arial"/>
                <w:sz w:val="14"/>
                <w:szCs w:val="14"/>
                <w:b w:val="1"/>
                <w:bCs w:val="1"/>
                <w:color w:val="181818"/>
              </w:rPr>
              <w:t>S. Lang</w:t>
            </w:r>
          </w:p>
        </w:tc>
        <w:tc>
          <w:tcPr>
            <w:tcW w:w="0" w:type="dxa"/>
            <w:vAlign w:val="bottom"/>
          </w:tcPr>
          <w:p>
            <w:pPr>
              <w:spacing w:after="0"/>
              <w:rPr>
                <w:sz w:val="1"/>
                <w:szCs w:val="1"/>
                <w:color w:val="auto"/>
              </w:rPr>
            </w:pPr>
          </w:p>
        </w:tc>
      </w:tr>
      <w:tr>
        <w:trPr>
          <w:trHeight w:val="70"/>
        </w:trPr>
        <w:tc>
          <w:tcPr>
            <w:tcW w:w="4920" w:type="dxa"/>
            <w:vAlign w:val="bottom"/>
            <w:tcBorders>
              <w:left w:val="single" w:sz="8" w:color="181818"/>
            </w:tcBorders>
            <w:shd w:val="clear" w:color="auto" w:fill="AED0C7"/>
          </w:tcPr>
          <w:p>
            <w:pPr>
              <w:spacing w:after="0"/>
              <w:rPr>
                <w:sz w:val="6"/>
                <w:szCs w:val="6"/>
                <w:color w:val="auto"/>
              </w:rPr>
            </w:pPr>
          </w:p>
        </w:tc>
        <w:tc>
          <w:tcPr>
            <w:tcW w:w="1640" w:type="dxa"/>
            <w:vAlign w:val="bottom"/>
            <w:shd w:val="clear" w:color="auto" w:fill="AED0C7"/>
          </w:tcPr>
          <w:p>
            <w:pPr>
              <w:spacing w:after="0"/>
              <w:rPr>
                <w:sz w:val="6"/>
                <w:szCs w:val="6"/>
                <w:color w:val="auto"/>
              </w:rPr>
            </w:pPr>
          </w:p>
        </w:tc>
        <w:tc>
          <w:tcPr>
            <w:tcW w:w="1400" w:type="dxa"/>
            <w:vAlign w:val="bottom"/>
            <w:shd w:val="clear" w:color="auto" w:fill="AED0C7"/>
          </w:tcPr>
          <w:p>
            <w:pPr>
              <w:spacing w:after="0"/>
              <w:rPr>
                <w:sz w:val="6"/>
                <w:szCs w:val="6"/>
                <w:color w:val="auto"/>
              </w:rPr>
            </w:pPr>
          </w:p>
        </w:tc>
        <w:tc>
          <w:tcPr>
            <w:tcW w:w="1380" w:type="dxa"/>
            <w:vAlign w:val="bottom"/>
            <w:shd w:val="clear" w:color="auto" w:fill="AED0C7"/>
          </w:tcPr>
          <w:p>
            <w:pPr>
              <w:spacing w:after="0"/>
              <w:rPr>
                <w:sz w:val="6"/>
                <w:szCs w:val="6"/>
                <w:color w:val="auto"/>
              </w:rPr>
            </w:pPr>
          </w:p>
        </w:tc>
        <w:tc>
          <w:tcPr>
            <w:tcW w:w="1200" w:type="dxa"/>
            <w:vAlign w:val="bottom"/>
            <w:tcBorders>
              <w:right w:val="single" w:sz="8" w:color="181818"/>
            </w:tcBorders>
            <w:shd w:val="clear" w:color="auto" w:fill="AED0C7"/>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492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SCT Total Compensation</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3,718,723</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2,780,039</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3,900,571</w:t>
            </w:r>
          </w:p>
        </w:tc>
        <w:tc>
          <w:tcPr>
            <w:tcW w:w="120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3,808,874</w:t>
            </w:r>
          </w:p>
        </w:tc>
        <w:tc>
          <w:tcPr>
            <w:tcW w:w="0" w:type="dxa"/>
            <w:vAlign w:val="bottom"/>
          </w:tcPr>
          <w:p>
            <w:pPr>
              <w:spacing w:after="0"/>
              <w:rPr>
                <w:sz w:val="1"/>
                <w:szCs w:val="1"/>
                <w:color w:val="auto"/>
              </w:rPr>
            </w:pPr>
          </w:p>
        </w:tc>
      </w:tr>
      <w:tr>
        <w:trPr>
          <w:trHeight w:val="62"/>
        </w:trPr>
        <w:tc>
          <w:tcPr>
            <w:tcW w:w="4920" w:type="dxa"/>
            <w:vAlign w:val="bottom"/>
            <w:tcBorders>
              <w:left w:val="single" w:sz="8" w:color="181818"/>
              <w:bottom w:val="single" w:sz="8" w:color="181818"/>
            </w:tcBorders>
          </w:tcPr>
          <w:p>
            <w:pPr>
              <w:spacing w:after="0"/>
              <w:rPr>
                <w:sz w:val="5"/>
                <w:szCs w:val="5"/>
                <w:color w:val="auto"/>
              </w:rPr>
            </w:pPr>
          </w:p>
        </w:tc>
        <w:tc>
          <w:tcPr>
            <w:tcW w:w="1640" w:type="dxa"/>
            <w:vAlign w:val="bottom"/>
            <w:tcBorders>
              <w:bottom w:val="single" w:sz="8" w:color="181818"/>
            </w:tcBorders>
          </w:tcPr>
          <w:p>
            <w:pPr>
              <w:spacing w:after="0"/>
              <w:rPr>
                <w:sz w:val="5"/>
                <w:szCs w:val="5"/>
                <w:color w:val="auto"/>
              </w:rPr>
            </w:pPr>
          </w:p>
        </w:tc>
        <w:tc>
          <w:tcPr>
            <w:tcW w:w="1400" w:type="dxa"/>
            <w:vAlign w:val="bottom"/>
            <w:tcBorders>
              <w:bottom w:val="single" w:sz="8" w:color="181818"/>
            </w:tcBorders>
          </w:tcPr>
          <w:p>
            <w:pPr>
              <w:spacing w:after="0"/>
              <w:rPr>
                <w:sz w:val="5"/>
                <w:szCs w:val="5"/>
                <w:color w:val="auto"/>
              </w:rPr>
            </w:pPr>
          </w:p>
        </w:tc>
        <w:tc>
          <w:tcPr>
            <w:tcW w:w="1380" w:type="dxa"/>
            <w:vAlign w:val="bottom"/>
            <w:tcBorders>
              <w:bottom w:val="single" w:sz="8" w:color="181818"/>
            </w:tcBorders>
          </w:tcPr>
          <w:p>
            <w:pPr>
              <w:spacing w:after="0"/>
              <w:rPr>
                <w:sz w:val="5"/>
                <w:szCs w:val="5"/>
                <w:color w:val="auto"/>
              </w:rPr>
            </w:pPr>
          </w:p>
        </w:tc>
        <w:tc>
          <w:tcPr>
            <w:tcW w:w="1200" w:type="dxa"/>
            <w:vAlign w:val="bottom"/>
            <w:tcBorders>
              <w:bottom w:val="single" w:sz="8" w:color="181818"/>
              <w:right w:val="single" w:sz="8" w:color="181818"/>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92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Less: Stock award values reported in SCT for the Covered Year</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(3,100,023)</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48"/>
              <w:spacing w:after="0"/>
              <w:rPr>
                <w:sz w:val="20"/>
                <w:szCs w:val="20"/>
                <w:color w:val="auto"/>
              </w:rPr>
            </w:pPr>
            <w:r>
              <w:rPr>
                <w:rFonts w:ascii="Arial" w:cs="Arial" w:eastAsia="Arial" w:hAnsi="Arial"/>
                <w:sz w:val="14"/>
                <w:szCs w:val="14"/>
                <w:color w:val="auto"/>
              </w:rPr>
              <w:t>(3,435,748)</w:t>
            </w:r>
          </w:p>
        </w:tc>
        <w:tc>
          <w:tcPr>
            <w:tcW w:w="1200" w:type="dxa"/>
            <w:vAlign w:val="bottom"/>
            <w:tcBorders>
              <w:right w:val="single" w:sz="8" w:color="181818"/>
            </w:tcBorders>
          </w:tcPr>
          <w:p>
            <w:pPr>
              <w:jc w:val="right"/>
              <w:ind w:right="88"/>
              <w:spacing w:after="0"/>
              <w:rPr>
                <w:sz w:val="20"/>
                <w:szCs w:val="20"/>
                <w:color w:val="auto"/>
              </w:rPr>
            </w:pPr>
            <w:r>
              <w:rPr>
                <w:rFonts w:ascii="Arial" w:cs="Arial" w:eastAsia="Arial" w:hAnsi="Arial"/>
                <w:sz w:val="14"/>
                <w:szCs w:val="14"/>
                <w:color w:val="auto"/>
              </w:rPr>
              <w:t>(2,999,987)</w:t>
            </w:r>
          </w:p>
        </w:tc>
        <w:tc>
          <w:tcPr>
            <w:tcW w:w="0" w:type="dxa"/>
            <w:vAlign w:val="bottom"/>
          </w:tcPr>
          <w:p>
            <w:pPr>
              <w:spacing w:after="0"/>
              <w:rPr>
                <w:sz w:val="1"/>
                <w:szCs w:val="1"/>
                <w:color w:val="auto"/>
              </w:rPr>
            </w:pPr>
          </w:p>
        </w:tc>
      </w:tr>
      <w:tr>
        <w:trPr>
          <w:trHeight w:val="76"/>
        </w:trPr>
        <w:tc>
          <w:tcPr>
            <w:tcW w:w="4920" w:type="dxa"/>
            <w:vAlign w:val="bottom"/>
            <w:tcBorders>
              <w:left w:val="single" w:sz="8" w:color="181818"/>
              <w:bottom w:val="single" w:sz="8" w:color="181818"/>
            </w:tcBorders>
          </w:tcPr>
          <w:p>
            <w:pPr>
              <w:spacing w:after="0"/>
              <w:rPr>
                <w:sz w:val="6"/>
                <w:szCs w:val="6"/>
                <w:color w:val="auto"/>
              </w:rPr>
            </w:pPr>
          </w:p>
        </w:tc>
        <w:tc>
          <w:tcPr>
            <w:tcW w:w="164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1380" w:type="dxa"/>
            <w:vAlign w:val="bottom"/>
            <w:tcBorders>
              <w:bottom w:val="single" w:sz="8" w:color="181818"/>
            </w:tcBorders>
          </w:tcPr>
          <w:p>
            <w:pPr>
              <w:spacing w:after="0"/>
              <w:rPr>
                <w:sz w:val="6"/>
                <w:szCs w:val="6"/>
                <w:color w:val="auto"/>
              </w:rPr>
            </w:pPr>
          </w:p>
        </w:tc>
        <w:tc>
          <w:tcPr>
            <w:tcW w:w="120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492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Plus: Year End Fair Value for Stock Awards Granted in the Covered Year</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2,849,656</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3,832,829</w:t>
            </w:r>
          </w:p>
        </w:tc>
        <w:tc>
          <w:tcPr>
            <w:tcW w:w="120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4,310,199</w:t>
            </w:r>
          </w:p>
        </w:tc>
        <w:tc>
          <w:tcPr>
            <w:tcW w:w="0" w:type="dxa"/>
            <w:vAlign w:val="bottom"/>
          </w:tcPr>
          <w:p>
            <w:pPr>
              <w:spacing w:after="0"/>
              <w:rPr>
                <w:sz w:val="1"/>
                <w:szCs w:val="1"/>
                <w:color w:val="auto"/>
              </w:rPr>
            </w:pPr>
          </w:p>
        </w:tc>
      </w:tr>
      <w:tr>
        <w:trPr>
          <w:trHeight w:val="75"/>
        </w:trPr>
        <w:tc>
          <w:tcPr>
            <w:tcW w:w="4920" w:type="dxa"/>
            <w:vAlign w:val="bottom"/>
            <w:tcBorders>
              <w:left w:val="single" w:sz="8" w:color="181818"/>
              <w:bottom w:val="single" w:sz="8" w:color="181818"/>
            </w:tcBorders>
          </w:tcPr>
          <w:p>
            <w:pPr>
              <w:spacing w:after="0"/>
              <w:rPr>
                <w:sz w:val="6"/>
                <w:szCs w:val="6"/>
                <w:color w:val="auto"/>
              </w:rPr>
            </w:pPr>
          </w:p>
        </w:tc>
        <w:tc>
          <w:tcPr>
            <w:tcW w:w="164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1380" w:type="dxa"/>
            <w:vAlign w:val="bottom"/>
            <w:tcBorders>
              <w:bottom w:val="single" w:sz="8" w:color="181818"/>
            </w:tcBorders>
          </w:tcPr>
          <w:p>
            <w:pPr>
              <w:spacing w:after="0"/>
              <w:rPr>
                <w:sz w:val="6"/>
                <w:szCs w:val="6"/>
                <w:color w:val="auto"/>
              </w:rPr>
            </w:pPr>
          </w:p>
        </w:tc>
        <w:tc>
          <w:tcPr>
            <w:tcW w:w="120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92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Change in Fair Value of Outstanding Unvested Stock and Option Awards</w:t>
            </w:r>
          </w:p>
        </w:tc>
        <w:tc>
          <w:tcPr>
            <w:tcW w:w="1640" w:type="dxa"/>
            <w:vAlign w:val="bottom"/>
            <w:vMerge w:val="restart"/>
          </w:tcPr>
          <w:p>
            <w:pPr>
              <w:jc w:val="right"/>
              <w:ind w:right="248"/>
              <w:spacing w:after="0"/>
              <w:rPr>
                <w:sz w:val="20"/>
                <w:szCs w:val="20"/>
                <w:color w:val="auto"/>
              </w:rPr>
            </w:pPr>
            <w:r>
              <w:rPr>
                <w:rFonts w:ascii="Arial" w:cs="Arial" w:eastAsia="Arial" w:hAnsi="Arial"/>
                <w:sz w:val="14"/>
                <w:szCs w:val="14"/>
                <w:color w:val="auto"/>
              </w:rPr>
              <w:t>150,162</w:t>
            </w:r>
          </w:p>
        </w:tc>
        <w:tc>
          <w:tcPr>
            <w:tcW w:w="140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181818"/>
            </w:tcBorders>
            <w:vMerge w:val="restart"/>
          </w:tcPr>
          <w:p>
            <w:pPr>
              <w:jc w:val="right"/>
              <w:ind w:right="88"/>
              <w:spacing w:after="0"/>
              <w:rPr>
                <w:sz w:val="20"/>
                <w:szCs w:val="20"/>
                <w:color w:val="auto"/>
              </w:rPr>
            </w:pPr>
            <w:r>
              <w:rPr>
                <w:rFonts w:ascii="Arial" w:cs="Arial" w:eastAsia="Arial" w:hAnsi="Arial"/>
                <w:sz w:val="14"/>
                <w:szCs w:val="14"/>
                <w:color w:val="auto"/>
              </w:rPr>
              <w:t>(162,423)</w:t>
            </w:r>
          </w:p>
        </w:tc>
        <w:tc>
          <w:tcPr>
            <w:tcW w:w="0" w:type="dxa"/>
            <w:vAlign w:val="bottom"/>
          </w:tcPr>
          <w:p>
            <w:pPr>
              <w:spacing w:after="0"/>
              <w:rPr>
                <w:sz w:val="1"/>
                <w:szCs w:val="1"/>
                <w:color w:val="auto"/>
              </w:rPr>
            </w:pPr>
          </w:p>
        </w:tc>
      </w:tr>
      <w:tr>
        <w:trPr>
          <w:trHeight w:val="100"/>
        </w:trPr>
        <w:tc>
          <w:tcPr>
            <w:tcW w:w="492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from Prior Years</w:t>
            </w:r>
          </w:p>
        </w:tc>
        <w:tc>
          <w:tcPr>
            <w:tcW w:w="16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200" w:type="dxa"/>
            <w:vAlign w:val="bottom"/>
            <w:tcBorders>
              <w:right w:val="single" w:sz="8" w:color="18181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920" w:type="dxa"/>
            <w:vAlign w:val="bottom"/>
            <w:tcBorders>
              <w:left w:val="single" w:sz="8" w:color="181818"/>
            </w:tcBorders>
            <w:vMerge w:val="continue"/>
          </w:tcPr>
          <w:p>
            <w:pPr>
              <w:spacing w:after="0"/>
              <w:rPr>
                <w:sz w:val="8"/>
                <w:szCs w:val="8"/>
                <w:color w:val="auto"/>
              </w:rPr>
            </w:pPr>
          </w:p>
        </w:tc>
        <w:tc>
          <w:tcPr>
            <w:tcW w:w="1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0" w:type="dxa"/>
            <w:vAlign w:val="bottom"/>
            <w:tcBorders>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920" w:type="dxa"/>
            <w:vAlign w:val="bottom"/>
            <w:tcBorders>
              <w:left w:val="single" w:sz="8" w:color="181818"/>
              <w:bottom w:val="single" w:sz="8" w:color="181818"/>
            </w:tcBorders>
          </w:tcPr>
          <w:p>
            <w:pPr>
              <w:spacing w:after="0"/>
              <w:rPr>
                <w:sz w:val="6"/>
                <w:szCs w:val="6"/>
                <w:color w:val="auto"/>
              </w:rPr>
            </w:pPr>
          </w:p>
        </w:tc>
        <w:tc>
          <w:tcPr>
            <w:tcW w:w="164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1380" w:type="dxa"/>
            <w:vAlign w:val="bottom"/>
            <w:tcBorders>
              <w:bottom w:val="single" w:sz="8" w:color="181818"/>
            </w:tcBorders>
          </w:tcPr>
          <w:p>
            <w:pPr>
              <w:spacing w:after="0"/>
              <w:rPr>
                <w:sz w:val="6"/>
                <w:szCs w:val="6"/>
                <w:color w:val="auto"/>
              </w:rPr>
            </w:pPr>
          </w:p>
        </w:tc>
        <w:tc>
          <w:tcPr>
            <w:tcW w:w="120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92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Change in Fair Value of Stock and Option Awards from Prior Years that</w:t>
            </w:r>
          </w:p>
        </w:tc>
        <w:tc>
          <w:tcPr>
            <w:tcW w:w="1640" w:type="dxa"/>
            <w:vAlign w:val="bottom"/>
            <w:vMerge w:val="restart"/>
          </w:tcPr>
          <w:p>
            <w:pPr>
              <w:jc w:val="right"/>
              <w:ind w:right="208"/>
              <w:spacing w:after="0"/>
              <w:rPr>
                <w:sz w:val="20"/>
                <w:szCs w:val="20"/>
                <w:color w:val="auto"/>
              </w:rPr>
            </w:pPr>
            <w:r>
              <w:rPr>
                <w:rFonts w:ascii="Arial" w:cs="Arial" w:eastAsia="Arial" w:hAnsi="Arial"/>
                <w:sz w:val="14"/>
                <w:szCs w:val="14"/>
                <w:color w:val="auto"/>
              </w:rPr>
              <w:t>(388,097)</w:t>
            </w:r>
          </w:p>
        </w:tc>
        <w:tc>
          <w:tcPr>
            <w:tcW w:w="140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181818"/>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3"/>
        </w:trPr>
        <w:tc>
          <w:tcPr>
            <w:tcW w:w="492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Vested in the Covered Year</w:t>
            </w:r>
          </w:p>
        </w:tc>
        <w:tc>
          <w:tcPr>
            <w:tcW w:w="164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200" w:type="dxa"/>
            <w:vAlign w:val="bottom"/>
            <w:tcBorders>
              <w:right w:val="single" w:sz="8" w:color="18181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920" w:type="dxa"/>
            <w:vAlign w:val="bottom"/>
            <w:tcBorders>
              <w:left w:val="single" w:sz="8" w:color="181818"/>
            </w:tcBorders>
            <w:vMerge w:val="continue"/>
          </w:tcPr>
          <w:p>
            <w:pPr>
              <w:spacing w:after="0"/>
              <w:rPr>
                <w:sz w:val="7"/>
                <w:szCs w:val="7"/>
                <w:color w:val="auto"/>
              </w:rPr>
            </w:pPr>
          </w:p>
        </w:tc>
        <w:tc>
          <w:tcPr>
            <w:tcW w:w="16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0" w:type="dxa"/>
            <w:vAlign w:val="bottom"/>
            <w:tcBorders>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4920" w:type="dxa"/>
            <w:vAlign w:val="bottom"/>
            <w:tcBorders>
              <w:left w:val="single" w:sz="8" w:color="181818"/>
              <w:bottom w:val="single" w:sz="8" w:color="181818"/>
            </w:tcBorders>
          </w:tcPr>
          <w:p>
            <w:pPr>
              <w:spacing w:after="0"/>
              <w:rPr>
                <w:sz w:val="6"/>
                <w:szCs w:val="6"/>
                <w:color w:val="auto"/>
              </w:rPr>
            </w:pPr>
          </w:p>
        </w:tc>
        <w:tc>
          <w:tcPr>
            <w:tcW w:w="164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1380" w:type="dxa"/>
            <w:vAlign w:val="bottom"/>
            <w:tcBorders>
              <w:bottom w:val="single" w:sz="8" w:color="181818"/>
            </w:tcBorders>
          </w:tcPr>
          <w:p>
            <w:pPr>
              <w:spacing w:after="0"/>
              <w:rPr>
                <w:sz w:val="6"/>
                <w:szCs w:val="6"/>
                <w:color w:val="auto"/>
              </w:rPr>
            </w:pPr>
          </w:p>
        </w:tc>
        <w:tc>
          <w:tcPr>
            <w:tcW w:w="120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92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Change in Fair Value as of Vesting Date of Option Awards and Stock</w:t>
            </w: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Borders>
              <w:right w:val="single" w:sz="8" w:color="181818"/>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92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Awards Granted in Prior Fiscal Years For Which Applicable Vesting</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373,067</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181818"/>
            </w:tcBorders>
          </w:tcPr>
          <w:p>
            <w:pPr>
              <w:jc w:val="right"/>
              <w:ind w:right="88"/>
              <w:spacing w:after="0"/>
              <w:rPr>
                <w:sz w:val="20"/>
                <w:szCs w:val="20"/>
                <w:color w:val="auto"/>
              </w:rPr>
            </w:pPr>
            <w:r>
              <w:rPr>
                <w:rFonts w:ascii="Arial" w:cs="Arial" w:eastAsia="Arial" w:hAnsi="Arial"/>
                <w:sz w:val="14"/>
                <w:szCs w:val="14"/>
                <w:color w:val="auto"/>
              </w:rPr>
              <w:t>(647,419)</w:t>
            </w:r>
          </w:p>
        </w:tc>
        <w:tc>
          <w:tcPr>
            <w:tcW w:w="0" w:type="dxa"/>
            <w:vAlign w:val="bottom"/>
          </w:tcPr>
          <w:p>
            <w:pPr>
              <w:spacing w:after="0"/>
              <w:rPr>
                <w:sz w:val="1"/>
                <w:szCs w:val="1"/>
                <w:color w:val="auto"/>
              </w:rPr>
            </w:pPr>
          </w:p>
        </w:tc>
      </w:tr>
      <w:tr>
        <w:trPr>
          <w:trHeight w:val="194"/>
        </w:trPr>
        <w:tc>
          <w:tcPr>
            <w:tcW w:w="492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Conditions Were Satisfied During Fiscal Year</w:t>
            </w:r>
          </w:p>
        </w:tc>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Borders>
              <w:right w:val="single" w:sz="8" w:color="181818"/>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920" w:type="dxa"/>
            <w:vAlign w:val="bottom"/>
            <w:tcBorders>
              <w:left w:val="single" w:sz="8" w:color="181818"/>
              <w:bottom w:val="single" w:sz="8" w:color="181818"/>
            </w:tcBorders>
          </w:tcPr>
          <w:p>
            <w:pPr>
              <w:spacing w:after="0"/>
              <w:rPr>
                <w:sz w:val="6"/>
                <w:szCs w:val="6"/>
                <w:color w:val="auto"/>
              </w:rPr>
            </w:pPr>
          </w:p>
        </w:tc>
        <w:tc>
          <w:tcPr>
            <w:tcW w:w="164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1380" w:type="dxa"/>
            <w:vAlign w:val="bottom"/>
            <w:tcBorders>
              <w:bottom w:val="single" w:sz="8" w:color="181818"/>
            </w:tcBorders>
          </w:tcPr>
          <w:p>
            <w:pPr>
              <w:spacing w:after="0"/>
              <w:rPr>
                <w:sz w:val="6"/>
                <w:szCs w:val="6"/>
                <w:color w:val="auto"/>
              </w:rPr>
            </w:pPr>
          </w:p>
        </w:tc>
        <w:tc>
          <w:tcPr>
            <w:tcW w:w="120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92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Less: Fair Value of Stock and Option Awards Forfeited during the Covered</w:t>
            </w:r>
          </w:p>
        </w:tc>
        <w:tc>
          <w:tcPr>
            <w:tcW w:w="164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248"/>
              <w:spacing w:after="0"/>
              <w:rPr>
                <w:sz w:val="20"/>
                <w:szCs w:val="20"/>
                <w:color w:val="auto"/>
              </w:rPr>
            </w:pPr>
            <w:r>
              <w:rPr>
                <w:rFonts w:ascii="Arial" w:cs="Arial" w:eastAsia="Arial" w:hAnsi="Arial"/>
                <w:sz w:val="14"/>
                <w:szCs w:val="14"/>
                <w:color w:val="auto"/>
              </w:rPr>
              <w:t>(4,615,447)</w:t>
            </w: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181818"/>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3"/>
        </w:trPr>
        <w:tc>
          <w:tcPr>
            <w:tcW w:w="492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Year</w:t>
            </w:r>
          </w:p>
        </w:tc>
        <w:tc>
          <w:tcPr>
            <w:tcW w:w="164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200" w:type="dxa"/>
            <w:vAlign w:val="bottom"/>
            <w:tcBorders>
              <w:right w:val="single" w:sz="8" w:color="18181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920" w:type="dxa"/>
            <w:vAlign w:val="bottom"/>
            <w:tcBorders>
              <w:left w:val="single" w:sz="8" w:color="181818"/>
            </w:tcBorders>
            <w:vMerge w:val="continue"/>
          </w:tcPr>
          <w:p>
            <w:pPr>
              <w:spacing w:after="0"/>
              <w:rPr>
                <w:sz w:val="7"/>
                <w:szCs w:val="7"/>
                <w:color w:val="auto"/>
              </w:rPr>
            </w:pPr>
          </w:p>
        </w:tc>
        <w:tc>
          <w:tcPr>
            <w:tcW w:w="16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0" w:type="dxa"/>
            <w:vAlign w:val="bottom"/>
            <w:tcBorders>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4920" w:type="dxa"/>
            <w:vAlign w:val="bottom"/>
            <w:tcBorders>
              <w:left w:val="single" w:sz="8" w:color="181818"/>
              <w:bottom w:val="single" w:sz="8" w:color="181818"/>
            </w:tcBorders>
          </w:tcPr>
          <w:p>
            <w:pPr>
              <w:spacing w:after="0"/>
              <w:rPr>
                <w:sz w:val="6"/>
                <w:szCs w:val="6"/>
                <w:color w:val="auto"/>
              </w:rPr>
            </w:pPr>
          </w:p>
        </w:tc>
        <w:tc>
          <w:tcPr>
            <w:tcW w:w="164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1380" w:type="dxa"/>
            <w:vAlign w:val="bottom"/>
            <w:tcBorders>
              <w:bottom w:val="single" w:sz="8" w:color="181818"/>
            </w:tcBorders>
          </w:tcPr>
          <w:p>
            <w:pPr>
              <w:spacing w:after="0"/>
              <w:rPr>
                <w:sz w:val="6"/>
                <w:szCs w:val="6"/>
                <w:color w:val="auto"/>
              </w:rPr>
            </w:pPr>
          </w:p>
        </w:tc>
        <w:tc>
          <w:tcPr>
            <w:tcW w:w="120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492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Compensation Actually Paid</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3,230,422</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(1,462,341)</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4,297,652</w:t>
            </w:r>
          </w:p>
        </w:tc>
        <w:tc>
          <w:tcPr>
            <w:tcW w:w="120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4,309,244</w:t>
            </w:r>
          </w:p>
        </w:tc>
        <w:tc>
          <w:tcPr>
            <w:tcW w:w="0" w:type="dxa"/>
            <w:vAlign w:val="bottom"/>
          </w:tcPr>
          <w:p>
            <w:pPr>
              <w:spacing w:after="0"/>
              <w:rPr>
                <w:sz w:val="1"/>
                <w:szCs w:val="1"/>
                <w:color w:val="auto"/>
              </w:rPr>
            </w:pPr>
          </w:p>
        </w:tc>
      </w:tr>
      <w:tr>
        <w:trPr>
          <w:trHeight w:val="75"/>
        </w:trPr>
        <w:tc>
          <w:tcPr>
            <w:tcW w:w="4920" w:type="dxa"/>
            <w:vAlign w:val="bottom"/>
            <w:tcBorders>
              <w:left w:val="single" w:sz="8" w:color="181818"/>
              <w:bottom w:val="single" w:sz="8" w:color="181818"/>
            </w:tcBorders>
          </w:tcPr>
          <w:p>
            <w:pPr>
              <w:spacing w:after="0"/>
              <w:rPr>
                <w:sz w:val="6"/>
                <w:szCs w:val="6"/>
                <w:color w:val="auto"/>
              </w:rPr>
            </w:pPr>
          </w:p>
        </w:tc>
        <w:tc>
          <w:tcPr>
            <w:tcW w:w="1640" w:type="dxa"/>
            <w:vAlign w:val="bottom"/>
            <w:tcBorders>
              <w:bottom w:val="single" w:sz="8" w:color="181818"/>
            </w:tcBorders>
          </w:tcPr>
          <w:p>
            <w:pPr>
              <w:spacing w:after="0"/>
              <w:rPr>
                <w:sz w:val="6"/>
                <w:szCs w:val="6"/>
                <w:color w:val="auto"/>
              </w:rPr>
            </w:pPr>
          </w:p>
        </w:tc>
        <w:tc>
          <w:tcPr>
            <w:tcW w:w="1400" w:type="dxa"/>
            <w:vAlign w:val="bottom"/>
            <w:tcBorders>
              <w:bottom w:val="single" w:sz="8" w:color="181818"/>
            </w:tcBorders>
          </w:tcPr>
          <w:p>
            <w:pPr>
              <w:spacing w:after="0"/>
              <w:rPr>
                <w:sz w:val="6"/>
                <w:szCs w:val="6"/>
                <w:color w:val="auto"/>
              </w:rPr>
            </w:pPr>
          </w:p>
        </w:tc>
        <w:tc>
          <w:tcPr>
            <w:tcW w:w="1380" w:type="dxa"/>
            <w:vAlign w:val="bottom"/>
            <w:tcBorders>
              <w:bottom w:val="single" w:sz="8" w:color="181818"/>
            </w:tcBorders>
          </w:tcPr>
          <w:p>
            <w:pPr>
              <w:spacing w:after="0"/>
              <w:rPr>
                <w:sz w:val="6"/>
                <w:szCs w:val="6"/>
                <w:color w:val="auto"/>
              </w:rPr>
            </w:pPr>
          </w:p>
        </w:tc>
        <w:tc>
          <w:tcPr>
            <w:tcW w:w="120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27" w:right="80"/>
        <w:spacing w:after="0" w:line="286" w:lineRule="auto"/>
        <w:rPr>
          <w:sz w:val="20"/>
          <w:szCs w:val="20"/>
          <w:color w:val="auto"/>
        </w:rPr>
      </w:pPr>
      <w:r>
        <w:rPr>
          <w:rFonts w:ascii="Arial" w:cs="Arial" w:eastAsia="Arial" w:hAnsi="Arial"/>
          <w:sz w:val="14"/>
          <w:szCs w:val="14"/>
          <w:color w:val="auto"/>
        </w:rPr>
        <w:t>The valuation of the equity granted to our PEO is based upon multiple factors, including grant date stock price, life of grant, volatility and risk-free rate. To determine the compensation actually paid, adjustments have been made to the fair value calculation to adjust for the change in stock price at year-end and vest date, adjustments in time to vest and life of grant and related volatility and risk-free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71577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55" w:name="page56"/>
    <w:bookmarkEnd w:id="55"/>
    <w:p>
      <w:pPr>
        <w:ind w:left="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Executive Compensation (CD&amp;A)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327" w:hanging="327"/>
        <w:spacing w:after="0" w:line="296" w:lineRule="auto"/>
        <w:tabs>
          <w:tab w:leader="none" w:pos="288" w:val="left"/>
        </w:tabs>
        <w:numPr>
          <w:ilvl w:val="0"/>
          <w:numId w:val="59"/>
        </w:numPr>
        <w:rPr>
          <w:rFonts w:ascii="Arial" w:cs="Arial" w:eastAsia="Arial" w:hAnsi="Arial"/>
          <w:sz w:val="14"/>
          <w:szCs w:val="14"/>
          <w:b w:val="1"/>
          <w:bCs w:val="1"/>
          <w:color w:val="181818"/>
        </w:rPr>
      </w:pPr>
      <w:r>
        <w:rPr>
          <w:rFonts w:ascii="Arial" w:cs="Arial" w:eastAsia="Arial" w:hAnsi="Arial"/>
          <w:sz w:val="14"/>
          <w:szCs w:val="14"/>
          <w:color w:val="auto"/>
        </w:rPr>
        <w:t>Represents the average compensation amounts reported in the "Total" column in the SCT, disclosed above, for our non-PEO NEOs. The non-PEO NEOs in Fiscal 2024 and Fiscal 2025 were Christopher Guttman-McCabe and Ryan Gerbrandt. The non-PEO NEOs in Fiscal 2026 were Christopher Guttman-McCabe, Ryan Gerbrandt and Heather Martin.</w:t>
      </w:r>
    </w:p>
    <w:p>
      <w:pPr>
        <w:spacing w:after="0" w:line="25" w:lineRule="exact"/>
        <w:rPr>
          <w:rFonts w:ascii="Arial" w:cs="Arial" w:eastAsia="Arial" w:hAnsi="Arial"/>
          <w:sz w:val="14"/>
          <w:szCs w:val="14"/>
          <w:b w:val="1"/>
          <w:bCs w:val="1"/>
          <w:color w:val="181818"/>
        </w:rPr>
      </w:pPr>
    </w:p>
    <w:p>
      <w:pPr>
        <w:ind w:left="327" w:right="300" w:hanging="327"/>
        <w:spacing w:after="0" w:line="286" w:lineRule="auto"/>
        <w:tabs>
          <w:tab w:leader="none" w:pos="292" w:val="left"/>
        </w:tabs>
        <w:numPr>
          <w:ilvl w:val="0"/>
          <w:numId w:val="59"/>
        </w:numPr>
        <w:rPr>
          <w:rFonts w:ascii="Arial" w:cs="Arial" w:eastAsia="Arial" w:hAnsi="Arial"/>
          <w:sz w:val="14"/>
          <w:szCs w:val="14"/>
          <w:b w:val="1"/>
          <w:bCs w:val="1"/>
          <w:color w:val="181818"/>
        </w:rPr>
      </w:pPr>
      <w:r>
        <w:rPr>
          <w:rFonts w:ascii="Arial" w:cs="Arial" w:eastAsia="Arial" w:hAnsi="Arial"/>
          <w:sz w:val="14"/>
          <w:szCs w:val="14"/>
          <w:color w:val="auto"/>
        </w:rPr>
        <w:t>Average “compensation actually paid” to our non-PEO NEOs for each year shown reflects the respective average amounts from the SCT, adjusted, as noted below, in accordance with SEC rules. The amount included in column (f) above does not reflect the actual amount earned by, or paid to, our non-PEO NEOs for each of the fiscal years shown. The following table reflects the adjustments made to determine the average compensation actually paid to our non-PEO NEOs:</w:t>
      </w:r>
    </w:p>
    <w:p>
      <w:pPr>
        <w:spacing w:after="0" w:line="52" w:lineRule="exact"/>
        <w:rPr>
          <w:sz w:val="20"/>
          <w:szCs w:val="20"/>
          <w:color w:val="auto"/>
        </w:rPr>
      </w:pPr>
    </w:p>
    <w:tbl>
      <w:tblPr>
        <w:tblLayout w:type="fixed"/>
        <w:tblInd w:w="337" w:type="dxa"/>
        <w:tblCellMar>
          <w:top w:w="0" w:type="dxa"/>
          <w:left w:w="0" w:type="dxa"/>
          <w:bottom w:w="0" w:type="dxa"/>
          <w:right w:w="0" w:type="dxa"/>
        </w:tblCellMar>
      </w:tblPr>
      <w:tr>
        <w:trPr>
          <w:trHeight w:val="201"/>
        </w:trPr>
        <w:tc>
          <w:tcPr>
            <w:tcW w:w="4140" w:type="dxa"/>
            <w:vAlign w:val="bottom"/>
            <w:tcBorders>
              <w:top w:val="single" w:sz="8" w:color="181818"/>
              <w:left w:val="single" w:sz="8" w:color="181818"/>
            </w:tcBorders>
            <w:shd w:val="clear" w:color="auto" w:fill="1B6F80"/>
          </w:tcPr>
          <w:p>
            <w:pPr>
              <w:spacing w:after="0"/>
              <w:rPr>
                <w:sz w:val="17"/>
                <w:szCs w:val="17"/>
                <w:color w:val="auto"/>
              </w:rPr>
            </w:pPr>
          </w:p>
        </w:tc>
        <w:tc>
          <w:tcPr>
            <w:tcW w:w="2380" w:type="dxa"/>
            <w:vAlign w:val="bottom"/>
            <w:tcBorders>
              <w:top w:val="single" w:sz="8" w:color="181818"/>
            </w:tcBorders>
            <w:shd w:val="clear" w:color="auto" w:fill="1B6F80"/>
          </w:tcPr>
          <w:p>
            <w:pPr>
              <w:jc w:val="right"/>
              <w:ind w:right="228"/>
              <w:spacing w:after="0"/>
              <w:rPr>
                <w:sz w:val="20"/>
                <w:szCs w:val="20"/>
                <w:color w:val="auto"/>
              </w:rPr>
            </w:pPr>
            <w:r>
              <w:rPr>
                <w:rFonts w:ascii="Arial" w:cs="Arial" w:eastAsia="Arial" w:hAnsi="Arial"/>
                <w:sz w:val="14"/>
                <w:szCs w:val="14"/>
                <w:b w:val="1"/>
                <w:bCs w:val="1"/>
                <w:color w:val="FFFFFF"/>
              </w:rPr>
              <w:t>2024</w:t>
            </w:r>
          </w:p>
        </w:tc>
        <w:tc>
          <w:tcPr>
            <w:tcW w:w="2080" w:type="dxa"/>
            <w:vAlign w:val="bottom"/>
            <w:tcBorders>
              <w:top w:val="single" w:sz="8" w:color="181818"/>
            </w:tcBorders>
            <w:shd w:val="clear" w:color="auto" w:fill="1B6F80"/>
          </w:tcPr>
          <w:p>
            <w:pPr>
              <w:jc w:val="right"/>
              <w:ind w:right="228"/>
              <w:spacing w:after="0"/>
              <w:rPr>
                <w:sz w:val="20"/>
                <w:szCs w:val="20"/>
                <w:color w:val="auto"/>
              </w:rPr>
            </w:pPr>
            <w:r>
              <w:rPr>
                <w:rFonts w:ascii="Arial" w:cs="Arial" w:eastAsia="Arial" w:hAnsi="Arial"/>
                <w:sz w:val="14"/>
                <w:szCs w:val="14"/>
                <w:b w:val="1"/>
                <w:bCs w:val="1"/>
                <w:color w:val="FFFFFF"/>
              </w:rPr>
              <w:t>2025</w:t>
            </w:r>
          </w:p>
        </w:tc>
        <w:tc>
          <w:tcPr>
            <w:tcW w:w="194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2026</w:t>
            </w:r>
          </w:p>
        </w:tc>
        <w:tc>
          <w:tcPr>
            <w:tcW w:w="0" w:type="dxa"/>
            <w:vAlign w:val="bottom"/>
          </w:tcPr>
          <w:p>
            <w:pPr>
              <w:spacing w:after="0"/>
              <w:rPr>
                <w:sz w:val="1"/>
                <w:szCs w:val="1"/>
                <w:color w:val="auto"/>
              </w:rPr>
            </w:pPr>
          </w:p>
        </w:tc>
      </w:tr>
      <w:tr>
        <w:trPr>
          <w:trHeight w:val="202"/>
        </w:trPr>
        <w:tc>
          <w:tcPr>
            <w:tcW w:w="4140" w:type="dxa"/>
            <w:vAlign w:val="bottom"/>
            <w:tcBorders>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Year</w:t>
            </w:r>
          </w:p>
        </w:tc>
        <w:tc>
          <w:tcPr>
            <w:tcW w:w="2380" w:type="dxa"/>
            <w:vAlign w:val="bottom"/>
            <w:shd w:val="clear" w:color="auto" w:fill="1B6F80"/>
          </w:tcPr>
          <w:p>
            <w:pPr>
              <w:jc w:val="right"/>
              <w:ind w:right="228"/>
              <w:spacing w:after="0"/>
              <w:rPr>
                <w:sz w:val="20"/>
                <w:szCs w:val="20"/>
                <w:color w:val="auto"/>
              </w:rPr>
            </w:pPr>
            <w:r>
              <w:rPr>
                <w:rFonts w:ascii="Arial" w:cs="Arial" w:eastAsia="Arial" w:hAnsi="Arial"/>
                <w:sz w:val="14"/>
                <w:szCs w:val="14"/>
                <w:b w:val="1"/>
                <w:bCs w:val="1"/>
                <w:color w:val="FFFFFF"/>
              </w:rPr>
              <w:t>($)</w:t>
            </w:r>
          </w:p>
        </w:tc>
        <w:tc>
          <w:tcPr>
            <w:tcW w:w="2080" w:type="dxa"/>
            <w:vAlign w:val="bottom"/>
            <w:shd w:val="clear" w:color="auto" w:fill="1B6F80"/>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94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70"/>
        </w:trPr>
        <w:tc>
          <w:tcPr>
            <w:tcW w:w="4140" w:type="dxa"/>
            <w:vAlign w:val="bottom"/>
            <w:tcBorders>
              <w:left w:val="single" w:sz="8" w:color="181818"/>
            </w:tcBorders>
            <w:shd w:val="clear" w:color="auto" w:fill="1B6F80"/>
          </w:tcPr>
          <w:p>
            <w:pPr>
              <w:spacing w:after="0"/>
              <w:rPr>
                <w:sz w:val="6"/>
                <w:szCs w:val="6"/>
                <w:color w:val="auto"/>
              </w:rPr>
            </w:pPr>
          </w:p>
        </w:tc>
        <w:tc>
          <w:tcPr>
            <w:tcW w:w="2380" w:type="dxa"/>
            <w:vAlign w:val="bottom"/>
            <w:shd w:val="clear" w:color="auto" w:fill="1B6F80"/>
          </w:tcPr>
          <w:p>
            <w:pPr>
              <w:spacing w:after="0"/>
              <w:rPr>
                <w:sz w:val="6"/>
                <w:szCs w:val="6"/>
                <w:color w:val="auto"/>
              </w:rPr>
            </w:pPr>
          </w:p>
        </w:tc>
        <w:tc>
          <w:tcPr>
            <w:tcW w:w="2080" w:type="dxa"/>
            <w:vAlign w:val="bottom"/>
            <w:shd w:val="clear" w:color="auto" w:fill="1B6F80"/>
          </w:tcPr>
          <w:p>
            <w:pPr>
              <w:spacing w:after="0"/>
              <w:rPr>
                <w:sz w:val="6"/>
                <w:szCs w:val="6"/>
                <w:color w:val="auto"/>
              </w:rPr>
            </w:pPr>
          </w:p>
        </w:tc>
        <w:tc>
          <w:tcPr>
            <w:tcW w:w="1940" w:type="dxa"/>
            <w:vAlign w:val="bottom"/>
            <w:tcBorders>
              <w:right w:val="single" w:sz="8" w:color="181818"/>
            </w:tcBorders>
            <w:shd w:val="clear" w:color="auto" w:fill="1B6F80"/>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4140" w:type="dxa"/>
            <w:vAlign w:val="bottom"/>
            <w:tcBorders>
              <w:left w:val="single" w:sz="8" w:color="181818"/>
              <w:bottom w:val="single" w:sz="8" w:color="AED0C7"/>
            </w:tcBorders>
            <w:shd w:val="clear" w:color="auto" w:fill="AED0C7"/>
          </w:tcPr>
          <w:p>
            <w:pPr>
              <w:ind w:left="100"/>
              <w:spacing w:after="0"/>
              <w:rPr>
                <w:sz w:val="20"/>
                <w:szCs w:val="20"/>
                <w:color w:val="auto"/>
              </w:rPr>
            </w:pPr>
            <w:r>
              <w:rPr>
                <w:rFonts w:ascii="Arial" w:cs="Arial" w:eastAsia="Arial" w:hAnsi="Arial"/>
                <w:sz w:val="14"/>
                <w:szCs w:val="14"/>
                <w:b w:val="1"/>
                <w:bCs w:val="1"/>
                <w:color w:val="181818"/>
              </w:rPr>
              <w:t>Non-PEO NEOs</w:t>
            </w:r>
          </w:p>
        </w:tc>
        <w:tc>
          <w:tcPr>
            <w:tcW w:w="2380" w:type="dxa"/>
            <w:vAlign w:val="bottom"/>
            <w:tcBorders>
              <w:bottom w:val="single" w:sz="8" w:color="AED0C7"/>
            </w:tcBorders>
            <w:shd w:val="clear" w:color="auto" w:fill="AED0C7"/>
          </w:tcPr>
          <w:p>
            <w:pPr>
              <w:jc w:val="right"/>
              <w:ind w:right="228"/>
              <w:spacing w:after="0"/>
              <w:rPr>
                <w:sz w:val="20"/>
                <w:szCs w:val="20"/>
                <w:color w:val="auto"/>
              </w:rPr>
            </w:pPr>
            <w:r>
              <w:rPr>
                <w:rFonts w:ascii="Arial" w:cs="Arial" w:eastAsia="Arial" w:hAnsi="Arial"/>
                <w:sz w:val="14"/>
                <w:szCs w:val="14"/>
                <w:b w:val="1"/>
                <w:bCs w:val="1"/>
                <w:color w:val="181818"/>
              </w:rPr>
              <w:t>See Footnote 3 above</w:t>
            </w:r>
          </w:p>
        </w:tc>
        <w:tc>
          <w:tcPr>
            <w:tcW w:w="2080" w:type="dxa"/>
            <w:vAlign w:val="bottom"/>
            <w:tcBorders>
              <w:bottom w:val="single" w:sz="8" w:color="AED0C7"/>
            </w:tcBorders>
            <w:shd w:val="clear" w:color="auto" w:fill="AED0C7"/>
          </w:tcPr>
          <w:p>
            <w:pPr>
              <w:jc w:val="right"/>
              <w:ind w:right="228"/>
              <w:spacing w:after="0"/>
              <w:rPr>
                <w:sz w:val="20"/>
                <w:szCs w:val="20"/>
                <w:color w:val="auto"/>
              </w:rPr>
            </w:pPr>
            <w:r>
              <w:rPr>
                <w:rFonts w:ascii="Arial" w:cs="Arial" w:eastAsia="Arial" w:hAnsi="Arial"/>
                <w:sz w:val="14"/>
                <w:szCs w:val="14"/>
                <w:b w:val="1"/>
                <w:bCs w:val="1"/>
                <w:color w:val="181818"/>
              </w:rPr>
              <w:t>See Footnote 3 above</w:t>
            </w:r>
          </w:p>
        </w:tc>
        <w:tc>
          <w:tcPr>
            <w:tcW w:w="1940" w:type="dxa"/>
            <w:vAlign w:val="bottom"/>
            <w:tcBorders>
              <w:bottom w:val="single" w:sz="8" w:color="AED0C7"/>
              <w:right w:val="single" w:sz="8" w:color="181818"/>
            </w:tcBorders>
            <w:shd w:val="clear" w:color="auto" w:fill="AED0C7"/>
          </w:tcPr>
          <w:p>
            <w:pPr>
              <w:jc w:val="right"/>
              <w:ind w:right="68"/>
              <w:spacing w:after="0"/>
              <w:rPr>
                <w:sz w:val="20"/>
                <w:szCs w:val="20"/>
                <w:color w:val="auto"/>
              </w:rPr>
            </w:pPr>
            <w:r>
              <w:rPr>
                <w:rFonts w:ascii="Arial" w:cs="Arial" w:eastAsia="Arial" w:hAnsi="Arial"/>
                <w:sz w:val="14"/>
                <w:szCs w:val="14"/>
                <w:b w:val="1"/>
                <w:bCs w:val="1"/>
                <w:color w:val="181818"/>
              </w:rPr>
              <w:t>See Footnote 3 above</w:t>
            </w:r>
          </w:p>
        </w:tc>
        <w:tc>
          <w:tcPr>
            <w:tcW w:w="0" w:type="dxa"/>
            <w:vAlign w:val="bottom"/>
          </w:tcPr>
          <w:p>
            <w:pPr>
              <w:spacing w:after="0"/>
              <w:rPr>
                <w:sz w:val="1"/>
                <w:szCs w:val="1"/>
                <w:color w:val="auto"/>
              </w:rPr>
            </w:pPr>
          </w:p>
        </w:tc>
      </w:tr>
      <w:tr>
        <w:trPr>
          <w:trHeight w:val="262"/>
        </w:trPr>
        <w:tc>
          <w:tcPr>
            <w:tcW w:w="41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SCT Total Compensation</w:t>
            </w:r>
          </w:p>
        </w:tc>
        <w:tc>
          <w:tcPr>
            <w:tcW w:w="2380" w:type="dxa"/>
            <w:vAlign w:val="bottom"/>
          </w:tcPr>
          <w:p>
            <w:pPr>
              <w:jc w:val="right"/>
              <w:ind w:right="288"/>
              <w:spacing w:after="0"/>
              <w:rPr>
                <w:sz w:val="20"/>
                <w:szCs w:val="20"/>
                <w:color w:val="auto"/>
              </w:rPr>
            </w:pPr>
            <w:r>
              <w:rPr>
                <w:rFonts w:ascii="Arial" w:cs="Arial" w:eastAsia="Arial" w:hAnsi="Arial"/>
                <w:sz w:val="14"/>
                <w:szCs w:val="14"/>
                <w:color w:val="auto"/>
              </w:rPr>
              <w:t>2,849,180</w:t>
            </w:r>
          </w:p>
        </w:tc>
        <w:tc>
          <w:tcPr>
            <w:tcW w:w="2080" w:type="dxa"/>
            <w:vAlign w:val="bottom"/>
          </w:tcPr>
          <w:p>
            <w:pPr>
              <w:jc w:val="right"/>
              <w:ind w:right="268"/>
              <w:spacing w:after="0"/>
              <w:rPr>
                <w:sz w:val="20"/>
                <w:szCs w:val="20"/>
                <w:color w:val="auto"/>
              </w:rPr>
            </w:pPr>
            <w:r>
              <w:rPr>
                <w:rFonts w:ascii="Arial" w:cs="Arial" w:eastAsia="Arial" w:hAnsi="Arial"/>
                <w:sz w:val="14"/>
                <w:szCs w:val="14"/>
                <w:color w:val="auto"/>
              </w:rPr>
              <w:t>3,238,761</w:t>
            </w:r>
          </w:p>
        </w:tc>
        <w:tc>
          <w:tcPr>
            <w:tcW w:w="194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1,626,908</w:t>
            </w:r>
          </w:p>
        </w:tc>
        <w:tc>
          <w:tcPr>
            <w:tcW w:w="0" w:type="dxa"/>
            <w:vAlign w:val="bottom"/>
          </w:tcPr>
          <w:p>
            <w:pPr>
              <w:spacing w:after="0"/>
              <w:rPr>
                <w:sz w:val="1"/>
                <w:szCs w:val="1"/>
                <w:color w:val="auto"/>
              </w:rPr>
            </w:pPr>
          </w:p>
        </w:tc>
      </w:tr>
      <w:tr>
        <w:trPr>
          <w:trHeight w:val="76"/>
        </w:trPr>
        <w:tc>
          <w:tcPr>
            <w:tcW w:w="4140" w:type="dxa"/>
            <w:vAlign w:val="bottom"/>
            <w:tcBorders>
              <w:left w:val="single" w:sz="8" w:color="181818"/>
              <w:bottom w:val="single" w:sz="8" w:color="181818"/>
            </w:tcBorders>
          </w:tcPr>
          <w:p>
            <w:pPr>
              <w:spacing w:after="0"/>
              <w:rPr>
                <w:sz w:val="6"/>
                <w:szCs w:val="6"/>
                <w:color w:val="auto"/>
              </w:rPr>
            </w:pPr>
          </w:p>
        </w:tc>
        <w:tc>
          <w:tcPr>
            <w:tcW w:w="2380" w:type="dxa"/>
            <w:vAlign w:val="bottom"/>
            <w:tcBorders>
              <w:bottom w:val="single" w:sz="8" w:color="181818"/>
            </w:tcBorders>
          </w:tcPr>
          <w:p>
            <w:pPr>
              <w:spacing w:after="0"/>
              <w:rPr>
                <w:sz w:val="6"/>
                <w:szCs w:val="6"/>
                <w:color w:val="auto"/>
              </w:rPr>
            </w:pPr>
          </w:p>
        </w:tc>
        <w:tc>
          <w:tcPr>
            <w:tcW w:w="2080" w:type="dxa"/>
            <w:vAlign w:val="bottom"/>
            <w:tcBorders>
              <w:bottom w:val="single" w:sz="8" w:color="181818"/>
            </w:tcBorders>
          </w:tcPr>
          <w:p>
            <w:pPr>
              <w:spacing w:after="0"/>
              <w:rPr>
                <w:sz w:val="6"/>
                <w:szCs w:val="6"/>
                <w:color w:val="auto"/>
              </w:rPr>
            </w:pPr>
          </w:p>
        </w:tc>
        <w:tc>
          <w:tcPr>
            <w:tcW w:w="194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1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Less: Stock award values reported in SCT for the Covered</w:t>
            </w:r>
          </w:p>
        </w:tc>
        <w:tc>
          <w:tcPr>
            <w:tcW w:w="2380" w:type="dxa"/>
            <w:vAlign w:val="bottom"/>
            <w:vMerge w:val="restart"/>
          </w:tcPr>
          <w:p>
            <w:pPr>
              <w:jc w:val="right"/>
              <w:ind w:right="248"/>
              <w:spacing w:after="0"/>
              <w:rPr>
                <w:sz w:val="20"/>
                <w:szCs w:val="20"/>
                <w:color w:val="auto"/>
              </w:rPr>
            </w:pPr>
            <w:r>
              <w:rPr>
                <w:rFonts w:ascii="Arial" w:cs="Arial" w:eastAsia="Arial" w:hAnsi="Arial"/>
                <w:sz w:val="14"/>
                <w:szCs w:val="14"/>
                <w:color w:val="auto"/>
              </w:rPr>
              <w:t>(2,365,687)</w:t>
            </w:r>
          </w:p>
        </w:tc>
        <w:tc>
          <w:tcPr>
            <w:tcW w:w="2080" w:type="dxa"/>
            <w:vAlign w:val="bottom"/>
            <w:vMerge w:val="restart"/>
          </w:tcPr>
          <w:p>
            <w:pPr>
              <w:jc w:val="right"/>
              <w:ind w:right="228"/>
              <w:spacing w:after="0"/>
              <w:rPr>
                <w:sz w:val="20"/>
                <w:szCs w:val="20"/>
                <w:color w:val="auto"/>
              </w:rPr>
            </w:pPr>
            <w:r>
              <w:rPr>
                <w:rFonts w:ascii="Arial" w:cs="Arial" w:eastAsia="Arial" w:hAnsi="Arial"/>
                <w:sz w:val="14"/>
                <w:szCs w:val="14"/>
                <w:color w:val="auto"/>
              </w:rPr>
              <w:t>(2,606,544)</w:t>
            </w:r>
          </w:p>
        </w:tc>
        <w:tc>
          <w:tcPr>
            <w:tcW w:w="1940" w:type="dxa"/>
            <w:vAlign w:val="bottom"/>
            <w:tcBorders>
              <w:right w:val="single" w:sz="8" w:color="181818"/>
            </w:tcBorders>
            <w:vMerge w:val="restart"/>
          </w:tcPr>
          <w:p>
            <w:pPr>
              <w:jc w:val="right"/>
              <w:ind w:right="88"/>
              <w:spacing w:after="0"/>
              <w:rPr>
                <w:sz w:val="20"/>
                <w:szCs w:val="20"/>
                <w:color w:val="auto"/>
              </w:rPr>
            </w:pPr>
            <w:r>
              <w:rPr>
                <w:rFonts w:ascii="Arial" w:cs="Arial" w:eastAsia="Arial" w:hAnsi="Arial"/>
                <w:sz w:val="14"/>
                <w:szCs w:val="14"/>
                <w:color w:val="auto"/>
              </w:rPr>
              <w:t>(496,414)</w:t>
            </w:r>
          </w:p>
        </w:tc>
        <w:tc>
          <w:tcPr>
            <w:tcW w:w="0" w:type="dxa"/>
            <w:vAlign w:val="bottom"/>
          </w:tcPr>
          <w:p>
            <w:pPr>
              <w:spacing w:after="0"/>
              <w:rPr>
                <w:sz w:val="1"/>
                <w:szCs w:val="1"/>
                <w:color w:val="auto"/>
              </w:rPr>
            </w:pPr>
          </w:p>
        </w:tc>
      </w:tr>
      <w:tr>
        <w:trPr>
          <w:trHeight w:val="113"/>
        </w:trPr>
        <w:tc>
          <w:tcPr>
            <w:tcW w:w="414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Year</w:t>
            </w:r>
          </w:p>
        </w:tc>
        <w:tc>
          <w:tcPr>
            <w:tcW w:w="238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1940" w:type="dxa"/>
            <w:vAlign w:val="bottom"/>
            <w:tcBorders>
              <w:right w:val="single" w:sz="8" w:color="18181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140" w:type="dxa"/>
            <w:vAlign w:val="bottom"/>
            <w:tcBorders>
              <w:left w:val="single" w:sz="8" w:color="181818"/>
            </w:tcBorders>
            <w:vMerge w:val="continue"/>
          </w:tcPr>
          <w:p>
            <w:pPr>
              <w:spacing w:after="0"/>
              <w:rPr>
                <w:sz w:val="7"/>
                <w:szCs w:val="7"/>
                <w:color w:val="auto"/>
              </w:rPr>
            </w:pPr>
          </w:p>
        </w:tc>
        <w:tc>
          <w:tcPr>
            <w:tcW w:w="23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940" w:type="dxa"/>
            <w:vAlign w:val="bottom"/>
            <w:tcBorders>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4140" w:type="dxa"/>
            <w:vAlign w:val="bottom"/>
            <w:tcBorders>
              <w:left w:val="single" w:sz="8" w:color="181818"/>
              <w:bottom w:val="single" w:sz="8" w:color="181818"/>
            </w:tcBorders>
          </w:tcPr>
          <w:p>
            <w:pPr>
              <w:spacing w:after="0"/>
              <w:rPr>
                <w:sz w:val="6"/>
                <w:szCs w:val="6"/>
                <w:color w:val="auto"/>
              </w:rPr>
            </w:pPr>
          </w:p>
        </w:tc>
        <w:tc>
          <w:tcPr>
            <w:tcW w:w="2380" w:type="dxa"/>
            <w:vAlign w:val="bottom"/>
            <w:tcBorders>
              <w:bottom w:val="single" w:sz="8" w:color="181818"/>
            </w:tcBorders>
          </w:tcPr>
          <w:p>
            <w:pPr>
              <w:spacing w:after="0"/>
              <w:rPr>
                <w:sz w:val="6"/>
                <w:szCs w:val="6"/>
                <w:color w:val="auto"/>
              </w:rPr>
            </w:pPr>
          </w:p>
        </w:tc>
        <w:tc>
          <w:tcPr>
            <w:tcW w:w="2080" w:type="dxa"/>
            <w:vAlign w:val="bottom"/>
            <w:tcBorders>
              <w:bottom w:val="single" w:sz="8" w:color="181818"/>
            </w:tcBorders>
          </w:tcPr>
          <w:p>
            <w:pPr>
              <w:spacing w:after="0"/>
              <w:rPr>
                <w:sz w:val="6"/>
                <w:szCs w:val="6"/>
                <w:color w:val="auto"/>
              </w:rPr>
            </w:pPr>
          </w:p>
        </w:tc>
        <w:tc>
          <w:tcPr>
            <w:tcW w:w="194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1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Plus: Year End Fair Value for Stock Awards Granted in the</w:t>
            </w:r>
          </w:p>
        </w:tc>
        <w:tc>
          <w:tcPr>
            <w:tcW w:w="2380" w:type="dxa"/>
            <w:vAlign w:val="bottom"/>
            <w:vMerge w:val="restart"/>
          </w:tcPr>
          <w:p>
            <w:pPr>
              <w:jc w:val="right"/>
              <w:ind w:right="288"/>
              <w:spacing w:after="0"/>
              <w:rPr>
                <w:sz w:val="20"/>
                <w:szCs w:val="20"/>
                <w:color w:val="auto"/>
              </w:rPr>
            </w:pPr>
            <w:r>
              <w:rPr>
                <w:rFonts w:ascii="Arial" w:cs="Arial" w:eastAsia="Arial" w:hAnsi="Arial"/>
                <w:sz w:val="14"/>
                <w:szCs w:val="14"/>
                <w:color w:val="auto"/>
              </w:rPr>
              <w:t>2,336,222</w:t>
            </w:r>
          </w:p>
        </w:tc>
        <w:tc>
          <w:tcPr>
            <w:tcW w:w="2080" w:type="dxa"/>
            <w:vAlign w:val="bottom"/>
            <w:vMerge w:val="restart"/>
          </w:tcPr>
          <w:p>
            <w:pPr>
              <w:jc w:val="right"/>
              <w:ind w:right="268"/>
              <w:spacing w:after="0"/>
              <w:rPr>
                <w:sz w:val="20"/>
                <w:szCs w:val="20"/>
                <w:color w:val="auto"/>
              </w:rPr>
            </w:pPr>
            <w:r>
              <w:rPr>
                <w:rFonts w:ascii="Arial" w:cs="Arial" w:eastAsia="Arial" w:hAnsi="Arial"/>
                <w:sz w:val="14"/>
                <w:szCs w:val="14"/>
                <w:color w:val="auto"/>
              </w:rPr>
              <w:t>2,728,444</w:t>
            </w:r>
          </w:p>
        </w:tc>
        <w:tc>
          <w:tcPr>
            <w:tcW w:w="1940" w:type="dxa"/>
            <w:vAlign w:val="bottom"/>
            <w:tcBorders>
              <w:right w:val="single" w:sz="8" w:color="181818"/>
            </w:tcBorders>
            <w:vMerge w:val="restart"/>
          </w:tcPr>
          <w:p>
            <w:pPr>
              <w:jc w:val="right"/>
              <w:ind w:right="128"/>
              <w:spacing w:after="0"/>
              <w:rPr>
                <w:sz w:val="20"/>
                <w:szCs w:val="20"/>
                <w:color w:val="auto"/>
              </w:rPr>
            </w:pPr>
            <w:r>
              <w:rPr>
                <w:rFonts w:ascii="Arial" w:cs="Arial" w:eastAsia="Arial" w:hAnsi="Arial"/>
                <w:sz w:val="14"/>
                <w:szCs w:val="14"/>
                <w:color w:val="auto"/>
              </w:rPr>
              <w:t>783,726</w:t>
            </w:r>
          </w:p>
        </w:tc>
        <w:tc>
          <w:tcPr>
            <w:tcW w:w="0" w:type="dxa"/>
            <w:vAlign w:val="bottom"/>
          </w:tcPr>
          <w:p>
            <w:pPr>
              <w:spacing w:after="0"/>
              <w:rPr>
                <w:sz w:val="1"/>
                <w:szCs w:val="1"/>
                <w:color w:val="auto"/>
              </w:rPr>
            </w:pPr>
          </w:p>
        </w:tc>
      </w:tr>
      <w:tr>
        <w:trPr>
          <w:trHeight w:val="100"/>
        </w:trPr>
        <w:tc>
          <w:tcPr>
            <w:tcW w:w="414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Covered Year</w:t>
            </w:r>
          </w:p>
        </w:tc>
        <w:tc>
          <w:tcPr>
            <w:tcW w:w="238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1940" w:type="dxa"/>
            <w:vAlign w:val="bottom"/>
            <w:tcBorders>
              <w:right w:val="single" w:sz="8" w:color="18181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40" w:type="dxa"/>
            <w:vAlign w:val="bottom"/>
            <w:tcBorders>
              <w:left w:val="single" w:sz="8" w:color="181818"/>
            </w:tcBorders>
            <w:vMerge w:val="continue"/>
          </w:tcPr>
          <w:p>
            <w:pPr>
              <w:spacing w:after="0"/>
              <w:rPr>
                <w:sz w:val="8"/>
                <w:szCs w:val="8"/>
                <w:color w:val="auto"/>
              </w:rPr>
            </w:pPr>
          </w:p>
        </w:tc>
        <w:tc>
          <w:tcPr>
            <w:tcW w:w="23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940" w:type="dxa"/>
            <w:vAlign w:val="bottom"/>
            <w:tcBorders>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4140" w:type="dxa"/>
            <w:vAlign w:val="bottom"/>
            <w:tcBorders>
              <w:left w:val="single" w:sz="8" w:color="181818"/>
              <w:bottom w:val="single" w:sz="8" w:color="181818"/>
            </w:tcBorders>
          </w:tcPr>
          <w:p>
            <w:pPr>
              <w:spacing w:after="0"/>
              <w:rPr>
                <w:sz w:val="5"/>
                <w:szCs w:val="5"/>
                <w:color w:val="auto"/>
              </w:rPr>
            </w:pPr>
          </w:p>
        </w:tc>
        <w:tc>
          <w:tcPr>
            <w:tcW w:w="2380" w:type="dxa"/>
            <w:vAlign w:val="bottom"/>
            <w:tcBorders>
              <w:bottom w:val="single" w:sz="8" w:color="181818"/>
            </w:tcBorders>
          </w:tcPr>
          <w:p>
            <w:pPr>
              <w:spacing w:after="0"/>
              <w:rPr>
                <w:sz w:val="5"/>
                <w:szCs w:val="5"/>
                <w:color w:val="auto"/>
              </w:rPr>
            </w:pPr>
          </w:p>
        </w:tc>
        <w:tc>
          <w:tcPr>
            <w:tcW w:w="2080" w:type="dxa"/>
            <w:vAlign w:val="bottom"/>
            <w:tcBorders>
              <w:bottom w:val="single" w:sz="8" w:color="181818"/>
            </w:tcBorders>
          </w:tcPr>
          <w:p>
            <w:pPr>
              <w:spacing w:after="0"/>
              <w:rPr>
                <w:sz w:val="5"/>
                <w:szCs w:val="5"/>
                <w:color w:val="auto"/>
              </w:rPr>
            </w:pPr>
          </w:p>
        </w:tc>
        <w:tc>
          <w:tcPr>
            <w:tcW w:w="1940" w:type="dxa"/>
            <w:vAlign w:val="bottom"/>
            <w:tcBorders>
              <w:bottom w:val="single" w:sz="8" w:color="181818"/>
              <w:right w:val="single" w:sz="8" w:color="181818"/>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Change in Fair Value of Outstanding Unvested Stock and</w:t>
            </w:r>
          </w:p>
        </w:tc>
        <w:tc>
          <w:tcPr>
            <w:tcW w:w="2380" w:type="dxa"/>
            <w:vAlign w:val="bottom"/>
            <w:vMerge w:val="restart"/>
          </w:tcPr>
          <w:p>
            <w:pPr>
              <w:jc w:val="right"/>
              <w:ind w:right="248"/>
              <w:spacing w:after="0"/>
              <w:rPr>
                <w:sz w:val="20"/>
                <w:szCs w:val="20"/>
                <w:color w:val="auto"/>
              </w:rPr>
            </w:pPr>
            <w:r>
              <w:rPr>
                <w:rFonts w:ascii="Arial" w:cs="Arial" w:eastAsia="Arial" w:hAnsi="Arial"/>
                <w:sz w:val="14"/>
                <w:szCs w:val="14"/>
                <w:color w:val="auto"/>
              </w:rPr>
              <w:t>(14,037)</w:t>
            </w:r>
          </w:p>
        </w:tc>
        <w:tc>
          <w:tcPr>
            <w:tcW w:w="2080" w:type="dxa"/>
            <w:vAlign w:val="bottom"/>
            <w:vMerge w:val="restart"/>
          </w:tcPr>
          <w:p>
            <w:pPr>
              <w:jc w:val="right"/>
              <w:ind w:right="268"/>
              <w:spacing w:after="0"/>
              <w:rPr>
                <w:sz w:val="20"/>
                <w:szCs w:val="20"/>
                <w:color w:val="auto"/>
              </w:rPr>
            </w:pPr>
            <w:r>
              <w:rPr>
                <w:rFonts w:ascii="Arial" w:cs="Arial" w:eastAsia="Arial" w:hAnsi="Arial"/>
                <w:sz w:val="14"/>
                <w:szCs w:val="14"/>
                <w:color w:val="auto"/>
              </w:rPr>
              <w:t>1,519</w:t>
            </w:r>
          </w:p>
        </w:tc>
        <w:tc>
          <w:tcPr>
            <w:tcW w:w="1940" w:type="dxa"/>
            <w:vAlign w:val="bottom"/>
            <w:tcBorders>
              <w:right w:val="single" w:sz="8" w:color="181818"/>
            </w:tcBorders>
            <w:vMerge w:val="restart"/>
          </w:tcPr>
          <w:p>
            <w:pPr>
              <w:jc w:val="right"/>
              <w:ind w:right="88"/>
              <w:spacing w:after="0"/>
              <w:rPr>
                <w:sz w:val="20"/>
                <w:szCs w:val="20"/>
                <w:color w:val="auto"/>
              </w:rPr>
            </w:pPr>
            <w:r>
              <w:rPr>
                <w:rFonts w:ascii="Arial" w:cs="Arial" w:eastAsia="Arial" w:hAnsi="Arial"/>
                <w:sz w:val="14"/>
                <w:szCs w:val="14"/>
                <w:color w:val="auto"/>
              </w:rPr>
              <w:t>(53,678)</w:t>
            </w:r>
          </w:p>
        </w:tc>
        <w:tc>
          <w:tcPr>
            <w:tcW w:w="0" w:type="dxa"/>
            <w:vAlign w:val="bottom"/>
          </w:tcPr>
          <w:p>
            <w:pPr>
              <w:spacing w:after="0"/>
              <w:rPr>
                <w:sz w:val="1"/>
                <w:szCs w:val="1"/>
                <w:color w:val="auto"/>
              </w:rPr>
            </w:pPr>
          </w:p>
        </w:tc>
      </w:tr>
      <w:tr>
        <w:trPr>
          <w:trHeight w:val="113"/>
        </w:trPr>
        <w:tc>
          <w:tcPr>
            <w:tcW w:w="414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Option Awards from Prior Years</w:t>
            </w:r>
          </w:p>
        </w:tc>
        <w:tc>
          <w:tcPr>
            <w:tcW w:w="238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1940" w:type="dxa"/>
            <w:vAlign w:val="bottom"/>
            <w:tcBorders>
              <w:right w:val="single" w:sz="8" w:color="18181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140" w:type="dxa"/>
            <w:vAlign w:val="bottom"/>
            <w:tcBorders>
              <w:left w:val="single" w:sz="8" w:color="181818"/>
            </w:tcBorders>
            <w:vMerge w:val="continue"/>
          </w:tcPr>
          <w:p>
            <w:pPr>
              <w:spacing w:after="0"/>
              <w:rPr>
                <w:sz w:val="7"/>
                <w:szCs w:val="7"/>
                <w:color w:val="auto"/>
              </w:rPr>
            </w:pPr>
          </w:p>
        </w:tc>
        <w:tc>
          <w:tcPr>
            <w:tcW w:w="23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940" w:type="dxa"/>
            <w:vAlign w:val="bottom"/>
            <w:tcBorders>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4140" w:type="dxa"/>
            <w:vAlign w:val="bottom"/>
            <w:tcBorders>
              <w:left w:val="single" w:sz="8" w:color="181818"/>
              <w:bottom w:val="single" w:sz="8" w:color="181818"/>
            </w:tcBorders>
          </w:tcPr>
          <w:p>
            <w:pPr>
              <w:spacing w:after="0"/>
              <w:rPr>
                <w:sz w:val="6"/>
                <w:szCs w:val="6"/>
                <w:color w:val="auto"/>
              </w:rPr>
            </w:pPr>
          </w:p>
        </w:tc>
        <w:tc>
          <w:tcPr>
            <w:tcW w:w="2380" w:type="dxa"/>
            <w:vAlign w:val="bottom"/>
            <w:tcBorders>
              <w:bottom w:val="single" w:sz="8" w:color="181818"/>
            </w:tcBorders>
          </w:tcPr>
          <w:p>
            <w:pPr>
              <w:spacing w:after="0"/>
              <w:rPr>
                <w:sz w:val="6"/>
                <w:szCs w:val="6"/>
                <w:color w:val="auto"/>
              </w:rPr>
            </w:pPr>
          </w:p>
        </w:tc>
        <w:tc>
          <w:tcPr>
            <w:tcW w:w="2080" w:type="dxa"/>
            <w:vAlign w:val="bottom"/>
            <w:tcBorders>
              <w:bottom w:val="single" w:sz="8" w:color="181818"/>
            </w:tcBorders>
          </w:tcPr>
          <w:p>
            <w:pPr>
              <w:spacing w:after="0"/>
              <w:rPr>
                <w:sz w:val="6"/>
                <w:szCs w:val="6"/>
                <w:color w:val="auto"/>
              </w:rPr>
            </w:pPr>
          </w:p>
        </w:tc>
        <w:tc>
          <w:tcPr>
            <w:tcW w:w="194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1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Change in Fair Value of Stock and Option Awards from Prior</w:t>
            </w:r>
          </w:p>
        </w:tc>
        <w:tc>
          <w:tcPr>
            <w:tcW w:w="2380" w:type="dxa"/>
            <w:vAlign w:val="bottom"/>
            <w:vMerge w:val="restart"/>
          </w:tcPr>
          <w:p>
            <w:pPr>
              <w:jc w:val="right"/>
              <w:ind w:right="248"/>
              <w:spacing w:after="0"/>
              <w:rPr>
                <w:sz w:val="20"/>
                <w:szCs w:val="20"/>
                <w:color w:val="auto"/>
              </w:rPr>
            </w:pPr>
            <w:r>
              <w:rPr>
                <w:rFonts w:ascii="Arial" w:cs="Arial" w:eastAsia="Arial" w:hAnsi="Arial"/>
                <w:sz w:val="14"/>
                <w:szCs w:val="14"/>
                <w:color w:val="auto"/>
              </w:rPr>
              <w:t>(70,522)</w:t>
            </w:r>
          </w:p>
        </w:tc>
        <w:tc>
          <w:tcPr>
            <w:tcW w:w="208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181818"/>
            </w:tcBorders>
            <w:vMerge w:val="restart"/>
          </w:tcPr>
          <w:p>
            <w:pPr>
              <w:jc w:val="right"/>
              <w:ind w:right="128"/>
              <w:spacing w:after="0"/>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100"/>
        </w:trPr>
        <w:tc>
          <w:tcPr>
            <w:tcW w:w="414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Years that Vested in the Covered Year</w:t>
            </w:r>
          </w:p>
        </w:tc>
        <w:tc>
          <w:tcPr>
            <w:tcW w:w="238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1940" w:type="dxa"/>
            <w:vAlign w:val="bottom"/>
            <w:tcBorders>
              <w:right w:val="single" w:sz="8" w:color="18181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140" w:type="dxa"/>
            <w:vAlign w:val="bottom"/>
            <w:tcBorders>
              <w:left w:val="single" w:sz="8" w:color="181818"/>
            </w:tcBorders>
            <w:vMerge w:val="continue"/>
          </w:tcPr>
          <w:p>
            <w:pPr>
              <w:spacing w:after="0"/>
              <w:rPr>
                <w:sz w:val="8"/>
                <w:szCs w:val="8"/>
                <w:color w:val="auto"/>
              </w:rPr>
            </w:pPr>
          </w:p>
        </w:tc>
        <w:tc>
          <w:tcPr>
            <w:tcW w:w="23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940" w:type="dxa"/>
            <w:vAlign w:val="bottom"/>
            <w:tcBorders>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140" w:type="dxa"/>
            <w:vAlign w:val="bottom"/>
            <w:tcBorders>
              <w:left w:val="single" w:sz="8" w:color="181818"/>
              <w:bottom w:val="single" w:sz="8" w:color="181818"/>
            </w:tcBorders>
          </w:tcPr>
          <w:p>
            <w:pPr>
              <w:spacing w:after="0"/>
              <w:rPr>
                <w:sz w:val="6"/>
                <w:szCs w:val="6"/>
                <w:color w:val="auto"/>
              </w:rPr>
            </w:pPr>
          </w:p>
        </w:tc>
        <w:tc>
          <w:tcPr>
            <w:tcW w:w="2380" w:type="dxa"/>
            <w:vAlign w:val="bottom"/>
            <w:tcBorders>
              <w:bottom w:val="single" w:sz="8" w:color="181818"/>
            </w:tcBorders>
          </w:tcPr>
          <w:p>
            <w:pPr>
              <w:spacing w:after="0"/>
              <w:rPr>
                <w:sz w:val="6"/>
                <w:szCs w:val="6"/>
                <w:color w:val="auto"/>
              </w:rPr>
            </w:pPr>
          </w:p>
        </w:tc>
        <w:tc>
          <w:tcPr>
            <w:tcW w:w="2080" w:type="dxa"/>
            <w:vAlign w:val="bottom"/>
            <w:tcBorders>
              <w:bottom w:val="single" w:sz="8" w:color="181818"/>
            </w:tcBorders>
          </w:tcPr>
          <w:p>
            <w:pPr>
              <w:spacing w:after="0"/>
              <w:rPr>
                <w:sz w:val="6"/>
                <w:szCs w:val="6"/>
                <w:color w:val="auto"/>
              </w:rPr>
            </w:pPr>
          </w:p>
        </w:tc>
        <w:tc>
          <w:tcPr>
            <w:tcW w:w="194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1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Change in Fair Value as of Vesting Date of Option Awards and</w:t>
            </w:r>
          </w:p>
        </w:tc>
        <w:tc>
          <w:tcPr>
            <w:tcW w:w="23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940" w:type="dxa"/>
            <w:vAlign w:val="bottom"/>
            <w:tcBorders>
              <w:right w:val="single" w:sz="8" w:color="181818"/>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Stock Awards Granted in Prior Fiscal Years For Which</w:t>
            </w:r>
          </w:p>
        </w:tc>
        <w:tc>
          <w:tcPr>
            <w:tcW w:w="23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2080" w:type="dxa"/>
            <w:vAlign w:val="bottom"/>
            <w:vMerge w:val="restart"/>
          </w:tcPr>
          <w:p>
            <w:pPr>
              <w:jc w:val="right"/>
              <w:ind w:right="228"/>
              <w:spacing w:after="0"/>
              <w:rPr>
                <w:sz w:val="20"/>
                <w:szCs w:val="20"/>
                <w:color w:val="auto"/>
              </w:rPr>
            </w:pPr>
            <w:r>
              <w:rPr>
                <w:rFonts w:ascii="Arial" w:cs="Arial" w:eastAsia="Arial" w:hAnsi="Arial"/>
                <w:sz w:val="14"/>
                <w:szCs w:val="14"/>
                <w:color w:val="auto"/>
              </w:rPr>
              <w:t>(24,126)</w:t>
            </w:r>
          </w:p>
        </w:tc>
        <w:tc>
          <w:tcPr>
            <w:tcW w:w="1940" w:type="dxa"/>
            <w:vAlign w:val="bottom"/>
            <w:tcBorders>
              <w:right w:val="single" w:sz="8" w:color="181818"/>
            </w:tcBorders>
            <w:vMerge w:val="restart"/>
          </w:tcPr>
          <w:p>
            <w:pPr>
              <w:jc w:val="right"/>
              <w:ind w:right="88"/>
              <w:spacing w:after="0"/>
              <w:rPr>
                <w:sz w:val="20"/>
                <w:szCs w:val="20"/>
                <w:color w:val="auto"/>
              </w:rPr>
            </w:pPr>
            <w:r>
              <w:rPr>
                <w:rFonts w:ascii="Arial" w:cs="Arial" w:eastAsia="Arial" w:hAnsi="Arial"/>
                <w:sz w:val="14"/>
                <w:szCs w:val="14"/>
                <w:color w:val="auto"/>
              </w:rPr>
              <w:t>(549,700)</w:t>
            </w:r>
          </w:p>
        </w:tc>
        <w:tc>
          <w:tcPr>
            <w:tcW w:w="0" w:type="dxa"/>
            <w:vAlign w:val="bottom"/>
          </w:tcPr>
          <w:p>
            <w:pPr>
              <w:spacing w:after="0"/>
              <w:rPr>
                <w:sz w:val="1"/>
                <w:szCs w:val="1"/>
                <w:color w:val="auto"/>
              </w:rPr>
            </w:pPr>
          </w:p>
        </w:tc>
      </w:tr>
      <w:tr>
        <w:trPr>
          <w:trHeight w:val="113"/>
        </w:trPr>
        <w:tc>
          <w:tcPr>
            <w:tcW w:w="414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Applicable Vesting Conditions Were Satisfied During Fiscal</w:t>
            </w:r>
          </w:p>
        </w:tc>
        <w:tc>
          <w:tcPr>
            <w:tcW w:w="238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1940" w:type="dxa"/>
            <w:vAlign w:val="bottom"/>
            <w:tcBorders>
              <w:right w:val="single" w:sz="8" w:color="18181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140" w:type="dxa"/>
            <w:vAlign w:val="bottom"/>
            <w:tcBorders>
              <w:left w:val="single" w:sz="8" w:color="181818"/>
            </w:tcBorders>
            <w:vMerge w:val="continue"/>
          </w:tcPr>
          <w:p>
            <w:pPr>
              <w:spacing w:after="0"/>
              <w:rPr>
                <w:sz w:val="5"/>
                <w:szCs w:val="5"/>
                <w:color w:val="auto"/>
              </w:rPr>
            </w:pPr>
          </w:p>
        </w:tc>
        <w:tc>
          <w:tcPr>
            <w:tcW w:w="23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940" w:type="dxa"/>
            <w:vAlign w:val="bottom"/>
            <w:tcBorders>
              <w:right w:val="single" w:sz="8" w:color="181818"/>
            </w:tcBorders>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1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Year</w:t>
            </w:r>
          </w:p>
        </w:tc>
        <w:tc>
          <w:tcPr>
            <w:tcW w:w="23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40" w:type="dxa"/>
            <w:vAlign w:val="bottom"/>
            <w:tcBorders>
              <w:right w:val="single" w:sz="8" w:color="181818"/>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140" w:type="dxa"/>
            <w:vAlign w:val="bottom"/>
            <w:tcBorders>
              <w:left w:val="single" w:sz="8" w:color="181818"/>
              <w:bottom w:val="single" w:sz="8" w:color="181818"/>
            </w:tcBorders>
          </w:tcPr>
          <w:p>
            <w:pPr>
              <w:spacing w:after="0"/>
              <w:rPr>
                <w:sz w:val="6"/>
                <w:szCs w:val="6"/>
                <w:color w:val="auto"/>
              </w:rPr>
            </w:pPr>
          </w:p>
        </w:tc>
        <w:tc>
          <w:tcPr>
            <w:tcW w:w="2380" w:type="dxa"/>
            <w:vAlign w:val="bottom"/>
            <w:tcBorders>
              <w:bottom w:val="single" w:sz="8" w:color="181818"/>
            </w:tcBorders>
          </w:tcPr>
          <w:p>
            <w:pPr>
              <w:spacing w:after="0"/>
              <w:rPr>
                <w:sz w:val="6"/>
                <w:szCs w:val="6"/>
                <w:color w:val="auto"/>
              </w:rPr>
            </w:pPr>
          </w:p>
        </w:tc>
        <w:tc>
          <w:tcPr>
            <w:tcW w:w="2080" w:type="dxa"/>
            <w:vAlign w:val="bottom"/>
            <w:tcBorders>
              <w:bottom w:val="single" w:sz="8" w:color="181818"/>
            </w:tcBorders>
          </w:tcPr>
          <w:p>
            <w:pPr>
              <w:spacing w:after="0"/>
              <w:rPr>
                <w:sz w:val="6"/>
                <w:szCs w:val="6"/>
                <w:color w:val="auto"/>
              </w:rPr>
            </w:pPr>
          </w:p>
        </w:tc>
        <w:tc>
          <w:tcPr>
            <w:tcW w:w="194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1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Less: Fair Value of Stock and Option Awards Forfeited during</w:t>
            </w:r>
          </w:p>
        </w:tc>
        <w:tc>
          <w:tcPr>
            <w:tcW w:w="23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208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181818"/>
            </w:tcBorders>
            <w:vMerge w:val="restart"/>
          </w:tcPr>
          <w:p>
            <w:pPr>
              <w:jc w:val="right"/>
              <w:ind w:right="88"/>
              <w:spacing w:after="0"/>
              <w:rPr>
                <w:sz w:val="20"/>
                <w:szCs w:val="20"/>
                <w:color w:val="auto"/>
              </w:rPr>
            </w:pPr>
            <w:r>
              <w:rPr>
                <w:rFonts w:ascii="Arial" w:cs="Arial" w:eastAsia="Arial" w:hAnsi="Arial"/>
                <w:sz w:val="14"/>
                <w:szCs w:val="14"/>
                <w:color w:val="auto"/>
              </w:rPr>
              <w:t>(720,557)</w:t>
            </w:r>
          </w:p>
        </w:tc>
        <w:tc>
          <w:tcPr>
            <w:tcW w:w="0" w:type="dxa"/>
            <w:vAlign w:val="bottom"/>
          </w:tcPr>
          <w:p>
            <w:pPr>
              <w:spacing w:after="0"/>
              <w:rPr>
                <w:sz w:val="1"/>
                <w:szCs w:val="1"/>
                <w:color w:val="auto"/>
              </w:rPr>
            </w:pPr>
          </w:p>
        </w:tc>
      </w:tr>
      <w:tr>
        <w:trPr>
          <w:trHeight w:val="100"/>
        </w:trPr>
        <w:tc>
          <w:tcPr>
            <w:tcW w:w="414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the Covered Year</w:t>
            </w:r>
          </w:p>
        </w:tc>
        <w:tc>
          <w:tcPr>
            <w:tcW w:w="238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1940" w:type="dxa"/>
            <w:vAlign w:val="bottom"/>
            <w:tcBorders>
              <w:right w:val="single" w:sz="8" w:color="18181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40" w:type="dxa"/>
            <w:vAlign w:val="bottom"/>
            <w:tcBorders>
              <w:left w:val="single" w:sz="8" w:color="181818"/>
            </w:tcBorders>
            <w:vMerge w:val="continue"/>
          </w:tcPr>
          <w:p>
            <w:pPr>
              <w:spacing w:after="0"/>
              <w:rPr>
                <w:sz w:val="8"/>
                <w:szCs w:val="8"/>
                <w:color w:val="auto"/>
              </w:rPr>
            </w:pPr>
          </w:p>
        </w:tc>
        <w:tc>
          <w:tcPr>
            <w:tcW w:w="23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940" w:type="dxa"/>
            <w:vAlign w:val="bottom"/>
            <w:tcBorders>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4140" w:type="dxa"/>
            <w:vAlign w:val="bottom"/>
            <w:tcBorders>
              <w:left w:val="single" w:sz="8" w:color="181818"/>
              <w:bottom w:val="single" w:sz="8" w:color="181818"/>
            </w:tcBorders>
          </w:tcPr>
          <w:p>
            <w:pPr>
              <w:spacing w:after="0"/>
              <w:rPr>
                <w:sz w:val="5"/>
                <w:szCs w:val="5"/>
                <w:color w:val="auto"/>
              </w:rPr>
            </w:pPr>
          </w:p>
        </w:tc>
        <w:tc>
          <w:tcPr>
            <w:tcW w:w="2380" w:type="dxa"/>
            <w:vAlign w:val="bottom"/>
            <w:tcBorders>
              <w:bottom w:val="single" w:sz="8" w:color="181818"/>
            </w:tcBorders>
          </w:tcPr>
          <w:p>
            <w:pPr>
              <w:spacing w:after="0"/>
              <w:rPr>
                <w:sz w:val="5"/>
                <w:szCs w:val="5"/>
                <w:color w:val="auto"/>
              </w:rPr>
            </w:pPr>
          </w:p>
        </w:tc>
        <w:tc>
          <w:tcPr>
            <w:tcW w:w="2080" w:type="dxa"/>
            <w:vAlign w:val="bottom"/>
            <w:tcBorders>
              <w:bottom w:val="single" w:sz="8" w:color="181818"/>
            </w:tcBorders>
          </w:tcPr>
          <w:p>
            <w:pPr>
              <w:spacing w:after="0"/>
              <w:rPr>
                <w:sz w:val="5"/>
                <w:szCs w:val="5"/>
                <w:color w:val="auto"/>
              </w:rPr>
            </w:pPr>
          </w:p>
        </w:tc>
        <w:tc>
          <w:tcPr>
            <w:tcW w:w="1940" w:type="dxa"/>
            <w:vAlign w:val="bottom"/>
            <w:tcBorders>
              <w:bottom w:val="single" w:sz="8" w:color="181818"/>
              <w:right w:val="single" w:sz="8" w:color="181818"/>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1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Compensation Actually Paid</w:t>
            </w:r>
          </w:p>
        </w:tc>
        <w:tc>
          <w:tcPr>
            <w:tcW w:w="2380" w:type="dxa"/>
            <w:vAlign w:val="bottom"/>
          </w:tcPr>
          <w:p>
            <w:pPr>
              <w:jc w:val="right"/>
              <w:ind w:right="288"/>
              <w:spacing w:after="0"/>
              <w:rPr>
                <w:sz w:val="20"/>
                <w:szCs w:val="20"/>
                <w:color w:val="auto"/>
              </w:rPr>
            </w:pPr>
            <w:r>
              <w:rPr>
                <w:rFonts w:ascii="Arial" w:cs="Arial" w:eastAsia="Arial" w:hAnsi="Arial"/>
                <w:sz w:val="14"/>
                <w:szCs w:val="14"/>
                <w:color w:val="auto"/>
              </w:rPr>
              <w:t>2,735,156</w:t>
            </w:r>
          </w:p>
        </w:tc>
        <w:tc>
          <w:tcPr>
            <w:tcW w:w="2080" w:type="dxa"/>
            <w:vAlign w:val="bottom"/>
          </w:tcPr>
          <w:p>
            <w:pPr>
              <w:jc w:val="right"/>
              <w:ind w:right="268"/>
              <w:spacing w:after="0"/>
              <w:rPr>
                <w:sz w:val="20"/>
                <w:szCs w:val="20"/>
                <w:color w:val="auto"/>
              </w:rPr>
            </w:pPr>
            <w:r>
              <w:rPr>
                <w:rFonts w:ascii="Arial" w:cs="Arial" w:eastAsia="Arial" w:hAnsi="Arial"/>
                <w:sz w:val="14"/>
                <w:szCs w:val="14"/>
                <w:color w:val="auto"/>
              </w:rPr>
              <w:t>3,338,054</w:t>
            </w:r>
          </w:p>
        </w:tc>
        <w:tc>
          <w:tcPr>
            <w:tcW w:w="194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592,550</w:t>
            </w:r>
          </w:p>
        </w:tc>
        <w:tc>
          <w:tcPr>
            <w:tcW w:w="0" w:type="dxa"/>
            <w:vAlign w:val="bottom"/>
          </w:tcPr>
          <w:p>
            <w:pPr>
              <w:spacing w:after="0"/>
              <w:rPr>
                <w:sz w:val="1"/>
                <w:szCs w:val="1"/>
                <w:color w:val="auto"/>
              </w:rPr>
            </w:pPr>
          </w:p>
        </w:tc>
      </w:tr>
      <w:tr>
        <w:trPr>
          <w:trHeight w:val="76"/>
        </w:trPr>
        <w:tc>
          <w:tcPr>
            <w:tcW w:w="4140" w:type="dxa"/>
            <w:vAlign w:val="bottom"/>
            <w:tcBorders>
              <w:left w:val="single" w:sz="8" w:color="181818"/>
              <w:bottom w:val="single" w:sz="8" w:color="181818"/>
            </w:tcBorders>
          </w:tcPr>
          <w:p>
            <w:pPr>
              <w:spacing w:after="0"/>
              <w:rPr>
                <w:sz w:val="6"/>
                <w:szCs w:val="6"/>
                <w:color w:val="auto"/>
              </w:rPr>
            </w:pPr>
          </w:p>
        </w:tc>
        <w:tc>
          <w:tcPr>
            <w:tcW w:w="2380" w:type="dxa"/>
            <w:vAlign w:val="bottom"/>
            <w:tcBorders>
              <w:bottom w:val="single" w:sz="8" w:color="181818"/>
            </w:tcBorders>
          </w:tcPr>
          <w:p>
            <w:pPr>
              <w:spacing w:after="0"/>
              <w:rPr>
                <w:sz w:val="6"/>
                <w:szCs w:val="6"/>
                <w:color w:val="auto"/>
              </w:rPr>
            </w:pPr>
          </w:p>
        </w:tc>
        <w:tc>
          <w:tcPr>
            <w:tcW w:w="2080" w:type="dxa"/>
            <w:vAlign w:val="bottom"/>
            <w:tcBorders>
              <w:bottom w:val="single" w:sz="8" w:color="181818"/>
            </w:tcBorders>
          </w:tcPr>
          <w:p>
            <w:pPr>
              <w:spacing w:after="0"/>
              <w:rPr>
                <w:sz w:val="6"/>
                <w:szCs w:val="6"/>
                <w:color w:val="auto"/>
              </w:rPr>
            </w:pPr>
          </w:p>
        </w:tc>
        <w:tc>
          <w:tcPr>
            <w:tcW w:w="194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27" w:right="240"/>
        <w:spacing w:after="0" w:line="286" w:lineRule="auto"/>
        <w:rPr>
          <w:sz w:val="20"/>
          <w:szCs w:val="20"/>
          <w:color w:val="auto"/>
        </w:rPr>
      </w:pPr>
      <w:r>
        <w:rPr>
          <w:rFonts w:ascii="Arial" w:cs="Arial" w:eastAsia="Arial" w:hAnsi="Arial"/>
          <w:sz w:val="14"/>
          <w:szCs w:val="14"/>
          <w:color w:val="auto"/>
        </w:rPr>
        <w:t>The valuation of the equity granted to our non-PEO NEOs is based upon multiple factors, including grant date stock price, life of grant, volatility and risk-free rate. To determine the average compensation actually paid, adjustments have been made to the fair value calculation to adjust for the change in stock price at year-end and vest date, adjustments in time to vest and life of grant and related volatility and risk-free rate.</w:t>
      </w:r>
    </w:p>
    <w:p>
      <w:pPr>
        <w:spacing w:after="0" w:line="32" w:lineRule="exact"/>
        <w:rPr>
          <w:sz w:val="20"/>
          <w:szCs w:val="20"/>
          <w:color w:val="auto"/>
        </w:rPr>
      </w:pPr>
    </w:p>
    <w:p>
      <w:pPr>
        <w:ind w:left="287" w:hanging="287"/>
        <w:spacing w:after="0"/>
        <w:tabs>
          <w:tab w:leader="none" w:pos="287" w:val="left"/>
        </w:tabs>
        <w:numPr>
          <w:ilvl w:val="0"/>
          <w:numId w:val="60"/>
        </w:numPr>
        <w:rPr>
          <w:rFonts w:ascii="Arial" w:cs="Arial" w:eastAsia="Arial" w:hAnsi="Arial"/>
          <w:sz w:val="14"/>
          <w:szCs w:val="14"/>
          <w:b w:val="1"/>
          <w:bCs w:val="1"/>
          <w:color w:val="181818"/>
        </w:rPr>
      </w:pPr>
      <w:r>
        <w:rPr>
          <w:rFonts w:ascii="Arial" w:cs="Arial" w:eastAsia="Arial" w:hAnsi="Arial"/>
          <w:sz w:val="14"/>
          <w:szCs w:val="14"/>
          <w:color w:val="auto"/>
        </w:rPr>
        <w:t>Represents the cumulative total stockholder return of the Company for the measurement periods ending March 31, 2026, March 31, 2025 and March 31, 2024, respectively.</w:t>
      </w:r>
    </w:p>
    <w:p>
      <w:pPr>
        <w:spacing w:after="0" w:line="95" w:lineRule="exact"/>
        <w:rPr>
          <w:rFonts w:ascii="Arial" w:cs="Arial" w:eastAsia="Arial" w:hAnsi="Arial"/>
          <w:sz w:val="14"/>
          <w:szCs w:val="14"/>
          <w:b w:val="1"/>
          <w:bCs w:val="1"/>
          <w:color w:val="181818"/>
        </w:rPr>
      </w:pPr>
    </w:p>
    <w:p>
      <w:pPr>
        <w:ind w:left="327" w:right="220" w:hanging="327"/>
        <w:spacing w:after="0" w:line="311" w:lineRule="auto"/>
        <w:tabs>
          <w:tab w:leader="none" w:pos="300" w:val="left"/>
        </w:tabs>
        <w:numPr>
          <w:ilvl w:val="0"/>
          <w:numId w:val="60"/>
        </w:numPr>
        <w:rPr>
          <w:rFonts w:ascii="Arial" w:cs="Arial" w:eastAsia="Arial" w:hAnsi="Arial"/>
          <w:sz w:val="14"/>
          <w:szCs w:val="14"/>
          <w:b w:val="1"/>
          <w:bCs w:val="1"/>
          <w:color w:val="181818"/>
        </w:rPr>
      </w:pPr>
      <w:r>
        <w:rPr>
          <w:rFonts w:ascii="Arial" w:cs="Arial" w:eastAsia="Arial" w:hAnsi="Arial"/>
          <w:sz w:val="14"/>
          <w:szCs w:val="14"/>
          <w:color w:val="auto"/>
        </w:rPr>
        <w:t>Represents the Net Loss of the Company as reflected in the Company's Consolidated Statements of Operations included in the Company's Annual Report for each of the periods presented.</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Relationship between Pay and Performance</w:t>
      </w:r>
    </w:p>
    <w:p>
      <w:pPr>
        <w:spacing w:after="0" w:line="148" w:lineRule="exact"/>
        <w:rPr>
          <w:sz w:val="20"/>
          <w:szCs w:val="20"/>
          <w:color w:val="auto"/>
        </w:rPr>
      </w:pPr>
    </w:p>
    <w:p>
      <w:pPr>
        <w:jc w:val="both"/>
        <w:ind w:left="7"/>
        <w:spacing w:after="0" w:line="344" w:lineRule="auto"/>
        <w:rPr>
          <w:sz w:val="20"/>
          <w:szCs w:val="20"/>
          <w:color w:val="auto"/>
        </w:rPr>
      </w:pPr>
      <w:r>
        <w:rPr>
          <w:rFonts w:ascii="Arial" w:cs="Arial" w:eastAsia="Arial" w:hAnsi="Arial"/>
          <w:sz w:val="16"/>
          <w:szCs w:val="16"/>
          <w:color w:val="auto"/>
        </w:rPr>
        <w:t>The graphs below show the relationship between (A) the compensation actually paid to our PEO and non-PEO NEOs in Fiscal 2024, Fiscal 2025 and Fiscal 2026 and (B) our (1) Total Stockholder Return and (2) Net Loss.</w:t>
      </w:r>
    </w:p>
    <w:p>
      <w:pPr>
        <w:spacing w:after="0" w:line="26" w:lineRule="exact"/>
        <w:rPr>
          <w:sz w:val="20"/>
          <w:szCs w:val="20"/>
          <w:color w:val="auto"/>
        </w:rPr>
      </w:pPr>
    </w:p>
    <w:p>
      <w:pPr>
        <w:jc w:val="both"/>
        <w:ind w:left="7"/>
        <w:spacing w:after="0" w:line="321" w:lineRule="auto"/>
        <w:rPr>
          <w:sz w:val="20"/>
          <w:szCs w:val="20"/>
          <w:color w:val="auto"/>
        </w:rPr>
      </w:pPr>
      <w:r>
        <w:rPr>
          <w:rFonts w:ascii="Arial" w:cs="Arial" w:eastAsia="Arial" w:hAnsi="Arial"/>
          <w:sz w:val="16"/>
          <w:szCs w:val="16"/>
          <w:color w:val="auto"/>
        </w:rPr>
        <w:t>CAP, as noted above, is required under SEC rules and reflects adjustments to the value of unvested and vested equity awards during the years shown. Adjustments to the awards include change in stock price and valuation assumptions at remeasurement date and, for performance awards, changes to projected performance expectations. CAP generally fluctuates due to changes in stock prices and the related changes to the valuation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356870</wp:posOffset>
            </wp:positionV>
            <wp:extent cx="71577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7"/>
        <w:spacing w:after="0"/>
        <w:tabs>
          <w:tab w:leader="none" w:pos="10267" w:val="left"/>
        </w:tabs>
        <w:rPr>
          <w:sz w:val="20"/>
          <w:szCs w:val="20"/>
          <w:color w:val="auto"/>
        </w:rPr>
      </w:pPr>
      <w:r>
        <w:rPr>
          <w:rFonts w:ascii="Arial" w:cs="Arial" w:eastAsia="Arial" w:hAnsi="Arial"/>
          <w:sz w:val="14"/>
          <w:szCs w:val="14"/>
          <w:color w:val="09314A"/>
        </w:rPr>
        <w:t xml:space="preserve">52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1831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603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0325"/>
                    </a:xfrm>
                    <a:prstGeom prst="rect">
                      <a:avLst/>
                    </a:prstGeom>
                    <a:noFill/>
                  </pic:spPr>
                </pic:pic>
              </a:graphicData>
            </a:graphic>
          </wp:anchor>
        </w:drawing>
        <w:t>Executive Compensation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404495</wp:posOffset>
            </wp:positionV>
            <wp:extent cx="5554980" cy="41402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54980" cy="414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1B6F80"/>
        </w:rPr>
        <w:t>Equity Compensation Plan Information</w:t>
      </w:r>
    </w:p>
    <w:p>
      <w:pPr>
        <w:spacing w:after="0" w:line="137" w:lineRule="exact"/>
        <w:rPr>
          <w:sz w:val="20"/>
          <w:szCs w:val="20"/>
          <w:color w:val="auto"/>
        </w:rPr>
      </w:pPr>
    </w:p>
    <w:p>
      <w:pPr>
        <w:jc w:val="both"/>
        <w:ind w:left="7"/>
        <w:spacing w:after="0" w:line="313" w:lineRule="auto"/>
        <w:rPr>
          <w:sz w:val="20"/>
          <w:szCs w:val="20"/>
          <w:color w:val="auto"/>
        </w:rPr>
      </w:pPr>
      <w:r>
        <w:rPr>
          <w:rFonts w:ascii="Arial" w:cs="Arial" w:eastAsia="Arial" w:hAnsi="Arial"/>
          <w:sz w:val="16"/>
          <w:szCs w:val="16"/>
          <w:color w:val="auto"/>
        </w:rPr>
        <w:t>We award stock options, RSUs, PSUs, and PSOs to our employees meeting certain eligibility requirements under plans approved by our stockholders initially in 2023, referred to as the “2023 Stock Plan,” and have previously awarded stock options, RSUs, and PSUs to our employees meeting certain eligibility requirements under a plan approved by our stockholders in 2014 and 2010.</w:t>
      </w:r>
    </w:p>
    <w:p>
      <w:pPr>
        <w:spacing w:after="0" w:line="65"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The following table summarizes our compensation plans under which our equity securities are authorized for issuance as of March 31, 2026:</w:t>
      </w:r>
    </w:p>
    <w:p>
      <w:pPr>
        <w:spacing w:after="0" w:line="163" w:lineRule="exact"/>
        <w:rPr>
          <w:sz w:val="20"/>
          <w:szCs w:val="20"/>
          <w:color w:val="auto"/>
        </w:rPr>
      </w:pPr>
    </w:p>
    <w:tbl>
      <w:tblPr>
        <w:tblLayout w:type="fixed"/>
        <w:tblInd w:w="17" w:type="dxa"/>
        <w:tblCellMar>
          <w:top w:w="0" w:type="dxa"/>
          <w:left w:w="0" w:type="dxa"/>
          <w:bottom w:w="0" w:type="dxa"/>
          <w:right w:w="0" w:type="dxa"/>
        </w:tblCellMar>
      </w:tblPr>
      <w:tr>
        <w:trPr>
          <w:trHeight w:val="201"/>
        </w:trPr>
        <w:tc>
          <w:tcPr>
            <w:tcW w:w="2900" w:type="dxa"/>
            <w:vAlign w:val="bottom"/>
            <w:tcBorders>
              <w:top w:val="single" w:sz="8" w:color="181818"/>
              <w:left w:val="single" w:sz="8" w:color="181818"/>
            </w:tcBorders>
            <w:shd w:val="clear" w:color="auto" w:fill="1B6F80"/>
          </w:tcPr>
          <w:p>
            <w:pPr>
              <w:spacing w:after="0"/>
              <w:rPr>
                <w:sz w:val="17"/>
                <w:szCs w:val="17"/>
                <w:color w:val="auto"/>
              </w:rPr>
            </w:pPr>
          </w:p>
        </w:tc>
        <w:tc>
          <w:tcPr>
            <w:tcW w:w="3380" w:type="dxa"/>
            <w:vAlign w:val="bottom"/>
            <w:tcBorders>
              <w:top w:val="single" w:sz="8" w:color="181818"/>
            </w:tcBorders>
            <w:shd w:val="clear" w:color="auto" w:fill="1B6F80"/>
          </w:tcPr>
          <w:p>
            <w:pPr>
              <w:jc w:val="right"/>
              <w:ind w:right="552"/>
              <w:spacing w:after="0"/>
              <w:rPr>
                <w:sz w:val="20"/>
                <w:szCs w:val="20"/>
                <w:color w:val="auto"/>
              </w:rPr>
            </w:pPr>
            <w:r>
              <w:rPr>
                <w:rFonts w:ascii="Arial" w:cs="Arial" w:eastAsia="Arial" w:hAnsi="Arial"/>
                <w:sz w:val="14"/>
                <w:szCs w:val="14"/>
                <w:b w:val="1"/>
                <w:bCs w:val="1"/>
                <w:color w:val="FFFFFF"/>
              </w:rPr>
              <w:t>Number of Shares to be</w:t>
            </w:r>
          </w:p>
        </w:tc>
        <w:tc>
          <w:tcPr>
            <w:tcW w:w="2360" w:type="dxa"/>
            <w:vAlign w:val="bottom"/>
            <w:tcBorders>
              <w:top w:val="single" w:sz="8" w:color="181818"/>
            </w:tcBorders>
            <w:shd w:val="clear" w:color="auto" w:fill="1B6F80"/>
          </w:tcPr>
          <w:p>
            <w:pPr>
              <w:jc w:val="right"/>
              <w:ind w:right="408"/>
              <w:spacing w:after="0"/>
              <w:rPr>
                <w:sz w:val="20"/>
                <w:szCs w:val="20"/>
                <w:color w:val="auto"/>
              </w:rPr>
            </w:pPr>
            <w:r>
              <w:rPr>
                <w:rFonts w:ascii="Arial" w:cs="Arial" w:eastAsia="Arial" w:hAnsi="Arial"/>
                <w:sz w:val="14"/>
                <w:szCs w:val="14"/>
                <w:b w:val="1"/>
                <w:bCs w:val="1"/>
                <w:color w:val="FFFFFF"/>
              </w:rPr>
              <w:t>Weighted-Average</w:t>
            </w:r>
          </w:p>
        </w:tc>
        <w:tc>
          <w:tcPr>
            <w:tcW w:w="2640" w:type="dxa"/>
            <w:vAlign w:val="bottom"/>
            <w:tcBorders>
              <w:top w:val="single" w:sz="8" w:color="181818"/>
              <w:right w:val="single" w:sz="8" w:color="181818"/>
            </w:tcBorders>
            <w:shd w:val="clear" w:color="auto" w:fill="1B6F80"/>
          </w:tcPr>
          <w:p>
            <w:pPr>
              <w:jc w:val="right"/>
              <w:ind w:right="72"/>
              <w:spacing w:after="0"/>
              <w:rPr>
                <w:sz w:val="20"/>
                <w:szCs w:val="20"/>
                <w:color w:val="auto"/>
              </w:rPr>
            </w:pPr>
            <w:r>
              <w:rPr>
                <w:rFonts w:ascii="Arial" w:cs="Arial" w:eastAsia="Arial" w:hAnsi="Arial"/>
                <w:sz w:val="14"/>
                <w:szCs w:val="14"/>
                <w:b w:val="1"/>
                <w:bCs w:val="1"/>
                <w:color w:val="FFFFFF"/>
              </w:rPr>
              <w:t>Number of Shares</w:t>
            </w:r>
          </w:p>
        </w:tc>
        <w:tc>
          <w:tcPr>
            <w:tcW w:w="0" w:type="dxa"/>
            <w:vAlign w:val="bottom"/>
          </w:tcPr>
          <w:p>
            <w:pPr>
              <w:spacing w:after="0"/>
              <w:rPr>
                <w:sz w:val="1"/>
                <w:szCs w:val="1"/>
                <w:color w:val="auto"/>
              </w:rPr>
            </w:pPr>
          </w:p>
        </w:tc>
      </w:tr>
      <w:tr>
        <w:trPr>
          <w:trHeight w:val="175"/>
        </w:trPr>
        <w:tc>
          <w:tcPr>
            <w:tcW w:w="2900" w:type="dxa"/>
            <w:vAlign w:val="bottom"/>
            <w:tcBorders>
              <w:left w:val="single" w:sz="8" w:color="181818"/>
            </w:tcBorders>
            <w:shd w:val="clear" w:color="auto" w:fill="1B6F80"/>
          </w:tcPr>
          <w:p>
            <w:pPr>
              <w:spacing w:after="0"/>
              <w:rPr>
                <w:sz w:val="15"/>
                <w:szCs w:val="15"/>
                <w:color w:val="auto"/>
              </w:rPr>
            </w:pPr>
          </w:p>
        </w:tc>
        <w:tc>
          <w:tcPr>
            <w:tcW w:w="3380" w:type="dxa"/>
            <w:vAlign w:val="bottom"/>
            <w:shd w:val="clear" w:color="auto" w:fill="1B6F80"/>
          </w:tcPr>
          <w:p>
            <w:pPr>
              <w:jc w:val="right"/>
              <w:ind w:right="552"/>
              <w:spacing w:after="0"/>
              <w:rPr>
                <w:sz w:val="20"/>
                <w:szCs w:val="20"/>
                <w:color w:val="auto"/>
              </w:rPr>
            </w:pPr>
            <w:r>
              <w:rPr>
                <w:rFonts w:ascii="Arial" w:cs="Arial" w:eastAsia="Arial" w:hAnsi="Arial"/>
                <w:sz w:val="14"/>
                <w:szCs w:val="14"/>
                <w:b w:val="1"/>
                <w:bCs w:val="1"/>
                <w:color w:val="FFFFFF"/>
              </w:rPr>
              <w:t>Issued Upon Exercise of</w:t>
            </w:r>
          </w:p>
        </w:tc>
        <w:tc>
          <w:tcPr>
            <w:tcW w:w="2360" w:type="dxa"/>
            <w:vAlign w:val="bottom"/>
            <w:shd w:val="clear" w:color="auto" w:fill="1B6F80"/>
          </w:tcPr>
          <w:p>
            <w:pPr>
              <w:jc w:val="right"/>
              <w:ind w:right="408"/>
              <w:spacing w:after="0"/>
              <w:rPr>
                <w:sz w:val="20"/>
                <w:szCs w:val="20"/>
                <w:color w:val="auto"/>
              </w:rPr>
            </w:pPr>
            <w:r>
              <w:rPr>
                <w:rFonts w:ascii="Arial" w:cs="Arial" w:eastAsia="Arial" w:hAnsi="Arial"/>
                <w:sz w:val="14"/>
                <w:szCs w:val="14"/>
                <w:b w:val="1"/>
                <w:bCs w:val="1"/>
                <w:color w:val="FFFFFF"/>
              </w:rPr>
              <w:t>Exercise Price of</w:t>
            </w:r>
          </w:p>
        </w:tc>
        <w:tc>
          <w:tcPr>
            <w:tcW w:w="2640" w:type="dxa"/>
            <w:vAlign w:val="bottom"/>
            <w:tcBorders>
              <w:right w:val="single" w:sz="8" w:color="181818"/>
            </w:tcBorders>
            <w:shd w:val="clear" w:color="auto" w:fill="1B6F80"/>
          </w:tcPr>
          <w:p>
            <w:pPr>
              <w:jc w:val="right"/>
              <w:ind w:right="72"/>
              <w:spacing w:after="0"/>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62"/>
        </w:trPr>
        <w:tc>
          <w:tcPr>
            <w:tcW w:w="2900" w:type="dxa"/>
            <w:vAlign w:val="bottom"/>
            <w:tcBorders>
              <w:left w:val="single" w:sz="8" w:color="181818"/>
            </w:tcBorders>
            <w:shd w:val="clear" w:color="auto" w:fill="1B6F80"/>
          </w:tcPr>
          <w:p>
            <w:pPr>
              <w:spacing w:after="0"/>
              <w:rPr>
                <w:sz w:val="14"/>
                <w:szCs w:val="14"/>
                <w:color w:val="auto"/>
              </w:rPr>
            </w:pPr>
          </w:p>
        </w:tc>
        <w:tc>
          <w:tcPr>
            <w:tcW w:w="3380" w:type="dxa"/>
            <w:vAlign w:val="bottom"/>
            <w:shd w:val="clear" w:color="auto" w:fill="1B6F80"/>
          </w:tcPr>
          <w:p>
            <w:pPr>
              <w:jc w:val="right"/>
              <w:ind w:right="552"/>
              <w:spacing w:after="0"/>
              <w:rPr>
                <w:sz w:val="20"/>
                <w:szCs w:val="20"/>
                <w:color w:val="auto"/>
              </w:rPr>
            </w:pPr>
            <w:r>
              <w:rPr>
                <w:rFonts w:ascii="Arial" w:cs="Arial" w:eastAsia="Arial" w:hAnsi="Arial"/>
                <w:sz w:val="14"/>
                <w:szCs w:val="14"/>
                <w:b w:val="1"/>
                <w:bCs w:val="1"/>
                <w:color w:val="FFFFFF"/>
              </w:rPr>
              <w:t>Outstanding Stock Options,</w:t>
            </w:r>
          </w:p>
        </w:tc>
        <w:tc>
          <w:tcPr>
            <w:tcW w:w="2360" w:type="dxa"/>
            <w:vAlign w:val="bottom"/>
            <w:shd w:val="clear" w:color="auto" w:fill="1B6F80"/>
          </w:tcPr>
          <w:p>
            <w:pPr>
              <w:jc w:val="right"/>
              <w:ind w:right="408"/>
              <w:spacing w:after="0"/>
              <w:rPr>
                <w:sz w:val="20"/>
                <w:szCs w:val="20"/>
                <w:color w:val="auto"/>
              </w:rPr>
            </w:pPr>
            <w:r>
              <w:rPr>
                <w:rFonts w:ascii="Arial" w:cs="Arial" w:eastAsia="Arial" w:hAnsi="Arial"/>
                <w:sz w:val="14"/>
                <w:szCs w:val="14"/>
                <w:b w:val="1"/>
                <w:bCs w:val="1"/>
                <w:color w:val="FFFFFF"/>
              </w:rPr>
              <w:t>Outstanding Stock</w:t>
            </w:r>
          </w:p>
        </w:tc>
        <w:tc>
          <w:tcPr>
            <w:tcW w:w="2640" w:type="dxa"/>
            <w:vAlign w:val="bottom"/>
            <w:tcBorders>
              <w:right w:val="single" w:sz="8" w:color="181818"/>
            </w:tcBorders>
            <w:shd w:val="clear" w:color="auto" w:fill="1B6F80"/>
          </w:tcPr>
          <w:p>
            <w:pPr>
              <w:jc w:val="right"/>
              <w:ind w:right="72"/>
              <w:spacing w:after="0"/>
              <w:rPr>
                <w:sz w:val="20"/>
                <w:szCs w:val="20"/>
                <w:color w:val="auto"/>
              </w:rPr>
            </w:pPr>
            <w:r>
              <w:rPr>
                <w:rFonts w:ascii="Arial" w:cs="Arial" w:eastAsia="Arial" w:hAnsi="Arial"/>
                <w:sz w:val="14"/>
                <w:szCs w:val="14"/>
                <w:b w:val="1"/>
                <w:bCs w:val="1"/>
                <w:color w:val="FFFFFF"/>
              </w:rPr>
              <w:t>Future Issuance Under Equity</w:t>
            </w:r>
          </w:p>
        </w:tc>
        <w:tc>
          <w:tcPr>
            <w:tcW w:w="0" w:type="dxa"/>
            <w:vAlign w:val="bottom"/>
          </w:tcPr>
          <w:p>
            <w:pPr>
              <w:spacing w:after="0"/>
              <w:rPr>
                <w:sz w:val="1"/>
                <w:szCs w:val="1"/>
                <w:color w:val="auto"/>
              </w:rPr>
            </w:pPr>
          </w:p>
        </w:tc>
      </w:tr>
      <w:tr>
        <w:trPr>
          <w:trHeight w:val="175"/>
        </w:trPr>
        <w:tc>
          <w:tcPr>
            <w:tcW w:w="2900" w:type="dxa"/>
            <w:vAlign w:val="bottom"/>
            <w:tcBorders>
              <w:left w:val="single" w:sz="8" w:color="181818"/>
            </w:tcBorders>
            <w:shd w:val="clear" w:color="auto" w:fill="1B6F80"/>
          </w:tcPr>
          <w:p>
            <w:pPr>
              <w:spacing w:after="0"/>
              <w:rPr>
                <w:sz w:val="15"/>
                <w:szCs w:val="15"/>
                <w:color w:val="auto"/>
              </w:rPr>
            </w:pPr>
          </w:p>
        </w:tc>
        <w:tc>
          <w:tcPr>
            <w:tcW w:w="3380" w:type="dxa"/>
            <w:vAlign w:val="bottom"/>
            <w:shd w:val="clear" w:color="auto" w:fill="1B6F80"/>
          </w:tcPr>
          <w:p>
            <w:pPr>
              <w:jc w:val="right"/>
              <w:ind w:right="552"/>
              <w:spacing w:after="0"/>
              <w:rPr>
                <w:sz w:val="20"/>
                <w:szCs w:val="20"/>
                <w:color w:val="auto"/>
              </w:rPr>
            </w:pPr>
            <w:r>
              <w:rPr>
                <w:rFonts w:ascii="Arial" w:cs="Arial" w:eastAsia="Arial" w:hAnsi="Arial"/>
                <w:sz w:val="14"/>
                <w:szCs w:val="14"/>
                <w:b w:val="1"/>
                <w:bCs w:val="1"/>
                <w:color w:val="FFFFFF"/>
              </w:rPr>
              <w:t>RSUs, PSUs, and PSOs</w:t>
            </w:r>
          </w:p>
        </w:tc>
        <w:tc>
          <w:tcPr>
            <w:tcW w:w="2360" w:type="dxa"/>
            <w:vAlign w:val="bottom"/>
            <w:shd w:val="clear" w:color="auto" w:fill="1B6F80"/>
          </w:tcPr>
          <w:p>
            <w:pPr>
              <w:jc w:val="right"/>
              <w:ind w:right="408"/>
              <w:spacing w:after="0"/>
              <w:rPr>
                <w:sz w:val="20"/>
                <w:szCs w:val="20"/>
                <w:color w:val="auto"/>
              </w:rPr>
            </w:pPr>
            <w:r>
              <w:rPr>
                <w:rFonts w:ascii="Arial" w:cs="Arial" w:eastAsia="Arial" w:hAnsi="Arial"/>
                <w:sz w:val="14"/>
                <w:szCs w:val="14"/>
                <w:b w:val="1"/>
                <w:bCs w:val="1"/>
                <w:color w:val="FFFFFF"/>
              </w:rPr>
              <w:t>Options</w:t>
            </w:r>
          </w:p>
        </w:tc>
        <w:tc>
          <w:tcPr>
            <w:tcW w:w="2640" w:type="dxa"/>
            <w:vAlign w:val="bottom"/>
            <w:tcBorders>
              <w:right w:val="single" w:sz="8" w:color="181818"/>
            </w:tcBorders>
            <w:shd w:val="clear" w:color="auto" w:fill="1B6F80"/>
          </w:tcPr>
          <w:p>
            <w:pPr>
              <w:jc w:val="right"/>
              <w:ind w:right="72"/>
              <w:spacing w:after="0"/>
              <w:rPr>
                <w:sz w:val="20"/>
                <w:szCs w:val="20"/>
                <w:color w:val="auto"/>
              </w:rPr>
            </w:pPr>
            <w:r>
              <w:rPr>
                <w:rFonts w:ascii="Arial" w:cs="Arial" w:eastAsia="Arial" w:hAnsi="Arial"/>
                <w:sz w:val="14"/>
                <w:szCs w:val="14"/>
                <w:b w:val="1"/>
                <w:bCs w:val="1"/>
                <w:color w:val="FFFFFF"/>
              </w:rPr>
              <w:t>Compensation Plans</w:t>
            </w:r>
          </w:p>
        </w:tc>
        <w:tc>
          <w:tcPr>
            <w:tcW w:w="0" w:type="dxa"/>
            <w:vAlign w:val="bottom"/>
          </w:tcPr>
          <w:p>
            <w:pPr>
              <w:spacing w:after="0"/>
              <w:rPr>
                <w:sz w:val="1"/>
                <w:szCs w:val="1"/>
                <w:color w:val="auto"/>
              </w:rPr>
            </w:pPr>
          </w:p>
        </w:tc>
      </w:tr>
      <w:tr>
        <w:trPr>
          <w:trHeight w:val="252"/>
        </w:trPr>
        <w:tc>
          <w:tcPr>
            <w:tcW w:w="2900" w:type="dxa"/>
            <w:vAlign w:val="bottom"/>
            <w:tcBorders>
              <w:left w:val="single" w:sz="8" w:color="181818"/>
              <w:bottom w:val="single" w:sz="8" w:color="1B6F80"/>
            </w:tcBorders>
            <w:shd w:val="clear" w:color="auto" w:fill="1B6F80"/>
          </w:tcPr>
          <w:p>
            <w:pPr>
              <w:spacing w:after="0"/>
              <w:rPr>
                <w:sz w:val="21"/>
                <w:szCs w:val="21"/>
                <w:color w:val="auto"/>
              </w:rPr>
            </w:pPr>
          </w:p>
        </w:tc>
        <w:tc>
          <w:tcPr>
            <w:tcW w:w="3380" w:type="dxa"/>
            <w:vAlign w:val="bottom"/>
            <w:tcBorders>
              <w:bottom w:val="single" w:sz="8" w:color="1B6F80"/>
            </w:tcBorders>
            <w:shd w:val="clear" w:color="auto" w:fill="1B6F80"/>
          </w:tcPr>
          <w:p>
            <w:pPr>
              <w:jc w:val="right"/>
              <w:ind w:right="552"/>
              <w:spacing w:after="0" w:line="218"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(1)</w:t>
            </w:r>
          </w:p>
        </w:tc>
        <w:tc>
          <w:tcPr>
            <w:tcW w:w="2360" w:type="dxa"/>
            <w:vAlign w:val="bottom"/>
            <w:tcBorders>
              <w:bottom w:val="single" w:sz="8" w:color="1B6F80"/>
            </w:tcBorders>
            <w:shd w:val="clear" w:color="auto" w:fill="1B6F80"/>
          </w:tcPr>
          <w:p>
            <w:pPr>
              <w:jc w:val="right"/>
              <w:ind w:right="408"/>
              <w:spacing w:after="0"/>
              <w:rPr>
                <w:sz w:val="20"/>
                <w:szCs w:val="20"/>
                <w:color w:val="auto"/>
              </w:rPr>
            </w:pPr>
            <w:r>
              <w:rPr>
                <w:rFonts w:ascii="Arial" w:cs="Arial" w:eastAsia="Arial" w:hAnsi="Arial"/>
                <w:sz w:val="14"/>
                <w:szCs w:val="14"/>
                <w:b w:val="1"/>
                <w:bCs w:val="1"/>
                <w:color w:val="FFFFFF"/>
              </w:rPr>
              <w:t>($)</w:t>
            </w:r>
          </w:p>
        </w:tc>
        <w:tc>
          <w:tcPr>
            <w:tcW w:w="2640" w:type="dxa"/>
            <w:vAlign w:val="bottom"/>
            <w:tcBorders>
              <w:bottom w:val="single" w:sz="8" w:color="1B6F80"/>
              <w:right w:val="single" w:sz="8" w:color="181818"/>
            </w:tcBorders>
            <w:shd w:val="clear" w:color="auto" w:fill="1B6F80"/>
          </w:tcPr>
          <w:p>
            <w:pPr>
              <w:jc w:val="right"/>
              <w:ind w:right="72"/>
              <w:spacing w:after="0" w:line="218"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(2)</w:t>
            </w:r>
          </w:p>
        </w:tc>
        <w:tc>
          <w:tcPr>
            <w:tcW w:w="0" w:type="dxa"/>
            <w:vAlign w:val="bottom"/>
          </w:tcPr>
          <w:p>
            <w:pPr>
              <w:spacing w:after="0"/>
              <w:rPr>
                <w:sz w:val="1"/>
                <w:szCs w:val="1"/>
                <w:color w:val="auto"/>
              </w:rPr>
            </w:pPr>
          </w:p>
        </w:tc>
      </w:tr>
      <w:tr>
        <w:trPr>
          <w:trHeight w:val="243"/>
        </w:trPr>
        <w:tc>
          <w:tcPr>
            <w:tcW w:w="290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Equity compensation plans approved by</w:t>
            </w:r>
          </w:p>
        </w:tc>
        <w:tc>
          <w:tcPr>
            <w:tcW w:w="3380" w:type="dxa"/>
            <w:vAlign w:val="bottom"/>
            <w:vMerge w:val="restart"/>
          </w:tcPr>
          <w:p>
            <w:pPr>
              <w:jc w:val="right"/>
              <w:ind w:right="552"/>
              <w:spacing w:after="0"/>
              <w:rPr>
                <w:sz w:val="20"/>
                <w:szCs w:val="20"/>
                <w:color w:val="auto"/>
              </w:rPr>
            </w:pPr>
            <w:r>
              <w:rPr>
                <w:rFonts w:ascii="Arial" w:cs="Arial" w:eastAsia="Arial" w:hAnsi="Arial"/>
                <w:sz w:val="14"/>
                <w:szCs w:val="14"/>
                <w:color w:val="auto"/>
              </w:rPr>
              <w:t>1,831,754</w:t>
            </w:r>
          </w:p>
        </w:tc>
        <w:tc>
          <w:tcPr>
            <w:tcW w:w="2360" w:type="dxa"/>
            <w:vAlign w:val="bottom"/>
            <w:vMerge w:val="restart"/>
          </w:tcPr>
          <w:p>
            <w:pPr>
              <w:jc w:val="right"/>
              <w:ind w:right="448"/>
              <w:spacing w:after="0"/>
              <w:rPr>
                <w:sz w:val="20"/>
                <w:szCs w:val="20"/>
                <w:color w:val="auto"/>
              </w:rPr>
            </w:pPr>
            <w:r>
              <w:rPr>
                <w:rFonts w:ascii="Arial" w:cs="Arial" w:eastAsia="Arial" w:hAnsi="Arial"/>
                <w:sz w:val="14"/>
                <w:szCs w:val="14"/>
                <w:color w:val="auto"/>
              </w:rPr>
              <w:t>38.73</w:t>
            </w:r>
          </w:p>
        </w:tc>
        <w:tc>
          <w:tcPr>
            <w:tcW w:w="2640" w:type="dxa"/>
            <w:vAlign w:val="bottom"/>
            <w:tcBorders>
              <w:right w:val="single" w:sz="8" w:color="181818"/>
            </w:tcBorders>
            <w:vMerge w:val="restart"/>
          </w:tcPr>
          <w:p>
            <w:pPr>
              <w:jc w:val="right"/>
              <w:ind w:right="72"/>
              <w:spacing w:after="0"/>
              <w:rPr>
                <w:sz w:val="20"/>
                <w:szCs w:val="20"/>
                <w:color w:val="auto"/>
              </w:rPr>
            </w:pPr>
            <w:r>
              <w:rPr>
                <w:rFonts w:ascii="Arial" w:cs="Arial" w:eastAsia="Arial" w:hAnsi="Arial"/>
                <w:sz w:val="14"/>
                <w:szCs w:val="14"/>
                <w:color w:val="auto"/>
              </w:rPr>
              <w:t>762,367</w:t>
            </w:r>
          </w:p>
        </w:tc>
        <w:tc>
          <w:tcPr>
            <w:tcW w:w="0" w:type="dxa"/>
            <w:vAlign w:val="bottom"/>
          </w:tcPr>
          <w:p>
            <w:pPr>
              <w:spacing w:after="0"/>
              <w:rPr>
                <w:sz w:val="1"/>
                <w:szCs w:val="1"/>
                <w:color w:val="auto"/>
              </w:rPr>
            </w:pPr>
          </w:p>
        </w:tc>
      </w:tr>
      <w:tr>
        <w:trPr>
          <w:trHeight w:val="100"/>
        </w:trPr>
        <w:tc>
          <w:tcPr>
            <w:tcW w:w="290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security holders</w:t>
            </w:r>
          </w:p>
        </w:tc>
        <w:tc>
          <w:tcPr>
            <w:tcW w:w="3380" w:type="dxa"/>
            <w:vAlign w:val="bottom"/>
            <w:vMerge w:val="continue"/>
          </w:tcPr>
          <w:p>
            <w:pPr>
              <w:spacing w:after="0"/>
              <w:rPr>
                <w:sz w:val="8"/>
                <w:szCs w:val="8"/>
                <w:color w:val="auto"/>
              </w:rPr>
            </w:pPr>
          </w:p>
        </w:tc>
        <w:tc>
          <w:tcPr>
            <w:tcW w:w="2360" w:type="dxa"/>
            <w:vAlign w:val="bottom"/>
            <w:vMerge w:val="continue"/>
          </w:tcPr>
          <w:p>
            <w:pPr>
              <w:spacing w:after="0"/>
              <w:rPr>
                <w:sz w:val="8"/>
                <w:szCs w:val="8"/>
                <w:color w:val="auto"/>
              </w:rPr>
            </w:pPr>
          </w:p>
        </w:tc>
        <w:tc>
          <w:tcPr>
            <w:tcW w:w="2640" w:type="dxa"/>
            <w:vAlign w:val="bottom"/>
            <w:tcBorders>
              <w:right w:val="single" w:sz="8" w:color="18181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00" w:type="dxa"/>
            <w:vAlign w:val="bottom"/>
            <w:tcBorders>
              <w:left w:val="single" w:sz="8" w:color="181818"/>
            </w:tcBorders>
            <w:vMerge w:val="continue"/>
          </w:tcPr>
          <w:p>
            <w:pPr>
              <w:spacing w:after="0"/>
              <w:rPr>
                <w:sz w:val="8"/>
                <w:szCs w:val="8"/>
                <w:color w:val="auto"/>
              </w:rPr>
            </w:pPr>
          </w:p>
        </w:tc>
        <w:tc>
          <w:tcPr>
            <w:tcW w:w="3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640" w:type="dxa"/>
            <w:vAlign w:val="bottom"/>
            <w:tcBorders>
              <w:right w:val="single" w:sz="8" w:color="181818"/>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900" w:type="dxa"/>
            <w:vAlign w:val="bottom"/>
            <w:tcBorders>
              <w:left w:val="single" w:sz="8" w:color="181818"/>
              <w:bottom w:val="single" w:sz="8" w:color="181818"/>
            </w:tcBorders>
          </w:tcPr>
          <w:p>
            <w:pPr>
              <w:spacing w:after="0"/>
              <w:rPr>
                <w:sz w:val="6"/>
                <w:szCs w:val="6"/>
                <w:color w:val="auto"/>
              </w:rPr>
            </w:pPr>
          </w:p>
        </w:tc>
        <w:tc>
          <w:tcPr>
            <w:tcW w:w="3380" w:type="dxa"/>
            <w:vAlign w:val="bottom"/>
            <w:tcBorders>
              <w:bottom w:val="single" w:sz="8" w:color="181818"/>
            </w:tcBorders>
          </w:tcPr>
          <w:p>
            <w:pPr>
              <w:spacing w:after="0"/>
              <w:rPr>
                <w:sz w:val="6"/>
                <w:szCs w:val="6"/>
                <w:color w:val="auto"/>
              </w:rPr>
            </w:pPr>
          </w:p>
        </w:tc>
        <w:tc>
          <w:tcPr>
            <w:tcW w:w="2360" w:type="dxa"/>
            <w:vAlign w:val="bottom"/>
            <w:tcBorders>
              <w:bottom w:val="single" w:sz="8" w:color="181818"/>
            </w:tcBorders>
          </w:tcPr>
          <w:p>
            <w:pPr>
              <w:spacing w:after="0"/>
              <w:rPr>
                <w:sz w:val="6"/>
                <w:szCs w:val="6"/>
                <w:color w:val="auto"/>
              </w:rPr>
            </w:pPr>
          </w:p>
        </w:tc>
        <w:tc>
          <w:tcPr>
            <w:tcW w:w="264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90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Equity compensation plans not approved</w:t>
            </w:r>
          </w:p>
        </w:tc>
        <w:tc>
          <w:tcPr>
            <w:tcW w:w="3380" w:type="dxa"/>
            <w:vAlign w:val="bottom"/>
            <w:vMerge w:val="restart"/>
          </w:tcPr>
          <w:p>
            <w:pPr>
              <w:jc w:val="right"/>
              <w:ind w:right="552"/>
              <w:spacing w:after="0"/>
              <w:rPr>
                <w:sz w:val="20"/>
                <w:szCs w:val="20"/>
                <w:color w:val="auto"/>
              </w:rPr>
            </w:pPr>
            <w:r>
              <w:rPr>
                <w:rFonts w:ascii="Arial" w:cs="Arial" w:eastAsia="Arial" w:hAnsi="Arial"/>
                <w:sz w:val="14"/>
                <w:szCs w:val="14"/>
                <w:color w:val="auto"/>
              </w:rPr>
              <w:t>—</w:t>
            </w:r>
          </w:p>
        </w:tc>
        <w:tc>
          <w:tcPr>
            <w:tcW w:w="2360" w:type="dxa"/>
            <w:vAlign w:val="bottom"/>
            <w:vMerge w:val="restart"/>
          </w:tcPr>
          <w:p>
            <w:pPr>
              <w:jc w:val="right"/>
              <w:ind w:right="448"/>
              <w:spacing w:after="0"/>
              <w:rPr>
                <w:sz w:val="20"/>
                <w:szCs w:val="20"/>
                <w:color w:val="auto"/>
              </w:rPr>
            </w:pPr>
            <w:r>
              <w:rPr>
                <w:rFonts w:ascii="Arial" w:cs="Arial" w:eastAsia="Arial" w:hAnsi="Arial"/>
                <w:sz w:val="14"/>
                <w:szCs w:val="14"/>
                <w:color w:val="auto"/>
              </w:rPr>
              <w:t>—</w:t>
            </w:r>
          </w:p>
        </w:tc>
        <w:tc>
          <w:tcPr>
            <w:tcW w:w="2640" w:type="dxa"/>
            <w:vAlign w:val="bottom"/>
            <w:tcBorders>
              <w:right w:val="single" w:sz="8" w:color="181818"/>
            </w:tcBorders>
            <w:vMerge w:val="restart"/>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3"/>
        </w:trPr>
        <w:tc>
          <w:tcPr>
            <w:tcW w:w="2900" w:type="dxa"/>
            <w:vAlign w:val="bottom"/>
            <w:tcBorders>
              <w:left w:val="single" w:sz="8" w:color="181818"/>
            </w:tcBorders>
            <w:vMerge w:val="restart"/>
          </w:tcPr>
          <w:p>
            <w:pPr>
              <w:ind w:left="100"/>
              <w:spacing w:after="0"/>
              <w:rPr>
                <w:sz w:val="20"/>
                <w:szCs w:val="20"/>
                <w:color w:val="auto"/>
              </w:rPr>
            </w:pPr>
            <w:r>
              <w:rPr>
                <w:rFonts w:ascii="Arial" w:cs="Arial" w:eastAsia="Arial" w:hAnsi="Arial"/>
                <w:sz w:val="14"/>
                <w:szCs w:val="14"/>
                <w:color w:val="auto"/>
              </w:rPr>
              <w:t>by security holders</w:t>
            </w:r>
          </w:p>
        </w:tc>
        <w:tc>
          <w:tcPr>
            <w:tcW w:w="3380" w:type="dxa"/>
            <w:vAlign w:val="bottom"/>
            <w:vMerge w:val="continue"/>
          </w:tcPr>
          <w:p>
            <w:pPr>
              <w:spacing w:after="0"/>
              <w:rPr>
                <w:sz w:val="9"/>
                <w:szCs w:val="9"/>
                <w:color w:val="auto"/>
              </w:rPr>
            </w:pPr>
          </w:p>
        </w:tc>
        <w:tc>
          <w:tcPr>
            <w:tcW w:w="2360" w:type="dxa"/>
            <w:vAlign w:val="bottom"/>
            <w:vMerge w:val="continue"/>
          </w:tcPr>
          <w:p>
            <w:pPr>
              <w:spacing w:after="0"/>
              <w:rPr>
                <w:sz w:val="9"/>
                <w:szCs w:val="9"/>
                <w:color w:val="auto"/>
              </w:rPr>
            </w:pPr>
          </w:p>
        </w:tc>
        <w:tc>
          <w:tcPr>
            <w:tcW w:w="2640" w:type="dxa"/>
            <w:vAlign w:val="bottom"/>
            <w:tcBorders>
              <w:right w:val="single" w:sz="8" w:color="18181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900" w:type="dxa"/>
            <w:vAlign w:val="bottom"/>
            <w:tcBorders>
              <w:left w:val="single" w:sz="8" w:color="181818"/>
            </w:tcBorders>
            <w:vMerge w:val="continue"/>
          </w:tcPr>
          <w:p>
            <w:pPr>
              <w:spacing w:after="0"/>
              <w:rPr>
                <w:sz w:val="7"/>
                <w:szCs w:val="7"/>
                <w:color w:val="auto"/>
              </w:rPr>
            </w:pPr>
          </w:p>
        </w:tc>
        <w:tc>
          <w:tcPr>
            <w:tcW w:w="33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640" w:type="dxa"/>
            <w:vAlign w:val="bottom"/>
            <w:tcBorders>
              <w:right w:val="single" w:sz="8" w:color="181818"/>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900" w:type="dxa"/>
            <w:vAlign w:val="bottom"/>
            <w:tcBorders>
              <w:left w:val="single" w:sz="8" w:color="181818"/>
              <w:bottom w:val="single" w:sz="8" w:color="181818"/>
            </w:tcBorders>
          </w:tcPr>
          <w:p>
            <w:pPr>
              <w:spacing w:after="0"/>
              <w:rPr>
                <w:sz w:val="6"/>
                <w:szCs w:val="6"/>
                <w:color w:val="auto"/>
              </w:rPr>
            </w:pPr>
          </w:p>
        </w:tc>
        <w:tc>
          <w:tcPr>
            <w:tcW w:w="3380" w:type="dxa"/>
            <w:vAlign w:val="bottom"/>
            <w:tcBorders>
              <w:bottom w:val="single" w:sz="8" w:color="181818"/>
            </w:tcBorders>
          </w:tcPr>
          <w:p>
            <w:pPr>
              <w:spacing w:after="0"/>
              <w:rPr>
                <w:sz w:val="6"/>
                <w:szCs w:val="6"/>
                <w:color w:val="auto"/>
              </w:rPr>
            </w:pPr>
          </w:p>
        </w:tc>
        <w:tc>
          <w:tcPr>
            <w:tcW w:w="2360" w:type="dxa"/>
            <w:vAlign w:val="bottom"/>
            <w:tcBorders>
              <w:bottom w:val="single" w:sz="8" w:color="181818"/>
            </w:tcBorders>
          </w:tcPr>
          <w:p>
            <w:pPr>
              <w:spacing w:after="0"/>
              <w:rPr>
                <w:sz w:val="6"/>
                <w:szCs w:val="6"/>
                <w:color w:val="auto"/>
              </w:rPr>
            </w:pPr>
          </w:p>
        </w:tc>
        <w:tc>
          <w:tcPr>
            <w:tcW w:w="2640" w:type="dxa"/>
            <w:vAlign w:val="bottom"/>
            <w:tcBorders>
              <w:bottom w:val="single" w:sz="8" w:color="181818"/>
              <w:right w:val="single" w:sz="8" w:color="18181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07" w:hanging="307"/>
        <w:spacing w:after="0"/>
        <w:tabs>
          <w:tab w:leader="none" w:pos="307" w:val="left"/>
        </w:tabs>
        <w:numPr>
          <w:ilvl w:val="0"/>
          <w:numId w:val="61"/>
        </w:numPr>
        <w:rPr>
          <w:rFonts w:ascii="Arial" w:cs="Arial" w:eastAsia="Arial" w:hAnsi="Arial"/>
          <w:sz w:val="14"/>
          <w:szCs w:val="14"/>
          <w:b w:val="1"/>
          <w:bCs w:val="1"/>
          <w:color w:val="181818"/>
        </w:rPr>
      </w:pPr>
      <w:r>
        <w:rPr>
          <w:rFonts w:ascii="Arial" w:cs="Arial" w:eastAsia="Arial" w:hAnsi="Arial"/>
          <w:sz w:val="14"/>
          <w:szCs w:val="14"/>
          <w:color w:val="auto"/>
        </w:rPr>
        <w:t>Includes shares underlying RSUs and PSO's, at maximum, as of March 31, 2026. There were no PSUs outstanding as of March 31, 2026.</w:t>
      </w:r>
    </w:p>
    <w:p>
      <w:pPr>
        <w:spacing w:after="0" w:line="95" w:lineRule="exact"/>
        <w:rPr>
          <w:rFonts w:ascii="Arial" w:cs="Arial" w:eastAsia="Arial" w:hAnsi="Arial"/>
          <w:sz w:val="14"/>
          <w:szCs w:val="14"/>
          <w:b w:val="1"/>
          <w:bCs w:val="1"/>
          <w:color w:val="181818"/>
        </w:rPr>
      </w:pPr>
    </w:p>
    <w:p>
      <w:pPr>
        <w:ind w:left="327" w:right="180" w:hanging="327"/>
        <w:spacing w:after="0" w:line="311" w:lineRule="auto"/>
        <w:tabs>
          <w:tab w:leader="none" w:pos="295" w:val="left"/>
        </w:tabs>
        <w:numPr>
          <w:ilvl w:val="0"/>
          <w:numId w:val="61"/>
        </w:numPr>
        <w:rPr>
          <w:rFonts w:ascii="Arial" w:cs="Arial" w:eastAsia="Arial" w:hAnsi="Arial"/>
          <w:sz w:val="14"/>
          <w:szCs w:val="14"/>
          <w:b w:val="1"/>
          <w:bCs w:val="1"/>
          <w:color w:val="181818"/>
        </w:rPr>
      </w:pPr>
      <w:r>
        <w:rPr>
          <w:rFonts w:ascii="Arial" w:cs="Arial" w:eastAsia="Arial" w:hAnsi="Arial"/>
          <w:sz w:val="14"/>
          <w:szCs w:val="14"/>
          <w:color w:val="auto"/>
        </w:rPr>
        <w:t>The 2023 Stock Plan permits the Company to grant equity compensation awards to employees, consultants and non-employee directors of the Company. The 2023 Stock Plan authorizes 1,350,000 shares of Company common stock (the “Shares”) for grant, plus remaining available for issuance under previous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71577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57" w:name="page58"/>
    <w:bookmarkEnd w:id="57"/>
    <w:p>
      <w:pPr>
        <w:spacing w:after="0"/>
        <w:rPr>
          <w:sz w:val="20"/>
          <w:szCs w:val="20"/>
          <w:color w:val="auto"/>
        </w:rPr>
      </w:pPr>
      <w:r>
        <w:rPr>
          <w:rFonts w:ascii="Arial" w:cs="Arial" w:eastAsia="Arial" w:hAnsi="Arial"/>
          <w:sz w:val="41"/>
          <w:szCs w:val="41"/>
          <w:b w:val="1"/>
          <w:bCs w:val="1"/>
          <w:color w:val="181818"/>
        </w:rPr>
        <w:t>Certain Relationships and Related Transactions</w:t>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Related Party Transaction Policy</w:t>
      </w:r>
    </w:p>
    <w:p>
      <w:pPr>
        <w:spacing w:after="0" w:line="13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Pursuant to our Code of Business Conduct and Ethics and Related Party Transaction Policy, our executive officers, directors, and principal stockholders, including their immediate family members and affiliates, will be prohibited from entering into a related party transaction with us without the approval of our Audit Committee or our independent directors. Any request for us to enter into a transaction with an executive officer, director, principal stockholder, or any of such person's immediate family members or affiliates where the amount involved exceeds $120,000 must first be presented to our Audit Committee for review, consideration, and approval. In approving or rejecting the proposed agreement, our Audit Committee will consider the relevant facts and circumstances available and deemed relevant,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considering known circumstances, are in, or are not inconsistent with, our best interests, as our Audit Committee determines in good faith exercise of its discretion.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Related Party Transactions</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year, each director and officer must respond to a questionnaire that requires them to identify certain information about their immediate family and any transaction or relationship that occurred during the year or any proposed transaction that involves Anterix (or any subsidiary or affiliate of Anterix) and that individual, their immediate family, or any entity with which he, she or such immediate family member is associated. All questionnaire responses regarding Related Party Transactions are reviewed by the Chief Legal Officer and Corporate Secretary and shared with our Audit Committee for action as appropriate. In addition, we independently search our records for potential transactions with known related parties. Based upon such review, there have been no related party transactions with respect to persons who were officers, directors, director nominees, or beneficial owners of more than 5% of our stock or an immediate family member of any of them that require disclosure under Item 404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71577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54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79" w:right="318" w:bottom="1440" w:gutter="0" w:footer="0" w:header="0"/>
        </w:sectPr>
      </w:pPr>
    </w:p>
    <w:bookmarkStart w:id="58" w:name="page59"/>
    <w:bookmarkEnd w:id="58"/>
    <w:p>
      <w:pPr>
        <w:spacing w:after="0"/>
        <w:rPr>
          <w:sz w:val="20"/>
          <w:szCs w:val="20"/>
          <w:color w:val="auto"/>
        </w:rPr>
      </w:pPr>
      <w:r>
        <w:rPr>
          <w:rFonts w:ascii="Arial" w:cs="Arial" w:eastAsia="Arial" w:hAnsi="Arial"/>
          <w:sz w:val="41"/>
          <w:szCs w:val="41"/>
          <w:b w:val="1"/>
          <w:bCs w:val="1"/>
          <w:color w:val="181818"/>
        </w:rPr>
        <w:t>PROPOSAL 3</w:t>
      </w:r>
    </w:p>
    <w:p>
      <w:pPr>
        <w:spacing w:after="0" w:line="144" w:lineRule="exact"/>
        <w:rPr>
          <w:sz w:val="20"/>
          <w:szCs w:val="20"/>
          <w:color w:val="auto"/>
        </w:rPr>
      </w:pPr>
    </w:p>
    <w:p>
      <w:pPr>
        <w:spacing w:after="0"/>
        <w:rPr>
          <w:sz w:val="20"/>
          <w:szCs w:val="20"/>
          <w:color w:val="auto"/>
        </w:rPr>
      </w:pPr>
      <w:r>
        <w:rPr>
          <w:rFonts w:ascii="Arial" w:cs="Arial" w:eastAsia="Arial" w:hAnsi="Arial"/>
          <w:sz w:val="34"/>
          <w:szCs w:val="34"/>
          <w:b w:val="1"/>
          <w:bCs w:val="1"/>
          <w:color w:val="181818"/>
        </w:rPr>
        <w:t>Amendment No. 2 to the 2023 Stock Plan</w:t>
      </w: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Voting Required and Board Recommendation</w:t>
      </w:r>
    </w:p>
    <w:p>
      <w:pPr>
        <w:spacing w:after="0" w:line="285" w:lineRule="exact"/>
        <w:rPr>
          <w:sz w:val="20"/>
          <w:szCs w:val="20"/>
          <w:color w:val="auto"/>
        </w:rPr>
      </w:pPr>
    </w:p>
    <w:p>
      <w:pPr>
        <w:jc w:val="both"/>
        <w:ind w:left="20"/>
        <w:spacing w:after="0" w:line="306" w:lineRule="auto"/>
        <w:rPr>
          <w:sz w:val="20"/>
          <w:szCs w:val="20"/>
          <w:color w:val="auto"/>
        </w:rPr>
      </w:pPr>
      <w:r>
        <w:rPr>
          <w:rFonts w:ascii="Arial" w:cs="Arial" w:eastAsia="Arial" w:hAnsi="Arial"/>
          <w:sz w:val="16"/>
          <w:szCs w:val="16"/>
          <w:color w:val="auto"/>
        </w:rPr>
        <w:t>Our stockholders are being asked to approve Amendment No. 2 (the "Amendment") to the Anterix Inc. 2023 Stock Plan (which we refer to in this Proposal as the 2023 Plan). On July 12, 2023, our Board approved the 2023 Plan, and on August 8, 2023, our stockholders approved the 2023 Plan. Amendment No. 1 to the 2023 Plan was approved by our Board on June 21, 2024 and by our stockholders on August 6, 2024. On June 22, 2026, our Board approved the Amendment, subject to stockholder approval.</w:t>
      </w:r>
    </w:p>
    <w:p>
      <w:pPr>
        <w:spacing w:after="0" w:line="69" w:lineRule="exact"/>
        <w:rPr>
          <w:sz w:val="20"/>
          <w:szCs w:val="20"/>
          <w:color w:val="auto"/>
        </w:rPr>
      </w:pPr>
    </w:p>
    <w:p>
      <w:pPr>
        <w:jc w:val="both"/>
        <w:ind w:left="20"/>
        <w:spacing w:after="0" w:line="306" w:lineRule="auto"/>
        <w:rPr>
          <w:sz w:val="20"/>
          <w:szCs w:val="20"/>
          <w:color w:val="auto"/>
        </w:rPr>
      </w:pPr>
      <w:r>
        <w:rPr>
          <w:rFonts w:ascii="Arial" w:cs="Arial" w:eastAsia="Arial" w:hAnsi="Arial"/>
          <w:sz w:val="16"/>
          <w:szCs w:val="16"/>
          <w:color w:val="auto"/>
        </w:rPr>
        <w:t>Adopting the Amendment will increase the number of shares available to us for issuance to our employees and our non-employee directors. As of June 22, 2026, the 2023 Stock Plan had approximately 279,420 shares remaining available for issuance, assuming the outstanding PSUs are counted at the maximum performance level. We believe that the current share reserve in the 2023 Plan will not be sufficient to provide meaningful equity incentives to retain current employees and compete successfully in the market for new talent.</w:t>
      </w:r>
    </w:p>
    <w:p>
      <w:pPr>
        <w:spacing w:after="0" w:line="69" w:lineRule="exact"/>
        <w:rPr>
          <w:sz w:val="20"/>
          <w:szCs w:val="20"/>
          <w:color w:val="auto"/>
        </w:rPr>
      </w:pPr>
    </w:p>
    <w:p>
      <w:pPr>
        <w:jc w:val="both"/>
        <w:ind w:left="20"/>
        <w:spacing w:after="0" w:line="313" w:lineRule="auto"/>
        <w:rPr>
          <w:sz w:val="20"/>
          <w:szCs w:val="20"/>
          <w:color w:val="auto"/>
        </w:rPr>
      </w:pPr>
      <w:r>
        <w:rPr>
          <w:rFonts w:ascii="Arial" w:cs="Arial" w:eastAsia="Arial" w:hAnsi="Arial"/>
          <w:sz w:val="16"/>
          <w:szCs w:val="16"/>
          <w:color w:val="auto"/>
        </w:rPr>
        <w:t>If the stockholders do not approve the Amendment, the 2023 Plan will continue to be effective, but we will not be able to grant meaningful equity under the 2023 Plan. Stockholders should carefully read this proposal in its entirety for more detailed information concerning the 2023 Plan and the Amendment.</w:t>
      </w:r>
    </w:p>
    <w:p>
      <w:pPr>
        <w:spacing w:after="0" w:line="63" w:lineRule="exact"/>
        <w:rPr>
          <w:sz w:val="20"/>
          <w:szCs w:val="20"/>
          <w:color w:val="auto"/>
        </w:rPr>
      </w:pPr>
    </w:p>
    <w:p>
      <w:pPr>
        <w:jc w:val="both"/>
        <w:ind w:left="20"/>
        <w:spacing w:after="0" w:line="321" w:lineRule="auto"/>
        <w:rPr>
          <w:sz w:val="20"/>
          <w:szCs w:val="20"/>
          <w:color w:val="auto"/>
        </w:rPr>
      </w:pPr>
      <w:r>
        <w:rPr>
          <w:rFonts w:ascii="Arial" w:cs="Arial" w:eastAsia="Arial" w:hAnsi="Arial"/>
          <w:sz w:val="16"/>
          <w:szCs w:val="16"/>
          <w:color w:val="auto"/>
        </w:rPr>
        <w:t>A summary of the material features of the 2023 Plan is set forth below. This summary of the 2023 Plan is qualified in its entirety by reference to the 2023 Plan, as amended, which is filed as an exhibit to our Annual Report on Form 10-K, as proposed to be amended by the Amendment, which is attached as Appendix A hereto.</w:t>
      </w:r>
    </w:p>
    <w:p>
      <w:pPr>
        <w:spacing w:after="0" w:line="58" w:lineRule="exact"/>
        <w:rPr>
          <w:sz w:val="20"/>
          <w:szCs w:val="20"/>
          <w:color w:val="auto"/>
        </w:rPr>
      </w:pPr>
    </w:p>
    <w:p>
      <w:pPr>
        <w:jc w:val="both"/>
        <w:ind w:left="20"/>
        <w:spacing w:after="0" w:line="306" w:lineRule="auto"/>
        <w:rPr>
          <w:sz w:val="20"/>
          <w:szCs w:val="20"/>
          <w:color w:val="auto"/>
        </w:rPr>
      </w:pPr>
      <w:r>
        <w:rPr>
          <w:rFonts w:ascii="Arial" w:cs="Arial" w:eastAsia="Arial" w:hAnsi="Arial"/>
          <w:sz w:val="16"/>
          <w:szCs w:val="16"/>
          <w:color w:val="auto"/>
        </w:rPr>
        <w:t>Approval of this proposal requires the affirmative vote of a majority of the votes cast for or against this proposal, as well as the presence of a quorum representing a majority of the shares of our common stock entitled to vote at the 2026 Annual Meeting, present in person or represented by proxy. Abstentions and broker non-votes will each be counted as present for purposes of determining a quorum but will not have any effect on the outcome of the vote on this proposal.</w:t>
      </w:r>
    </w:p>
    <w:p>
      <w:pPr>
        <w:spacing w:after="0" w:line="69" w:lineRule="exact"/>
        <w:rPr>
          <w:sz w:val="20"/>
          <w:szCs w:val="20"/>
          <w:color w:val="auto"/>
        </w:rPr>
      </w:pPr>
    </w:p>
    <w:p>
      <w:pPr>
        <w:jc w:val="both"/>
        <w:ind w:left="20"/>
        <w:spacing w:after="0" w:line="326" w:lineRule="auto"/>
        <w:rPr>
          <w:sz w:val="20"/>
          <w:szCs w:val="20"/>
          <w:color w:val="auto"/>
        </w:rPr>
      </w:pPr>
      <w:r>
        <w:rPr>
          <w:rFonts w:ascii="Arial" w:cs="Arial" w:eastAsia="Arial" w:hAnsi="Arial"/>
          <w:sz w:val="16"/>
          <w:szCs w:val="16"/>
          <w:color w:val="auto"/>
        </w:rPr>
        <w:t>The Board believes that adopting the Amendment is in our and our stockholders' best interests for the reasons stated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60"/>
        <w:spacing w:after="0" w:line="307" w:lineRule="auto"/>
        <w:rPr>
          <w:sz w:val="20"/>
          <w:szCs w:val="20"/>
          <w:color w:val="auto"/>
        </w:rPr>
      </w:pPr>
      <w:r>
        <w:rPr>
          <w:rFonts w:ascii="Arial" w:cs="Arial" w:eastAsia="Arial" w:hAnsi="Arial"/>
          <w:sz w:val="16"/>
          <w:szCs w:val="16"/>
          <w:b w:val="1"/>
          <w:bCs w:val="1"/>
          <w:color w:val="1B6F80"/>
        </w:rPr>
        <w:t>At the Annual Meeting, stockholders will vote on whether to approve Amendment No. 2 to the 2023 Anterix Inc.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-977265</wp:posOffset>
            </wp:positionV>
            <wp:extent cx="1663065" cy="61893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663065" cy="6189345"/>
                    </a:xfrm>
                    <a:prstGeom prst="rect">
                      <a:avLst/>
                    </a:prstGeom>
                    <a:noFill/>
                  </pic:spPr>
                </pic:pic>
              </a:graphicData>
            </a:graphic>
          </wp:anchor>
        </w:drawing>
      </w:r>
    </w:p>
    <w:p>
      <w:pPr>
        <w:spacing w:after="0" w:line="4487" w:lineRule="exact"/>
        <w:rPr>
          <w:sz w:val="20"/>
          <w:szCs w:val="20"/>
          <w:color w:val="auto"/>
        </w:rPr>
      </w:pPr>
    </w:p>
    <w:p>
      <w:pPr>
        <w:sectPr>
          <w:pgSz w:w="11920" w:h="16838" w:orient="portrait"/>
          <w:cols w:equalWidth="0" w:num="2">
            <w:col w:w="8380" w:space="460"/>
            <w:col w:w="2400"/>
          </w:cols>
          <w:pgMar w:left="340" w:top="1079" w:right="33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840"/>
        <w:spacing w:after="0"/>
        <w:rPr>
          <w:sz w:val="20"/>
          <w:szCs w:val="20"/>
          <w:color w:val="auto"/>
        </w:rPr>
      </w:pPr>
      <w:r>
        <w:rPr>
          <w:rFonts w:ascii="Arial" w:cs="Arial" w:eastAsia="Arial" w:hAnsi="Arial"/>
          <w:sz w:val="36"/>
          <w:szCs w:val="36"/>
          <w:b w:val="1"/>
          <w:bCs w:val="1"/>
          <w:color w:val="1B6F80"/>
        </w:rPr>
        <w:t>1.0 M</w:t>
      </w:r>
    </w:p>
    <w:p>
      <w:pPr>
        <w:spacing w:after="0" w:line="52" w:lineRule="exact"/>
        <w:rPr>
          <w:sz w:val="20"/>
          <w:szCs w:val="20"/>
          <w:color w:val="auto"/>
        </w:rPr>
      </w:pPr>
    </w:p>
    <w:p>
      <w:pPr>
        <w:ind w:left="8840"/>
        <w:spacing w:after="0"/>
        <w:rPr>
          <w:sz w:val="20"/>
          <w:szCs w:val="20"/>
          <w:color w:val="auto"/>
        </w:rPr>
      </w:pPr>
      <w:r>
        <w:rPr>
          <w:rFonts w:ascii="Arial" w:cs="Arial" w:eastAsia="Arial" w:hAnsi="Arial"/>
          <w:sz w:val="20"/>
          <w:szCs w:val="20"/>
          <w:b w:val="1"/>
          <w:bCs w:val="1"/>
          <w:color w:val="1B6F80"/>
        </w:rPr>
        <w:t>Additional Shares</w:t>
      </w:r>
    </w:p>
    <w:p>
      <w:pPr>
        <w:ind w:left="8840"/>
        <w:spacing w:after="0"/>
        <w:rPr>
          <w:sz w:val="20"/>
          <w:szCs w:val="20"/>
          <w:color w:val="auto"/>
        </w:rPr>
      </w:pPr>
      <w:r>
        <w:rPr>
          <w:rFonts w:ascii="Arial" w:cs="Arial" w:eastAsia="Arial" w:hAnsi="Arial"/>
          <w:sz w:val="20"/>
          <w:szCs w:val="20"/>
          <w:b w:val="1"/>
          <w:bCs w:val="1"/>
          <w:color w:val="1B6F80"/>
        </w:rPr>
        <w:t>Requested</w:t>
      </w:r>
    </w:p>
    <w:p>
      <w:pPr>
        <w:spacing w:after="0" w:line="380" w:lineRule="exact"/>
        <w:rPr>
          <w:sz w:val="20"/>
          <w:szCs w:val="20"/>
          <w:color w:val="auto"/>
        </w:rPr>
      </w:pPr>
    </w:p>
    <w:p>
      <w:pPr>
        <w:ind w:left="1020" w:right="2920" w:hanging="664"/>
        <w:spacing w:after="0" w:line="180" w:lineRule="auto"/>
        <w:tabs>
          <w:tab w:leader="none" w:pos="1020" w:val="left"/>
        </w:tabs>
        <w:numPr>
          <w:ilvl w:val="0"/>
          <w:numId w:val="62"/>
        </w:numPr>
        <w:rPr>
          <w:rFonts w:ascii="Arial" w:cs="Arial" w:eastAsia="Arial" w:hAnsi="Arial"/>
          <w:sz w:val="51"/>
          <w:szCs w:val="51"/>
          <w:b w:val="1"/>
          <w:bCs w:val="1"/>
          <w:color w:val="E5FF70"/>
          <w:vertAlign w:val="subscript"/>
        </w:rPr>
      </w:pPr>
      <w:r>
        <w:rPr>
          <w:rFonts w:ascii="Arial" w:cs="Arial" w:eastAsia="Arial" w:hAnsi="Arial"/>
          <w:sz w:val="20"/>
          <w:szCs w:val="20"/>
          <w:b w:val="1"/>
          <w:bCs w:val="1"/>
          <w:color w:val="181818"/>
        </w:rPr>
        <w:t xml:space="preserve">THE BOARD RECOMMENDS A VOTE </w:t>
      </w:r>
      <w:r>
        <w:rPr>
          <w:rFonts w:ascii="Arial" w:cs="Arial" w:eastAsia="Arial" w:hAnsi="Arial"/>
          <w:sz w:val="20"/>
          <w:szCs w:val="20"/>
          <w:b w:val="1"/>
          <w:bCs w:val="1"/>
          <w:color w:val="1B6F80"/>
        </w:rPr>
        <w:t>FOR</w:t>
      </w:r>
      <w:r>
        <w:rPr>
          <w:rFonts w:ascii="Arial" w:cs="Arial" w:eastAsia="Arial" w:hAnsi="Arial"/>
          <w:sz w:val="20"/>
          <w:szCs w:val="20"/>
          <w:b w:val="1"/>
          <w:bCs w:val="1"/>
          <w:color w:val="181818"/>
        </w:rPr>
        <w:t xml:space="preserve"> AMENDMENT NO. 2 TO THE 2023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-430530</wp:posOffset>
            </wp:positionV>
            <wp:extent cx="5340350" cy="4800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340350" cy="480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485775</wp:posOffset>
            </wp:positionV>
            <wp:extent cx="71577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79" w:right="338"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Proposed Amendment to the 2023 Plan</w:t>
      </w:r>
    </w:p>
    <w:p>
      <w:pPr>
        <w:spacing w:after="0" w:line="12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2023 Plan allows us to grant equity compensation awards to our employees (including officers), consultants and non-employee directors and the employees and consultants of our parent or subsidiaries. The 2023 Plan permits us to grant service-based awards and performance-based awards. As of June 22, 2026, the 2023 Plan had approximately 279,420 shares remaining available for issuance pursuant to awards granted under the plan. We are asking our stockholders to approve the Amendment, which would add 1.0 million shares of our common stock to those available for issuance under the 2023 Plan.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Additional Information Regarding the Requested Share Increase</w:t>
      </w:r>
    </w:p>
    <w:p>
      <w:pPr>
        <w:spacing w:after="0" w:line="13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In determining the number of shares to be reserved for issuance under the 2023 Plan, the Compensation Committee and the Board considered the following factors:</w:t>
      </w:r>
    </w:p>
    <w:p>
      <w:pPr>
        <w:spacing w:after="0" w:line="57" w:lineRule="exact"/>
        <w:rPr>
          <w:sz w:val="20"/>
          <w:szCs w:val="20"/>
          <w:color w:val="auto"/>
        </w:rPr>
      </w:pPr>
    </w:p>
    <w:p>
      <w:pPr>
        <w:jc w:val="both"/>
        <w:ind w:left="480" w:hanging="325"/>
        <w:spacing w:after="0" w:line="213" w:lineRule="auto"/>
        <w:tabs>
          <w:tab w:leader="none" w:pos="467" w:val="left"/>
        </w:tabs>
        <w:numPr>
          <w:ilvl w:val="0"/>
          <w:numId w:val="63"/>
        </w:numPr>
        <w:rPr>
          <w:rFonts w:ascii="Arial" w:cs="Arial" w:eastAsia="Arial" w:hAnsi="Arial"/>
          <w:sz w:val="22"/>
          <w:szCs w:val="22"/>
          <w:b w:val="1"/>
          <w:bCs w:val="1"/>
          <w:color w:val="1B6F80"/>
        </w:rPr>
      </w:pPr>
      <w:r>
        <w:rPr>
          <w:rFonts w:ascii="Arial" w:cs="Arial" w:eastAsia="Arial" w:hAnsi="Arial"/>
          <w:sz w:val="16"/>
          <w:szCs w:val="16"/>
          <w:b w:val="1"/>
          <w:bCs w:val="1"/>
          <w:color w:val="auto"/>
        </w:rPr>
        <w:t xml:space="preserve">Dilution and Historical Grant Practices. </w:t>
      </w:r>
      <w:r>
        <w:rPr>
          <w:rFonts w:ascii="Arial" w:cs="Arial" w:eastAsia="Arial" w:hAnsi="Arial"/>
          <w:sz w:val="16"/>
          <w:szCs w:val="16"/>
          <w:color w:val="auto"/>
        </w:rPr>
        <w:t>The 1.0 million share increase requested to be approved by stockholders represents 5.2% of our total</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outstanding as of June 11, 2026. Dilution is the total number of shares subject to equity awards granted (at stretch level and less cancellations) divided by the total shares of common stock outstanding at the end of the year plus the total number of shares available for issuance and outstanding awards. We manage our long-term dilution by limiting the number of shares subject to equity awards that we grant annually, commonly referred to as burn rate. An additional metric that we use to measure the cumulative impact of the requested share increase is overhang (number of shares subject to equity awards outstanding at maximum level but not exercised, plus number of shares available to be granted, divided by total shares of common stock outstanding at the end of the year plus the total number of shares available for issuance and outstanding awards).</w:t>
      </w:r>
    </w:p>
    <w:p>
      <w:pPr>
        <w:spacing w:after="0" w:line="132" w:lineRule="exact"/>
        <w:rPr>
          <w:rFonts w:ascii="Arial" w:cs="Arial" w:eastAsia="Arial" w:hAnsi="Arial"/>
          <w:sz w:val="22"/>
          <w:szCs w:val="22"/>
          <w:b w:val="1"/>
          <w:bCs w:val="1"/>
          <w:color w:val="1B6F80"/>
        </w:rPr>
      </w:pPr>
    </w:p>
    <w:p>
      <w:pPr>
        <w:ind w:left="480"/>
        <w:spacing w:after="0"/>
        <w:rPr>
          <w:rFonts w:ascii="Arial" w:cs="Arial" w:eastAsia="Arial" w:hAnsi="Arial"/>
          <w:sz w:val="22"/>
          <w:szCs w:val="22"/>
          <w:b w:val="1"/>
          <w:bCs w:val="1"/>
          <w:color w:val="1B6F80"/>
        </w:rPr>
      </w:pPr>
      <w:r>
        <w:rPr>
          <w:rFonts w:ascii="Arial" w:cs="Arial" w:eastAsia="Arial" w:hAnsi="Arial"/>
          <w:sz w:val="16"/>
          <w:szCs w:val="16"/>
          <w:b w:val="1"/>
          <w:bCs w:val="1"/>
          <w:color w:val="1B6F80"/>
        </w:rPr>
        <w:t>2023 Plan Key Metrics Summary Table</w:t>
      </w:r>
    </w:p>
    <w:p>
      <w:pPr>
        <w:spacing w:after="0" w:line="113" w:lineRule="exact"/>
        <w:rPr>
          <w:sz w:val="20"/>
          <w:szCs w:val="20"/>
          <w:color w:val="auto"/>
        </w:rPr>
      </w:pPr>
    </w:p>
    <w:tbl>
      <w:tblPr>
        <w:tblLayout w:type="fixed"/>
        <w:tblInd w:w="490" w:type="dxa"/>
        <w:tblCellMar>
          <w:top w:w="0" w:type="dxa"/>
          <w:left w:w="0" w:type="dxa"/>
          <w:bottom w:w="0" w:type="dxa"/>
          <w:right w:w="0" w:type="dxa"/>
        </w:tblCellMar>
      </w:tblPr>
      <w:tr>
        <w:trPr>
          <w:trHeight w:val="187"/>
        </w:trPr>
        <w:tc>
          <w:tcPr>
            <w:tcW w:w="2100" w:type="dxa"/>
            <w:vAlign w:val="bottom"/>
            <w:tcBorders>
              <w:top w:val="single" w:sz="8" w:color="181818"/>
              <w:left w:val="single" w:sz="8" w:color="181818"/>
            </w:tcBorders>
            <w:shd w:val="clear" w:color="auto" w:fill="1B6F80"/>
          </w:tcPr>
          <w:p>
            <w:pPr>
              <w:spacing w:after="0"/>
              <w:rPr>
                <w:sz w:val="16"/>
                <w:szCs w:val="16"/>
                <w:color w:val="auto"/>
              </w:rPr>
            </w:pPr>
          </w:p>
        </w:tc>
        <w:tc>
          <w:tcPr>
            <w:tcW w:w="2260" w:type="dxa"/>
            <w:vAlign w:val="bottom"/>
            <w:tcBorders>
              <w:top w:val="single" w:sz="8" w:color="181818"/>
            </w:tcBorders>
            <w:shd w:val="clear" w:color="auto" w:fill="1B6F80"/>
          </w:tcPr>
          <w:p>
            <w:pPr>
              <w:spacing w:after="0"/>
              <w:rPr>
                <w:sz w:val="16"/>
                <w:szCs w:val="16"/>
                <w:color w:val="auto"/>
              </w:rPr>
            </w:pPr>
          </w:p>
        </w:tc>
        <w:tc>
          <w:tcPr>
            <w:tcW w:w="1780" w:type="dxa"/>
            <w:vAlign w:val="bottom"/>
            <w:tcBorders>
              <w:top w:val="single" w:sz="8" w:color="181818"/>
            </w:tcBorders>
            <w:shd w:val="clear" w:color="auto" w:fill="1B6F80"/>
          </w:tcPr>
          <w:p>
            <w:pPr>
              <w:spacing w:after="0"/>
              <w:rPr>
                <w:sz w:val="16"/>
                <w:szCs w:val="16"/>
                <w:color w:val="auto"/>
              </w:rPr>
            </w:pPr>
          </w:p>
        </w:tc>
        <w:tc>
          <w:tcPr>
            <w:tcW w:w="1760" w:type="dxa"/>
            <w:vAlign w:val="bottom"/>
            <w:tcBorders>
              <w:top w:val="single" w:sz="8" w:color="181818"/>
            </w:tcBorders>
            <w:shd w:val="clear" w:color="auto" w:fill="1B6F80"/>
          </w:tcPr>
          <w:p>
            <w:pPr>
              <w:spacing w:after="0"/>
              <w:rPr>
                <w:sz w:val="16"/>
                <w:szCs w:val="16"/>
                <w:color w:val="auto"/>
              </w:rPr>
            </w:pPr>
          </w:p>
        </w:tc>
        <w:tc>
          <w:tcPr>
            <w:tcW w:w="230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Three Year Average</w:t>
            </w:r>
          </w:p>
        </w:tc>
      </w:tr>
      <w:tr>
        <w:trPr>
          <w:trHeight w:val="176"/>
        </w:trPr>
        <w:tc>
          <w:tcPr>
            <w:tcW w:w="2100" w:type="dxa"/>
            <w:vAlign w:val="bottom"/>
            <w:tcBorders>
              <w:left w:val="single" w:sz="8" w:color="181818"/>
            </w:tcBorders>
            <w:shd w:val="clear" w:color="auto" w:fill="1B6F80"/>
          </w:tcPr>
          <w:p>
            <w:pPr>
              <w:spacing w:after="0"/>
              <w:rPr>
                <w:sz w:val="15"/>
                <w:szCs w:val="15"/>
                <w:color w:val="auto"/>
              </w:rPr>
            </w:pPr>
          </w:p>
        </w:tc>
        <w:tc>
          <w:tcPr>
            <w:tcW w:w="2260" w:type="dxa"/>
            <w:vAlign w:val="bottom"/>
            <w:shd w:val="clear" w:color="auto" w:fill="1B6F80"/>
          </w:tcPr>
          <w:p>
            <w:pPr>
              <w:jc w:val="right"/>
              <w:ind w:right="428"/>
              <w:spacing w:after="0"/>
              <w:rPr>
                <w:sz w:val="20"/>
                <w:szCs w:val="20"/>
                <w:color w:val="auto"/>
              </w:rPr>
            </w:pPr>
            <w:r>
              <w:rPr>
                <w:rFonts w:ascii="Arial" w:cs="Arial" w:eastAsia="Arial" w:hAnsi="Arial"/>
                <w:sz w:val="14"/>
                <w:szCs w:val="14"/>
                <w:b w:val="1"/>
                <w:bCs w:val="1"/>
                <w:color w:val="FFFFFF"/>
              </w:rPr>
              <w:t>Fiscal 2026</w:t>
            </w:r>
          </w:p>
        </w:tc>
        <w:tc>
          <w:tcPr>
            <w:tcW w:w="1780" w:type="dxa"/>
            <w:vAlign w:val="bottom"/>
            <w:shd w:val="clear" w:color="auto" w:fill="1B6F80"/>
          </w:tcPr>
          <w:p>
            <w:pPr>
              <w:jc w:val="right"/>
              <w:ind w:right="448"/>
              <w:spacing w:after="0"/>
              <w:rPr>
                <w:sz w:val="20"/>
                <w:szCs w:val="20"/>
                <w:color w:val="auto"/>
              </w:rPr>
            </w:pPr>
            <w:r>
              <w:rPr>
                <w:rFonts w:ascii="Arial" w:cs="Arial" w:eastAsia="Arial" w:hAnsi="Arial"/>
                <w:sz w:val="14"/>
                <w:szCs w:val="14"/>
                <w:b w:val="1"/>
                <w:bCs w:val="1"/>
                <w:color w:val="FFFFFF"/>
              </w:rPr>
              <w:t>Fiscal 2025</w:t>
            </w:r>
          </w:p>
        </w:tc>
        <w:tc>
          <w:tcPr>
            <w:tcW w:w="1760" w:type="dxa"/>
            <w:vAlign w:val="bottom"/>
            <w:shd w:val="clear" w:color="auto" w:fill="1B6F80"/>
          </w:tcPr>
          <w:p>
            <w:pPr>
              <w:jc w:val="right"/>
              <w:ind w:right="428"/>
              <w:spacing w:after="0"/>
              <w:rPr>
                <w:sz w:val="20"/>
                <w:szCs w:val="20"/>
                <w:color w:val="auto"/>
              </w:rPr>
            </w:pPr>
            <w:r>
              <w:rPr>
                <w:rFonts w:ascii="Arial" w:cs="Arial" w:eastAsia="Arial" w:hAnsi="Arial"/>
                <w:sz w:val="14"/>
                <w:szCs w:val="14"/>
                <w:b w:val="1"/>
                <w:bCs w:val="1"/>
                <w:color w:val="FFFFFF"/>
              </w:rPr>
              <w:t>Fiscal 2024</w:t>
            </w:r>
          </w:p>
        </w:tc>
        <w:tc>
          <w:tcPr>
            <w:tcW w:w="230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(Fiscal Years 2024-2026)</w:t>
            </w:r>
          </w:p>
        </w:tc>
      </w:tr>
      <w:tr>
        <w:trPr>
          <w:trHeight w:val="202"/>
        </w:trPr>
        <w:tc>
          <w:tcPr>
            <w:tcW w:w="2100" w:type="dxa"/>
            <w:vAlign w:val="bottom"/>
            <w:tcBorders>
              <w:left w:val="single" w:sz="8" w:color="181818"/>
            </w:tcBorders>
            <w:shd w:val="clear" w:color="auto" w:fill="1B6F80"/>
          </w:tcPr>
          <w:p>
            <w:pPr>
              <w:spacing w:after="0"/>
              <w:rPr>
                <w:sz w:val="17"/>
                <w:szCs w:val="17"/>
                <w:color w:val="auto"/>
              </w:rPr>
            </w:pPr>
          </w:p>
        </w:tc>
        <w:tc>
          <w:tcPr>
            <w:tcW w:w="2260" w:type="dxa"/>
            <w:vAlign w:val="bottom"/>
            <w:shd w:val="clear" w:color="auto" w:fill="1B6F80"/>
          </w:tcPr>
          <w:p>
            <w:pPr>
              <w:jc w:val="right"/>
              <w:ind w:right="428"/>
              <w:spacing w:after="0"/>
              <w:rPr>
                <w:sz w:val="20"/>
                <w:szCs w:val="20"/>
                <w:color w:val="auto"/>
              </w:rPr>
            </w:pPr>
            <w:r>
              <w:rPr>
                <w:rFonts w:ascii="Arial" w:cs="Arial" w:eastAsia="Arial" w:hAnsi="Arial"/>
                <w:sz w:val="14"/>
                <w:szCs w:val="14"/>
                <w:b w:val="1"/>
                <w:bCs w:val="1"/>
                <w:color w:val="FFFFFF"/>
              </w:rPr>
              <w:t>(%)</w:t>
            </w:r>
          </w:p>
        </w:tc>
        <w:tc>
          <w:tcPr>
            <w:tcW w:w="1780" w:type="dxa"/>
            <w:vAlign w:val="bottom"/>
            <w:shd w:val="clear" w:color="auto" w:fill="1B6F80"/>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760" w:type="dxa"/>
            <w:vAlign w:val="bottom"/>
            <w:shd w:val="clear" w:color="auto" w:fill="1B6F80"/>
          </w:tcPr>
          <w:p>
            <w:pPr>
              <w:jc w:val="right"/>
              <w:ind w:right="428"/>
              <w:spacing w:after="0"/>
              <w:rPr>
                <w:sz w:val="20"/>
                <w:szCs w:val="20"/>
                <w:color w:val="auto"/>
              </w:rPr>
            </w:pPr>
            <w:r>
              <w:rPr>
                <w:rFonts w:ascii="Arial" w:cs="Arial" w:eastAsia="Arial" w:hAnsi="Arial"/>
                <w:sz w:val="14"/>
                <w:szCs w:val="14"/>
                <w:b w:val="1"/>
                <w:bCs w:val="1"/>
                <w:color w:val="FFFFFF"/>
              </w:rPr>
              <w:t>(%)</w:t>
            </w:r>
          </w:p>
        </w:tc>
        <w:tc>
          <w:tcPr>
            <w:tcW w:w="230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70"/>
        </w:trPr>
        <w:tc>
          <w:tcPr>
            <w:tcW w:w="2100" w:type="dxa"/>
            <w:vAlign w:val="bottom"/>
            <w:tcBorders>
              <w:left w:val="single" w:sz="8" w:color="181818"/>
            </w:tcBorders>
            <w:shd w:val="clear" w:color="auto" w:fill="1B6F80"/>
          </w:tcPr>
          <w:p>
            <w:pPr>
              <w:spacing w:after="0"/>
              <w:rPr>
                <w:sz w:val="6"/>
                <w:szCs w:val="6"/>
                <w:color w:val="auto"/>
              </w:rPr>
            </w:pPr>
          </w:p>
        </w:tc>
        <w:tc>
          <w:tcPr>
            <w:tcW w:w="2260" w:type="dxa"/>
            <w:vAlign w:val="bottom"/>
            <w:shd w:val="clear" w:color="auto" w:fill="1B6F80"/>
          </w:tcPr>
          <w:p>
            <w:pPr>
              <w:spacing w:after="0"/>
              <w:rPr>
                <w:sz w:val="6"/>
                <w:szCs w:val="6"/>
                <w:color w:val="auto"/>
              </w:rPr>
            </w:pPr>
          </w:p>
        </w:tc>
        <w:tc>
          <w:tcPr>
            <w:tcW w:w="1780" w:type="dxa"/>
            <w:vAlign w:val="bottom"/>
            <w:shd w:val="clear" w:color="auto" w:fill="1B6F80"/>
          </w:tcPr>
          <w:p>
            <w:pPr>
              <w:spacing w:after="0"/>
              <w:rPr>
                <w:sz w:val="6"/>
                <w:szCs w:val="6"/>
                <w:color w:val="auto"/>
              </w:rPr>
            </w:pPr>
          </w:p>
        </w:tc>
        <w:tc>
          <w:tcPr>
            <w:tcW w:w="1760" w:type="dxa"/>
            <w:vAlign w:val="bottom"/>
            <w:shd w:val="clear" w:color="auto" w:fill="1B6F80"/>
          </w:tcPr>
          <w:p>
            <w:pPr>
              <w:spacing w:after="0"/>
              <w:rPr>
                <w:sz w:val="6"/>
                <w:szCs w:val="6"/>
                <w:color w:val="auto"/>
              </w:rPr>
            </w:pPr>
          </w:p>
        </w:tc>
        <w:tc>
          <w:tcPr>
            <w:tcW w:w="2300" w:type="dxa"/>
            <w:vAlign w:val="bottom"/>
            <w:tcBorders>
              <w:right w:val="single" w:sz="8" w:color="181818"/>
            </w:tcBorders>
            <w:shd w:val="clear" w:color="auto" w:fill="1B6F80"/>
          </w:tcPr>
          <w:p>
            <w:pPr>
              <w:spacing w:after="0"/>
              <w:rPr>
                <w:sz w:val="6"/>
                <w:szCs w:val="6"/>
                <w:color w:val="auto"/>
              </w:rPr>
            </w:pPr>
          </w:p>
        </w:tc>
      </w:tr>
      <w:tr>
        <w:trPr>
          <w:trHeight w:val="262"/>
        </w:trPr>
        <w:tc>
          <w:tcPr>
            <w:tcW w:w="2100" w:type="dxa"/>
            <w:vAlign w:val="bottom"/>
            <w:tcBorders>
              <w:left w:val="single" w:sz="8" w:color="181818"/>
            </w:tcBorders>
          </w:tcPr>
          <w:p>
            <w:pPr>
              <w:ind w:left="120"/>
              <w:spacing w:after="0"/>
              <w:rPr>
                <w:sz w:val="20"/>
                <w:szCs w:val="20"/>
                <w:color w:val="auto"/>
              </w:rPr>
            </w:pPr>
            <w:r>
              <w:rPr>
                <w:rFonts w:ascii="Arial" w:cs="Arial" w:eastAsia="Arial" w:hAnsi="Arial"/>
                <w:sz w:val="14"/>
                <w:szCs w:val="14"/>
                <w:color w:val="auto"/>
              </w:rPr>
              <w:t>Dilution</w:t>
            </w:r>
          </w:p>
        </w:tc>
        <w:tc>
          <w:tcPr>
            <w:tcW w:w="2260" w:type="dxa"/>
            <w:vAlign w:val="bottom"/>
          </w:tcPr>
          <w:p>
            <w:pPr>
              <w:jc w:val="right"/>
              <w:ind w:right="428"/>
              <w:spacing w:after="0"/>
              <w:rPr>
                <w:sz w:val="20"/>
                <w:szCs w:val="20"/>
                <w:color w:val="auto"/>
              </w:rPr>
            </w:pPr>
            <w:r>
              <w:rPr>
                <w:rFonts w:ascii="Arial" w:cs="Arial" w:eastAsia="Arial" w:hAnsi="Arial"/>
                <w:sz w:val="14"/>
                <w:szCs w:val="14"/>
                <w:color w:val="auto"/>
              </w:rPr>
              <w:t>8.7</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9.7</w:t>
            </w:r>
          </w:p>
        </w:tc>
        <w:tc>
          <w:tcPr>
            <w:tcW w:w="1760" w:type="dxa"/>
            <w:vAlign w:val="bottom"/>
          </w:tcPr>
          <w:p>
            <w:pPr>
              <w:jc w:val="right"/>
              <w:ind w:right="428"/>
              <w:spacing w:after="0"/>
              <w:rPr>
                <w:sz w:val="20"/>
                <w:szCs w:val="20"/>
                <w:color w:val="auto"/>
              </w:rPr>
            </w:pPr>
            <w:r>
              <w:rPr>
                <w:rFonts w:ascii="Arial" w:cs="Arial" w:eastAsia="Arial" w:hAnsi="Arial"/>
                <w:sz w:val="14"/>
                <w:szCs w:val="14"/>
                <w:color w:val="auto"/>
              </w:rPr>
              <w:t>11.1</w:t>
            </w:r>
          </w:p>
        </w:tc>
        <w:tc>
          <w:tcPr>
            <w:tcW w:w="230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9.8</w:t>
            </w:r>
          </w:p>
        </w:tc>
      </w:tr>
      <w:tr>
        <w:trPr>
          <w:trHeight w:val="76"/>
        </w:trPr>
        <w:tc>
          <w:tcPr>
            <w:tcW w:w="2100" w:type="dxa"/>
            <w:vAlign w:val="bottom"/>
            <w:tcBorders>
              <w:left w:val="single" w:sz="8" w:color="181818"/>
              <w:bottom w:val="single" w:sz="8" w:color="181818"/>
            </w:tcBorders>
          </w:tcPr>
          <w:p>
            <w:pPr>
              <w:spacing w:after="0"/>
              <w:rPr>
                <w:sz w:val="6"/>
                <w:szCs w:val="6"/>
                <w:color w:val="auto"/>
              </w:rPr>
            </w:pPr>
          </w:p>
        </w:tc>
        <w:tc>
          <w:tcPr>
            <w:tcW w:w="2260" w:type="dxa"/>
            <w:vAlign w:val="bottom"/>
            <w:tcBorders>
              <w:bottom w:val="single" w:sz="8" w:color="181818"/>
            </w:tcBorders>
          </w:tcPr>
          <w:p>
            <w:pPr>
              <w:spacing w:after="0"/>
              <w:rPr>
                <w:sz w:val="6"/>
                <w:szCs w:val="6"/>
                <w:color w:val="auto"/>
              </w:rPr>
            </w:pPr>
          </w:p>
        </w:tc>
        <w:tc>
          <w:tcPr>
            <w:tcW w:w="1780" w:type="dxa"/>
            <w:vAlign w:val="bottom"/>
            <w:tcBorders>
              <w:bottom w:val="single" w:sz="8" w:color="181818"/>
            </w:tcBorders>
          </w:tcPr>
          <w:p>
            <w:pPr>
              <w:spacing w:after="0"/>
              <w:rPr>
                <w:sz w:val="6"/>
                <w:szCs w:val="6"/>
                <w:color w:val="auto"/>
              </w:rPr>
            </w:pPr>
          </w:p>
        </w:tc>
        <w:tc>
          <w:tcPr>
            <w:tcW w:w="1760" w:type="dxa"/>
            <w:vAlign w:val="bottom"/>
            <w:tcBorders>
              <w:bottom w:val="single" w:sz="8" w:color="181818"/>
            </w:tcBorders>
          </w:tcPr>
          <w:p>
            <w:pPr>
              <w:spacing w:after="0"/>
              <w:rPr>
                <w:sz w:val="6"/>
                <w:szCs w:val="6"/>
                <w:color w:val="auto"/>
              </w:rPr>
            </w:pPr>
          </w:p>
        </w:tc>
        <w:tc>
          <w:tcPr>
            <w:tcW w:w="2300" w:type="dxa"/>
            <w:vAlign w:val="bottom"/>
            <w:tcBorders>
              <w:bottom w:val="single" w:sz="8" w:color="181818"/>
              <w:right w:val="single" w:sz="8" w:color="181818"/>
            </w:tcBorders>
          </w:tcPr>
          <w:p>
            <w:pPr>
              <w:spacing w:after="0"/>
              <w:rPr>
                <w:sz w:val="6"/>
                <w:szCs w:val="6"/>
                <w:color w:val="auto"/>
              </w:rPr>
            </w:pPr>
          </w:p>
        </w:tc>
      </w:tr>
      <w:tr>
        <w:trPr>
          <w:trHeight w:val="325"/>
        </w:trPr>
        <w:tc>
          <w:tcPr>
            <w:tcW w:w="2100" w:type="dxa"/>
            <w:vAlign w:val="bottom"/>
            <w:tcBorders>
              <w:left w:val="single" w:sz="8" w:color="181818"/>
              <w:bottom w:val="single" w:sz="8" w:color="181818"/>
            </w:tcBorders>
          </w:tcPr>
          <w:p>
            <w:pPr>
              <w:ind w:left="120"/>
              <w:spacing w:after="0"/>
              <w:rPr>
                <w:sz w:val="20"/>
                <w:szCs w:val="20"/>
                <w:color w:val="auto"/>
              </w:rPr>
            </w:pPr>
            <w:r>
              <w:rPr>
                <w:rFonts w:ascii="Arial" w:cs="Arial" w:eastAsia="Arial" w:hAnsi="Arial"/>
                <w:sz w:val="14"/>
                <w:szCs w:val="14"/>
                <w:color w:val="auto"/>
              </w:rPr>
              <w:t xml:space="preserve">Burn rate </w:t>
            </w:r>
            <w:r>
              <w:rPr>
                <w:rFonts w:ascii="Arial" w:cs="Arial" w:eastAsia="Arial" w:hAnsi="Arial"/>
                <w:sz w:val="18"/>
                <w:szCs w:val="18"/>
                <w:color w:val="auto"/>
                <w:vertAlign w:val="superscript"/>
              </w:rPr>
              <w:t>(1)</w:t>
            </w:r>
          </w:p>
        </w:tc>
        <w:tc>
          <w:tcPr>
            <w:tcW w:w="2260" w:type="dxa"/>
            <w:vAlign w:val="bottom"/>
            <w:tcBorders>
              <w:bottom w:val="single" w:sz="8" w:color="181818"/>
            </w:tcBorders>
          </w:tcPr>
          <w:p>
            <w:pPr>
              <w:jc w:val="right"/>
              <w:ind w:right="428"/>
              <w:spacing w:after="0"/>
              <w:rPr>
                <w:sz w:val="20"/>
                <w:szCs w:val="20"/>
                <w:color w:val="auto"/>
              </w:rPr>
            </w:pPr>
            <w:r>
              <w:rPr>
                <w:rFonts w:ascii="Arial" w:cs="Arial" w:eastAsia="Arial" w:hAnsi="Arial"/>
                <w:sz w:val="14"/>
                <w:szCs w:val="14"/>
                <w:color w:val="auto"/>
              </w:rPr>
              <w:t>3.4</w:t>
            </w:r>
          </w:p>
        </w:tc>
        <w:tc>
          <w:tcPr>
            <w:tcW w:w="1780" w:type="dxa"/>
            <w:vAlign w:val="bottom"/>
            <w:tcBorders>
              <w:bottom w:val="single" w:sz="8" w:color="181818"/>
            </w:tcBorders>
          </w:tcPr>
          <w:p>
            <w:pPr>
              <w:jc w:val="right"/>
              <w:ind w:right="448"/>
              <w:spacing w:after="0"/>
              <w:rPr>
                <w:sz w:val="20"/>
                <w:szCs w:val="20"/>
                <w:color w:val="auto"/>
              </w:rPr>
            </w:pPr>
            <w:r>
              <w:rPr>
                <w:rFonts w:ascii="Arial" w:cs="Arial" w:eastAsia="Arial" w:hAnsi="Arial"/>
                <w:sz w:val="14"/>
                <w:szCs w:val="14"/>
                <w:color w:val="auto"/>
              </w:rPr>
              <w:t>3.4</w:t>
            </w:r>
          </w:p>
        </w:tc>
        <w:tc>
          <w:tcPr>
            <w:tcW w:w="1760" w:type="dxa"/>
            <w:vAlign w:val="bottom"/>
            <w:tcBorders>
              <w:bottom w:val="single" w:sz="8" w:color="181818"/>
            </w:tcBorders>
          </w:tcPr>
          <w:p>
            <w:pPr>
              <w:jc w:val="right"/>
              <w:ind w:right="428"/>
              <w:spacing w:after="0"/>
              <w:rPr>
                <w:sz w:val="20"/>
                <w:szCs w:val="20"/>
                <w:color w:val="auto"/>
              </w:rPr>
            </w:pPr>
            <w:r>
              <w:rPr>
                <w:rFonts w:ascii="Arial" w:cs="Arial" w:eastAsia="Arial" w:hAnsi="Arial"/>
                <w:sz w:val="14"/>
                <w:szCs w:val="14"/>
                <w:color w:val="auto"/>
              </w:rPr>
              <w:t>2.6</w:t>
            </w:r>
          </w:p>
        </w:tc>
        <w:tc>
          <w:tcPr>
            <w:tcW w:w="2300" w:type="dxa"/>
            <w:vAlign w:val="bottom"/>
            <w:tcBorders>
              <w:bottom w:val="single" w:sz="8" w:color="181818"/>
              <w:right w:val="single" w:sz="8" w:color="181818"/>
            </w:tcBorders>
          </w:tcPr>
          <w:p>
            <w:pPr>
              <w:jc w:val="right"/>
              <w:ind w:right="68"/>
              <w:spacing w:after="0"/>
              <w:rPr>
                <w:sz w:val="20"/>
                <w:szCs w:val="20"/>
                <w:color w:val="auto"/>
              </w:rPr>
            </w:pPr>
            <w:r>
              <w:rPr>
                <w:rFonts w:ascii="Arial" w:cs="Arial" w:eastAsia="Arial" w:hAnsi="Arial"/>
                <w:sz w:val="14"/>
                <w:szCs w:val="14"/>
                <w:color w:val="auto"/>
              </w:rPr>
              <w:t>3.2</w:t>
            </w:r>
          </w:p>
        </w:tc>
      </w:tr>
      <w:tr>
        <w:trPr>
          <w:trHeight w:val="262"/>
        </w:trPr>
        <w:tc>
          <w:tcPr>
            <w:tcW w:w="2100" w:type="dxa"/>
            <w:vAlign w:val="bottom"/>
            <w:tcBorders>
              <w:left w:val="single" w:sz="8" w:color="181818"/>
            </w:tcBorders>
          </w:tcPr>
          <w:p>
            <w:pPr>
              <w:ind w:left="120"/>
              <w:spacing w:after="0"/>
              <w:rPr>
                <w:sz w:val="20"/>
                <w:szCs w:val="20"/>
                <w:color w:val="auto"/>
              </w:rPr>
            </w:pPr>
            <w:r>
              <w:rPr>
                <w:rFonts w:ascii="Arial" w:cs="Arial" w:eastAsia="Arial" w:hAnsi="Arial"/>
                <w:sz w:val="14"/>
                <w:szCs w:val="14"/>
                <w:color w:val="auto"/>
              </w:rPr>
              <w:t>Overhang</w:t>
            </w:r>
          </w:p>
        </w:tc>
        <w:tc>
          <w:tcPr>
            <w:tcW w:w="2260" w:type="dxa"/>
            <w:vAlign w:val="bottom"/>
          </w:tcPr>
          <w:p>
            <w:pPr>
              <w:jc w:val="right"/>
              <w:ind w:right="428"/>
              <w:spacing w:after="0"/>
              <w:rPr>
                <w:sz w:val="20"/>
                <w:szCs w:val="20"/>
                <w:color w:val="auto"/>
              </w:rPr>
            </w:pPr>
            <w:r>
              <w:rPr>
                <w:rFonts w:ascii="Arial" w:cs="Arial" w:eastAsia="Arial" w:hAnsi="Arial"/>
                <w:sz w:val="14"/>
                <w:szCs w:val="14"/>
                <w:color w:val="auto"/>
              </w:rPr>
              <w:t>12.2</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13.8</w:t>
            </w:r>
          </w:p>
        </w:tc>
        <w:tc>
          <w:tcPr>
            <w:tcW w:w="1760" w:type="dxa"/>
            <w:vAlign w:val="bottom"/>
          </w:tcPr>
          <w:p>
            <w:pPr>
              <w:jc w:val="right"/>
              <w:ind w:right="428"/>
              <w:spacing w:after="0"/>
              <w:rPr>
                <w:sz w:val="20"/>
                <w:szCs w:val="20"/>
                <w:color w:val="auto"/>
              </w:rPr>
            </w:pPr>
            <w:r>
              <w:rPr>
                <w:rFonts w:ascii="Arial" w:cs="Arial" w:eastAsia="Arial" w:hAnsi="Arial"/>
                <w:sz w:val="14"/>
                <w:szCs w:val="14"/>
                <w:color w:val="auto"/>
              </w:rPr>
              <w:t>11.2</w:t>
            </w:r>
          </w:p>
        </w:tc>
        <w:tc>
          <w:tcPr>
            <w:tcW w:w="230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12.4</w:t>
            </w:r>
          </w:p>
        </w:tc>
      </w:tr>
      <w:tr>
        <w:trPr>
          <w:trHeight w:val="62"/>
        </w:trPr>
        <w:tc>
          <w:tcPr>
            <w:tcW w:w="2100" w:type="dxa"/>
            <w:vAlign w:val="bottom"/>
            <w:tcBorders>
              <w:left w:val="single" w:sz="8" w:color="181818"/>
              <w:bottom w:val="single" w:sz="8" w:color="181818"/>
            </w:tcBorders>
          </w:tcPr>
          <w:p>
            <w:pPr>
              <w:spacing w:after="0"/>
              <w:rPr>
                <w:sz w:val="5"/>
                <w:szCs w:val="5"/>
                <w:color w:val="auto"/>
              </w:rPr>
            </w:pPr>
          </w:p>
        </w:tc>
        <w:tc>
          <w:tcPr>
            <w:tcW w:w="2260" w:type="dxa"/>
            <w:vAlign w:val="bottom"/>
            <w:tcBorders>
              <w:bottom w:val="single" w:sz="8" w:color="181818"/>
            </w:tcBorders>
          </w:tcPr>
          <w:p>
            <w:pPr>
              <w:spacing w:after="0"/>
              <w:rPr>
                <w:sz w:val="5"/>
                <w:szCs w:val="5"/>
                <w:color w:val="auto"/>
              </w:rPr>
            </w:pPr>
          </w:p>
        </w:tc>
        <w:tc>
          <w:tcPr>
            <w:tcW w:w="1780" w:type="dxa"/>
            <w:vAlign w:val="bottom"/>
            <w:tcBorders>
              <w:bottom w:val="single" w:sz="8" w:color="181818"/>
            </w:tcBorders>
          </w:tcPr>
          <w:p>
            <w:pPr>
              <w:spacing w:after="0"/>
              <w:rPr>
                <w:sz w:val="5"/>
                <w:szCs w:val="5"/>
                <w:color w:val="auto"/>
              </w:rPr>
            </w:pPr>
          </w:p>
        </w:tc>
        <w:tc>
          <w:tcPr>
            <w:tcW w:w="1760" w:type="dxa"/>
            <w:vAlign w:val="bottom"/>
            <w:tcBorders>
              <w:bottom w:val="single" w:sz="8" w:color="181818"/>
            </w:tcBorders>
          </w:tcPr>
          <w:p>
            <w:pPr>
              <w:spacing w:after="0"/>
              <w:rPr>
                <w:sz w:val="5"/>
                <w:szCs w:val="5"/>
                <w:color w:val="auto"/>
              </w:rPr>
            </w:pPr>
          </w:p>
        </w:tc>
        <w:tc>
          <w:tcPr>
            <w:tcW w:w="2300" w:type="dxa"/>
            <w:vAlign w:val="bottom"/>
            <w:tcBorders>
              <w:bottom w:val="single" w:sz="8" w:color="181818"/>
              <w:right w:val="single" w:sz="8" w:color="181818"/>
            </w:tcBorders>
          </w:tcPr>
          <w:p>
            <w:pPr>
              <w:spacing w:after="0"/>
              <w:rPr>
                <w:sz w:val="5"/>
                <w:szCs w:val="5"/>
                <w:color w:val="auto"/>
              </w:rPr>
            </w:pPr>
          </w:p>
        </w:tc>
      </w:tr>
    </w:tbl>
    <w:p>
      <w:pPr>
        <w:spacing w:after="0" w:line="149" w:lineRule="exact"/>
        <w:rPr>
          <w:sz w:val="20"/>
          <w:szCs w:val="20"/>
          <w:color w:val="auto"/>
        </w:rPr>
      </w:pPr>
    </w:p>
    <w:p>
      <w:pPr>
        <w:ind w:left="800" w:hanging="321"/>
        <w:spacing w:after="0"/>
        <w:tabs>
          <w:tab w:leader="none" w:pos="800" w:val="left"/>
        </w:tabs>
        <w:numPr>
          <w:ilvl w:val="1"/>
          <w:numId w:val="64"/>
        </w:numPr>
        <w:rPr>
          <w:rFonts w:ascii="Arial" w:cs="Arial" w:eastAsia="Arial" w:hAnsi="Arial"/>
          <w:sz w:val="14"/>
          <w:szCs w:val="14"/>
          <w:b w:val="1"/>
          <w:bCs w:val="1"/>
          <w:color w:val="181818"/>
        </w:rPr>
      </w:pPr>
      <w:r>
        <w:rPr>
          <w:rFonts w:ascii="Arial" w:cs="Arial" w:eastAsia="Arial" w:hAnsi="Arial"/>
          <w:sz w:val="14"/>
          <w:szCs w:val="14"/>
          <w:color w:val="auto"/>
        </w:rPr>
        <w:t>Includes time based RSUs granted, performance based PSUs earned and time based options granted.</w:t>
      </w:r>
    </w:p>
    <w:p>
      <w:pPr>
        <w:spacing w:after="0" w:line="264" w:lineRule="exact"/>
        <w:rPr>
          <w:rFonts w:ascii="Arial" w:cs="Arial" w:eastAsia="Arial" w:hAnsi="Arial"/>
          <w:sz w:val="14"/>
          <w:szCs w:val="14"/>
          <w:b w:val="1"/>
          <w:bCs w:val="1"/>
          <w:color w:val="181818"/>
        </w:rPr>
      </w:pPr>
    </w:p>
    <w:p>
      <w:pPr>
        <w:ind w:left="480" w:hanging="325"/>
        <w:spacing w:after="0" w:line="217" w:lineRule="auto"/>
        <w:tabs>
          <w:tab w:leader="none" w:pos="467" w:val="left"/>
        </w:tabs>
        <w:numPr>
          <w:ilvl w:val="0"/>
          <w:numId w:val="64"/>
        </w:numPr>
        <w:rPr>
          <w:rFonts w:ascii="Arial" w:cs="Arial" w:eastAsia="Arial" w:hAnsi="Arial"/>
          <w:sz w:val="22"/>
          <w:szCs w:val="22"/>
          <w:b w:val="1"/>
          <w:bCs w:val="1"/>
          <w:color w:val="1B6F80"/>
        </w:rPr>
      </w:pPr>
      <w:r>
        <w:rPr>
          <w:rFonts w:ascii="Arial" w:cs="Arial" w:eastAsia="Arial" w:hAnsi="Arial"/>
          <w:sz w:val="16"/>
          <w:szCs w:val="16"/>
          <w:b w:val="1"/>
          <w:bCs w:val="1"/>
          <w:color w:val="auto"/>
        </w:rPr>
        <w:t xml:space="preserve">Forecasted Grants. </w:t>
      </w:r>
      <w:r>
        <w:rPr>
          <w:rFonts w:ascii="Arial" w:cs="Arial" w:eastAsia="Arial" w:hAnsi="Arial"/>
          <w:sz w:val="16"/>
          <w:szCs w:val="16"/>
          <w:color w:val="auto"/>
        </w:rPr>
        <w:t>If our stockholders approve the Amendment, we currently anticipate that the shares under the 2023 Plan will be sufficient to meet</w:t>
      </w:r>
      <w:r>
        <w:rPr>
          <w:rFonts w:ascii="Arial" w:cs="Arial" w:eastAsia="Arial" w:hAnsi="Arial"/>
          <w:sz w:val="16"/>
          <w:szCs w:val="16"/>
          <w:b w:val="1"/>
          <w:bCs w:val="1"/>
          <w:color w:val="auto"/>
        </w:rPr>
        <w:t xml:space="preserve"> </w:t>
      </w:r>
      <w:r>
        <w:rPr>
          <w:rFonts w:ascii="Arial" w:cs="Arial" w:eastAsia="Arial" w:hAnsi="Arial"/>
          <w:sz w:val="16"/>
          <w:szCs w:val="16"/>
          <w:color w:val="auto"/>
        </w:rPr>
        <w:t>our expected needs through the date of our 2028 annual meeting of stockholders.</w:t>
      </w:r>
    </w:p>
    <w:p>
      <w:pPr>
        <w:spacing w:after="0" w:line="90" w:lineRule="exact"/>
        <w:rPr>
          <w:rFonts w:ascii="Arial" w:cs="Arial" w:eastAsia="Arial" w:hAnsi="Arial"/>
          <w:sz w:val="22"/>
          <w:szCs w:val="22"/>
          <w:b w:val="1"/>
          <w:bCs w:val="1"/>
          <w:color w:val="1B6F80"/>
        </w:rPr>
      </w:pPr>
    </w:p>
    <w:p>
      <w:pPr>
        <w:ind w:left="480" w:hanging="325"/>
        <w:spacing w:after="0" w:line="217" w:lineRule="auto"/>
        <w:tabs>
          <w:tab w:leader="none" w:pos="467" w:val="left"/>
        </w:tabs>
        <w:numPr>
          <w:ilvl w:val="0"/>
          <w:numId w:val="64"/>
        </w:numPr>
        <w:rPr>
          <w:rFonts w:ascii="Arial" w:cs="Arial" w:eastAsia="Arial" w:hAnsi="Arial"/>
          <w:sz w:val="22"/>
          <w:szCs w:val="22"/>
          <w:b w:val="1"/>
          <w:bCs w:val="1"/>
          <w:color w:val="1B6F80"/>
        </w:rPr>
      </w:pPr>
      <w:r>
        <w:rPr>
          <w:rFonts w:ascii="Arial" w:cs="Arial" w:eastAsia="Arial" w:hAnsi="Arial"/>
          <w:sz w:val="16"/>
          <w:szCs w:val="16"/>
          <w:b w:val="1"/>
          <w:bCs w:val="1"/>
          <w:color w:val="auto"/>
        </w:rPr>
        <w:t xml:space="preserve">Proxy Advisory Firm Guidelines. </w:t>
      </w:r>
      <w:r>
        <w:rPr>
          <w:rFonts w:ascii="Arial" w:cs="Arial" w:eastAsia="Arial" w:hAnsi="Arial"/>
          <w:sz w:val="16"/>
          <w:szCs w:val="16"/>
          <w:color w:val="auto"/>
        </w:rPr>
        <w:t>Given our significant institutional stockholder base, the Compensation Committee and the Board considered proxy</w:t>
      </w:r>
      <w:r>
        <w:rPr>
          <w:rFonts w:ascii="Arial" w:cs="Arial" w:eastAsia="Arial" w:hAnsi="Arial"/>
          <w:sz w:val="16"/>
          <w:szCs w:val="16"/>
          <w:b w:val="1"/>
          <w:bCs w:val="1"/>
          <w:color w:val="auto"/>
        </w:rPr>
        <w:t xml:space="preserve"> </w:t>
      </w:r>
      <w:r>
        <w:rPr>
          <w:rFonts w:ascii="Arial" w:cs="Arial" w:eastAsia="Arial" w:hAnsi="Arial"/>
          <w:sz w:val="16"/>
          <w:szCs w:val="16"/>
          <w:color w:val="auto"/>
        </w:rPr>
        <w:t>advisory firm guidelines.</w:t>
      </w:r>
    </w:p>
    <w:p>
      <w:pPr>
        <w:spacing w:after="0" w:line="79" w:lineRule="exact"/>
        <w:rPr>
          <w:rFonts w:ascii="Arial" w:cs="Arial" w:eastAsia="Arial" w:hAnsi="Arial"/>
          <w:sz w:val="22"/>
          <w:szCs w:val="22"/>
          <w:b w:val="1"/>
          <w:bCs w:val="1"/>
          <w:color w:val="1B6F80"/>
        </w:rPr>
      </w:pPr>
    </w:p>
    <w:p>
      <w:pPr>
        <w:ind w:left="480"/>
        <w:spacing w:after="0"/>
        <w:rPr>
          <w:rFonts w:ascii="Arial" w:cs="Arial" w:eastAsia="Arial" w:hAnsi="Arial"/>
          <w:sz w:val="22"/>
          <w:szCs w:val="22"/>
          <w:b w:val="1"/>
          <w:bCs w:val="1"/>
          <w:color w:val="1B6F80"/>
        </w:rPr>
      </w:pPr>
      <w:r>
        <w:rPr>
          <w:rFonts w:ascii="Arial" w:cs="Arial" w:eastAsia="Arial" w:hAnsi="Arial"/>
          <w:sz w:val="16"/>
          <w:szCs w:val="16"/>
          <w:color w:val="auto"/>
        </w:rPr>
        <w:t>Taking into account our equity grant practices and the foregoing information, we believe that the additional share request is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Why Stockholders Should Vote for the Amendment</w:t>
      </w:r>
    </w:p>
    <w:p>
      <w:pPr>
        <w:spacing w:after="0" w:line="135"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We believe that our employees are our most valuable asset. Accordingly, the approval of the Amendment is in the best interest of our stockholders, as equity awards granted under the 2023 Plan will help us to:</w:t>
      </w:r>
    </w:p>
    <w:p>
      <w:pPr>
        <w:spacing w:after="0" w:line="25" w:lineRule="exact"/>
        <w:rPr>
          <w:sz w:val="20"/>
          <w:szCs w:val="20"/>
          <w:color w:val="auto"/>
        </w:rPr>
      </w:pPr>
    </w:p>
    <w:p>
      <w:pPr>
        <w:ind w:left="460" w:hanging="305"/>
        <w:spacing w:after="0"/>
        <w:tabs>
          <w:tab w:leader="none" w:pos="460" w:val="left"/>
        </w:tabs>
        <w:numPr>
          <w:ilvl w:val="0"/>
          <w:numId w:val="65"/>
        </w:numPr>
        <w:rPr>
          <w:rFonts w:ascii="Arial" w:cs="Arial" w:eastAsia="Arial" w:hAnsi="Arial"/>
          <w:sz w:val="22"/>
          <w:szCs w:val="22"/>
          <w:b w:val="1"/>
          <w:bCs w:val="1"/>
          <w:color w:val="1B6F80"/>
        </w:rPr>
      </w:pPr>
      <w:r>
        <w:rPr>
          <w:rFonts w:ascii="Arial" w:cs="Arial" w:eastAsia="Arial" w:hAnsi="Arial"/>
          <w:sz w:val="16"/>
          <w:szCs w:val="16"/>
          <w:color w:val="auto"/>
        </w:rPr>
        <w:t>attract, motivate, and retain talented employees, consultants and non-employee directors;</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65"/>
        </w:numPr>
        <w:rPr>
          <w:rFonts w:ascii="Arial" w:cs="Arial" w:eastAsia="Arial" w:hAnsi="Arial"/>
          <w:sz w:val="22"/>
          <w:szCs w:val="22"/>
          <w:b w:val="1"/>
          <w:bCs w:val="1"/>
          <w:color w:val="1B6F80"/>
        </w:rPr>
      </w:pPr>
      <w:r>
        <w:rPr>
          <w:rFonts w:ascii="Arial" w:cs="Arial" w:eastAsia="Arial" w:hAnsi="Arial"/>
          <w:sz w:val="16"/>
          <w:szCs w:val="16"/>
          <w:color w:val="auto"/>
        </w:rPr>
        <w:t>align employee and stockholder interests;</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65"/>
        </w:numPr>
        <w:rPr>
          <w:rFonts w:ascii="Arial" w:cs="Arial" w:eastAsia="Arial" w:hAnsi="Arial"/>
          <w:sz w:val="22"/>
          <w:szCs w:val="22"/>
          <w:b w:val="1"/>
          <w:bCs w:val="1"/>
          <w:color w:val="1B6F80"/>
        </w:rPr>
      </w:pPr>
      <w:r>
        <w:rPr>
          <w:rFonts w:ascii="Arial" w:cs="Arial" w:eastAsia="Arial" w:hAnsi="Arial"/>
          <w:sz w:val="16"/>
          <w:szCs w:val="16"/>
          <w:color w:val="auto"/>
        </w:rPr>
        <w:t>link employee compensation with company performance, including through the use of performance-based equity awards; and</w:t>
      </w:r>
    </w:p>
    <w:p>
      <w:pPr>
        <w:spacing w:after="0" w:line="71" w:lineRule="exact"/>
        <w:rPr>
          <w:rFonts w:ascii="Arial" w:cs="Arial" w:eastAsia="Arial" w:hAnsi="Arial"/>
          <w:sz w:val="22"/>
          <w:szCs w:val="22"/>
          <w:b w:val="1"/>
          <w:bCs w:val="1"/>
          <w:color w:val="1B6F80"/>
        </w:rPr>
      </w:pPr>
    </w:p>
    <w:p>
      <w:pPr>
        <w:ind w:left="460" w:hanging="305"/>
        <w:spacing w:after="0"/>
        <w:tabs>
          <w:tab w:leader="none" w:pos="460" w:val="left"/>
        </w:tabs>
        <w:numPr>
          <w:ilvl w:val="0"/>
          <w:numId w:val="65"/>
        </w:numPr>
        <w:rPr>
          <w:rFonts w:ascii="Arial" w:cs="Arial" w:eastAsia="Arial" w:hAnsi="Arial"/>
          <w:sz w:val="22"/>
          <w:szCs w:val="22"/>
          <w:b w:val="1"/>
          <w:bCs w:val="1"/>
          <w:color w:val="1B6F80"/>
        </w:rPr>
      </w:pPr>
      <w:r>
        <w:rPr>
          <w:rFonts w:ascii="Arial" w:cs="Arial" w:eastAsia="Arial" w:hAnsi="Arial"/>
          <w:sz w:val="16"/>
          <w:szCs w:val="16"/>
          <w:color w:val="auto"/>
        </w:rPr>
        <w:t>maintain a culture based on employee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447040</wp:posOffset>
            </wp:positionV>
            <wp:extent cx="71577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56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60" w:name="page61"/>
    <w:bookmarkEnd w:id="60"/>
    <w:p>
      <w:pPr>
        <w:ind w:left="10540"/>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We operate in a challenging marketplace in which our success depends largely on our ability to attract and retain employees, directors and other service providers of the highest caliber. One of the tools our Board regards as essential in addressing these challenges is a competitive equity incentive program. Our equity incentive program provides a range of incentive tools and sufficient flexibility to permit the Compensation Committee of the Board to implement them in ways that will make the most effective use of the shares our stockholders authorize for incentive purposes. We intend to use these incentives to attract new key employees and retain existing key employees, non-employee directors and other service providers for our long-term benefit and that of our stockholders.</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If our stockholders do not approve the Amendment, we will be severely limited in granting future awards due to the limited number of shares available for grant under the 2023 Plan and may not be able to continue to offer competitive equity packages to retain current employees and attract new employees. Our growth could be significantly hampered, and our ability to operate our business could be adversely affected. We would also lose a major tool in aligning the interests of our executives and employees with those of our stockholders. If we do not have sufficient shares to provide meaningful equity incentives, we may be compelled to instead offer additional cash-based incentives to compete for talent, which could have a significant effect on our quarterly results of operations, cash flow, and balance sheet. Our success over the next few years will depend heavily on our ability to attract and retain high-caliber employees, consultants and board members. The ability to grant equity awards is a necessary and powerful recruiting and retention tool for us to hire and motivate the quality personnel we need to move our business forward.</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Certain Features of the 2023 Plan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The 2023 Plan Reflects Compensation and Governance Best Practices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2023 Plan reflects a broad range of compensation and governance best practices, with some of the key features as follows:</w:t>
      </w:r>
    </w:p>
    <w:p>
      <w:pPr>
        <w:spacing w:after="0" w:line="141" w:lineRule="exact"/>
        <w:rPr>
          <w:sz w:val="20"/>
          <w:szCs w:val="20"/>
          <w:color w:val="auto"/>
        </w:rPr>
      </w:pPr>
    </w:p>
    <w:p>
      <w:pPr>
        <w:ind w:left="460" w:hanging="305"/>
        <w:spacing w:after="0"/>
        <w:tabs>
          <w:tab w:leader="none" w:pos="460" w:val="left"/>
        </w:tabs>
        <w:numPr>
          <w:ilvl w:val="0"/>
          <w:numId w:val="66"/>
        </w:numPr>
        <w:rPr>
          <w:rFonts w:ascii="Arial" w:cs="Arial" w:eastAsia="Arial" w:hAnsi="Arial"/>
          <w:sz w:val="22"/>
          <w:szCs w:val="22"/>
          <w:b w:val="1"/>
          <w:bCs w:val="1"/>
          <w:color w:val="1B6F80"/>
        </w:rPr>
      </w:pPr>
      <w:r>
        <w:rPr>
          <w:rFonts w:ascii="Arial" w:cs="Arial" w:eastAsia="Arial" w:hAnsi="Arial"/>
          <w:sz w:val="16"/>
          <w:szCs w:val="16"/>
          <w:b w:val="1"/>
          <w:bCs w:val="1"/>
          <w:color w:val="auto"/>
        </w:rPr>
        <w:t>No Increase in Shares Available for Issuance without Stockholder Approval.</w:t>
      </w:r>
    </w:p>
    <w:p>
      <w:pPr>
        <w:spacing w:after="0" w:line="83" w:lineRule="exact"/>
        <w:rPr>
          <w:rFonts w:ascii="Arial" w:cs="Arial" w:eastAsia="Arial" w:hAnsi="Arial"/>
          <w:sz w:val="22"/>
          <w:szCs w:val="22"/>
          <w:b w:val="1"/>
          <w:bCs w:val="1"/>
          <w:color w:val="1B6F80"/>
        </w:rPr>
      </w:pPr>
    </w:p>
    <w:p>
      <w:pPr>
        <w:ind w:left="480"/>
        <w:spacing w:after="0" w:line="326" w:lineRule="auto"/>
        <w:rPr>
          <w:rFonts w:ascii="Arial" w:cs="Arial" w:eastAsia="Arial" w:hAnsi="Arial"/>
          <w:sz w:val="22"/>
          <w:szCs w:val="22"/>
          <w:b w:val="1"/>
          <w:bCs w:val="1"/>
          <w:color w:val="1B6F80"/>
        </w:rPr>
      </w:pPr>
      <w:r>
        <w:rPr>
          <w:rFonts w:ascii="Arial" w:cs="Arial" w:eastAsia="Arial" w:hAnsi="Arial"/>
          <w:sz w:val="16"/>
          <w:szCs w:val="16"/>
          <w:color w:val="auto"/>
        </w:rPr>
        <w:t>The total number of shares of common stock that may be issued under the 2023 Plan (other than in connection with adjustments in connection with certain corporate reorganizations and other events) may not be increased without stockholder approval.</w:t>
      </w:r>
    </w:p>
    <w:p>
      <w:pPr>
        <w:spacing w:after="0" w:line="40" w:lineRule="exact"/>
        <w:rPr>
          <w:rFonts w:ascii="Arial" w:cs="Arial" w:eastAsia="Arial" w:hAnsi="Arial"/>
          <w:sz w:val="22"/>
          <w:szCs w:val="22"/>
          <w:b w:val="1"/>
          <w:bCs w:val="1"/>
          <w:color w:val="1B6F80"/>
        </w:rPr>
      </w:pPr>
    </w:p>
    <w:p>
      <w:pPr>
        <w:ind w:left="460" w:hanging="305"/>
        <w:spacing w:after="0"/>
        <w:tabs>
          <w:tab w:leader="none" w:pos="460" w:val="left"/>
        </w:tabs>
        <w:numPr>
          <w:ilvl w:val="0"/>
          <w:numId w:val="66"/>
        </w:numPr>
        <w:rPr>
          <w:rFonts w:ascii="Arial" w:cs="Arial" w:eastAsia="Arial" w:hAnsi="Arial"/>
          <w:sz w:val="22"/>
          <w:szCs w:val="22"/>
          <w:b w:val="1"/>
          <w:bCs w:val="1"/>
          <w:color w:val="1B6F80"/>
        </w:rPr>
      </w:pPr>
      <w:r>
        <w:rPr>
          <w:rFonts w:ascii="Arial" w:cs="Arial" w:eastAsia="Arial" w:hAnsi="Arial"/>
          <w:sz w:val="16"/>
          <w:szCs w:val="16"/>
          <w:b w:val="1"/>
          <w:bCs w:val="1"/>
          <w:color w:val="auto"/>
        </w:rPr>
        <w:t>No Single-Trigger Vesting of Awards.</w:t>
      </w:r>
    </w:p>
    <w:p>
      <w:pPr>
        <w:spacing w:after="0" w:line="83" w:lineRule="exact"/>
        <w:rPr>
          <w:rFonts w:ascii="Arial" w:cs="Arial" w:eastAsia="Arial" w:hAnsi="Arial"/>
          <w:sz w:val="22"/>
          <w:szCs w:val="22"/>
          <w:b w:val="1"/>
          <w:bCs w:val="1"/>
          <w:color w:val="1B6F80"/>
        </w:rPr>
      </w:pPr>
    </w:p>
    <w:p>
      <w:pPr>
        <w:ind w:left="480"/>
        <w:spacing w:after="0"/>
        <w:rPr>
          <w:rFonts w:ascii="Arial" w:cs="Arial" w:eastAsia="Arial" w:hAnsi="Arial"/>
          <w:sz w:val="22"/>
          <w:szCs w:val="22"/>
          <w:b w:val="1"/>
          <w:bCs w:val="1"/>
          <w:color w:val="1B6F80"/>
        </w:rPr>
      </w:pPr>
      <w:r>
        <w:rPr>
          <w:rFonts w:ascii="Arial" w:cs="Arial" w:eastAsia="Arial" w:hAnsi="Arial"/>
          <w:sz w:val="16"/>
          <w:szCs w:val="16"/>
          <w:color w:val="auto"/>
        </w:rPr>
        <w:t>The 2023 Plan does not provide for automatic single-trigger accelerated vesting provisions for changes in control.</w:t>
      </w:r>
    </w:p>
    <w:p>
      <w:pPr>
        <w:spacing w:after="0" w:line="140" w:lineRule="exact"/>
        <w:rPr>
          <w:rFonts w:ascii="Arial" w:cs="Arial" w:eastAsia="Arial" w:hAnsi="Arial"/>
          <w:sz w:val="22"/>
          <w:szCs w:val="22"/>
          <w:b w:val="1"/>
          <w:bCs w:val="1"/>
          <w:color w:val="1B6F80"/>
        </w:rPr>
      </w:pPr>
    </w:p>
    <w:p>
      <w:pPr>
        <w:ind w:left="460" w:hanging="305"/>
        <w:spacing w:after="0"/>
        <w:tabs>
          <w:tab w:leader="none" w:pos="460" w:val="left"/>
        </w:tabs>
        <w:numPr>
          <w:ilvl w:val="0"/>
          <w:numId w:val="66"/>
        </w:numPr>
        <w:rPr>
          <w:rFonts w:ascii="Arial" w:cs="Arial" w:eastAsia="Arial" w:hAnsi="Arial"/>
          <w:sz w:val="22"/>
          <w:szCs w:val="22"/>
          <w:b w:val="1"/>
          <w:bCs w:val="1"/>
          <w:color w:val="1B6F80"/>
        </w:rPr>
      </w:pPr>
      <w:r>
        <w:rPr>
          <w:rFonts w:ascii="Arial" w:cs="Arial" w:eastAsia="Arial" w:hAnsi="Arial"/>
          <w:sz w:val="16"/>
          <w:szCs w:val="16"/>
          <w:b w:val="1"/>
          <w:bCs w:val="1"/>
          <w:color w:val="auto"/>
        </w:rPr>
        <w:t>No Repricing of Options and Stock Appreciation Rights.</w:t>
      </w:r>
    </w:p>
    <w:p>
      <w:pPr>
        <w:spacing w:after="0" w:line="83" w:lineRule="exact"/>
        <w:rPr>
          <w:rFonts w:ascii="Arial" w:cs="Arial" w:eastAsia="Arial" w:hAnsi="Arial"/>
          <w:sz w:val="22"/>
          <w:szCs w:val="22"/>
          <w:b w:val="1"/>
          <w:bCs w:val="1"/>
          <w:color w:val="1B6F80"/>
        </w:rPr>
      </w:pPr>
    </w:p>
    <w:p>
      <w:pPr>
        <w:ind w:left="480"/>
        <w:spacing w:after="0" w:line="340" w:lineRule="auto"/>
        <w:rPr>
          <w:rFonts w:ascii="Arial" w:cs="Arial" w:eastAsia="Arial" w:hAnsi="Arial"/>
          <w:sz w:val="22"/>
          <w:szCs w:val="22"/>
          <w:b w:val="1"/>
          <w:bCs w:val="1"/>
          <w:color w:val="1B6F80"/>
        </w:rPr>
      </w:pPr>
      <w:r>
        <w:rPr>
          <w:rFonts w:ascii="Arial" w:cs="Arial" w:eastAsia="Arial" w:hAnsi="Arial"/>
          <w:sz w:val="16"/>
          <w:szCs w:val="16"/>
          <w:color w:val="auto"/>
        </w:rPr>
        <w:t>Where the exercise price of an option or stock appreciation right is greater than the fair market value of a share of our common stock, such award may not be repriced, replaced or regranted through cancellation or modification to reduce the applicable exercise price without stockholder approval.</w:t>
      </w:r>
    </w:p>
    <w:p>
      <w:pPr>
        <w:spacing w:after="0" w:line="32" w:lineRule="exact"/>
        <w:rPr>
          <w:rFonts w:ascii="Arial" w:cs="Arial" w:eastAsia="Arial" w:hAnsi="Arial"/>
          <w:sz w:val="22"/>
          <w:szCs w:val="22"/>
          <w:b w:val="1"/>
          <w:bCs w:val="1"/>
          <w:color w:val="1B6F80"/>
        </w:rPr>
      </w:pPr>
    </w:p>
    <w:p>
      <w:pPr>
        <w:ind w:left="460" w:hanging="305"/>
        <w:spacing w:after="0"/>
        <w:tabs>
          <w:tab w:leader="none" w:pos="460" w:val="left"/>
        </w:tabs>
        <w:numPr>
          <w:ilvl w:val="0"/>
          <w:numId w:val="66"/>
        </w:numPr>
        <w:rPr>
          <w:rFonts w:ascii="Arial" w:cs="Arial" w:eastAsia="Arial" w:hAnsi="Arial"/>
          <w:sz w:val="22"/>
          <w:szCs w:val="22"/>
          <w:b w:val="1"/>
          <w:bCs w:val="1"/>
          <w:color w:val="1B6F80"/>
        </w:rPr>
      </w:pPr>
      <w:r>
        <w:rPr>
          <w:rFonts w:ascii="Arial" w:cs="Arial" w:eastAsia="Arial" w:hAnsi="Arial"/>
          <w:sz w:val="16"/>
          <w:szCs w:val="16"/>
          <w:b w:val="1"/>
          <w:bCs w:val="1"/>
          <w:color w:val="auto"/>
        </w:rPr>
        <w:t>No Dividend Payments on Unvested Awards.</w:t>
      </w:r>
    </w:p>
    <w:p>
      <w:pPr>
        <w:spacing w:after="0" w:line="83" w:lineRule="exact"/>
        <w:rPr>
          <w:rFonts w:ascii="Arial" w:cs="Arial" w:eastAsia="Arial" w:hAnsi="Arial"/>
          <w:sz w:val="22"/>
          <w:szCs w:val="22"/>
          <w:b w:val="1"/>
          <w:bCs w:val="1"/>
          <w:color w:val="1B6F80"/>
        </w:rPr>
      </w:pPr>
    </w:p>
    <w:p>
      <w:pPr>
        <w:ind w:left="480"/>
        <w:spacing w:after="0"/>
        <w:rPr>
          <w:rFonts w:ascii="Arial" w:cs="Arial" w:eastAsia="Arial" w:hAnsi="Arial"/>
          <w:sz w:val="22"/>
          <w:szCs w:val="22"/>
          <w:b w:val="1"/>
          <w:bCs w:val="1"/>
          <w:color w:val="1B6F80"/>
        </w:rPr>
      </w:pPr>
      <w:r>
        <w:rPr>
          <w:rFonts w:ascii="Arial" w:cs="Arial" w:eastAsia="Arial" w:hAnsi="Arial"/>
          <w:sz w:val="16"/>
          <w:szCs w:val="16"/>
          <w:color w:val="auto"/>
        </w:rPr>
        <w:t>The 2023 Plan provides that no dividends or other distributions will be paid with respect to unvested awards.</w:t>
      </w:r>
    </w:p>
    <w:p>
      <w:pPr>
        <w:spacing w:after="0" w:line="127" w:lineRule="exact"/>
        <w:rPr>
          <w:rFonts w:ascii="Arial" w:cs="Arial" w:eastAsia="Arial" w:hAnsi="Arial"/>
          <w:sz w:val="22"/>
          <w:szCs w:val="22"/>
          <w:b w:val="1"/>
          <w:bCs w:val="1"/>
          <w:color w:val="1B6F80"/>
        </w:rPr>
      </w:pPr>
    </w:p>
    <w:p>
      <w:pPr>
        <w:ind w:left="460" w:hanging="305"/>
        <w:spacing w:after="0"/>
        <w:tabs>
          <w:tab w:leader="none" w:pos="460" w:val="left"/>
        </w:tabs>
        <w:numPr>
          <w:ilvl w:val="0"/>
          <w:numId w:val="66"/>
        </w:numPr>
        <w:rPr>
          <w:rFonts w:ascii="Arial" w:cs="Arial" w:eastAsia="Arial" w:hAnsi="Arial"/>
          <w:sz w:val="22"/>
          <w:szCs w:val="22"/>
          <w:b w:val="1"/>
          <w:bCs w:val="1"/>
          <w:color w:val="1B6F80"/>
        </w:rPr>
      </w:pPr>
      <w:r>
        <w:rPr>
          <w:rFonts w:ascii="Arial" w:cs="Arial" w:eastAsia="Arial" w:hAnsi="Arial"/>
          <w:sz w:val="16"/>
          <w:szCs w:val="16"/>
          <w:b w:val="1"/>
          <w:bCs w:val="1"/>
          <w:color w:val="auto"/>
        </w:rPr>
        <w:t>No In-the-Money Option or Stock Appreciation Right Grants.</w:t>
      </w:r>
    </w:p>
    <w:p>
      <w:pPr>
        <w:spacing w:after="0" w:line="83" w:lineRule="exact"/>
        <w:rPr>
          <w:rFonts w:ascii="Arial" w:cs="Arial" w:eastAsia="Arial" w:hAnsi="Arial"/>
          <w:sz w:val="22"/>
          <w:szCs w:val="22"/>
          <w:b w:val="1"/>
          <w:bCs w:val="1"/>
          <w:color w:val="1B6F80"/>
        </w:rPr>
      </w:pPr>
    </w:p>
    <w:p>
      <w:pPr>
        <w:ind w:left="480"/>
        <w:spacing w:after="0" w:line="340" w:lineRule="auto"/>
        <w:rPr>
          <w:rFonts w:ascii="Arial" w:cs="Arial" w:eastAsia="Arial" w:hAnsi="Arial"/>
          <w:sz w:val="22"/>
          <w:szCs w:val="22"/>
          <w:b w:val="1"/>
          <w:bCs w:val="1"/>
          <w:color w:val="1B6F80"/>
        </w:rPr>
      </w:pPr>
      <w:r>
        <w:rPr>
          <w:rFonts w:ascii="Arial" w:cs="Arial" w:eastAsia="Arial" w:hAnsi="Arial"/>
          <w:sz w:val="16"/>
          <w:szCs w:val="16"/>
          <w:color w:val="auto"/>
        </w:rPr>
        <w:t>Options and stock appreciation rights may not be granted with an exercise or base price less than 100% of the fair market value of our common stock on the date of grant.</w:t>
      </w:r>
    </w:p>
    <w:p>
      <w:pPr>
        <w:spacing w:after="0" w:line="32" w:lineRule="exact"/>
        <w:rPr>
          <w:rFonts w:ascii="Arial" w:cs="Arial" w:eastAsia="Arial" w:hAnsi="Arial"/>
          <w:sz w:val="22"/>
          <w:szCs w:val="22"/>
          <w:b w:val="1"/>
          <w:bCs w:val="1"/>
          <w:color w:val="1B6F80"/>
        </w:rPr>
      </w:pPr>
    </w:p>
    <w:p>
      <w:pPr>
        <w:ind w:left="460" w:hanging="305"/>
        <w:spacing w:after="0"/>
        <w:tabs>
          <w:tab w:leader="none" w:pos="460" w:val="left"/>
        </w:tabs>
        <w:numPr>
          <w:ilvl w:val="0"/>
          <w:numId w:val="66"/>
        </w:numPr>
        <w:rPr>
          <w:rFonts w:ascii="Arial" w:cs="Arial" w:eastAsia="Arial" w:hAnsi="Arial"/>
          <w:sz w:val="22"/>
          <w:szCs w:val="22"/>
          <w:b w:val="1"/>
          <w:bCs w:val="1"/>
          <w:color w:val="1B6F80"/>
        </w:rPr>
      </w:pPr>
      <w:r>
        <w:rPr>
          <w:rFonts w:ascii="Arial" w:cs="Arial" w:eastAsia="Arial" w:hAnsi="Arial"/>
          <w:sz w:val="16"/>
          <w:szCs w:val="16"/>
          <w:b w:val="1"/>
          <w:bCs w:val="1"/>
          <w:color w:val="auto"/>
        </w:rPr>
        <w:t>Limitations on Share Recycling.</w:t>
      </w:r>
    </w:p>
    <w:p>
      <w:pPr>
        <w:spacing w:after="0" w:line="83" w:lineRule="exact"/>
        <w:rPr>
          <w:rFonts w:ascii="Arial" w:cs="Arial" w:eastAsia="Arial" w:hAnsi="Arial"/>
          <w:sz w:val="22"/>
          <w:szCs w:val="22"/>
          <w:b w:val="1"/>
          <w:bCs w:val="1"/>
          <w:color w:val="1B6F80"/>
        </w:rPr>
      </w:pPr>
    </w:p>
    <w:p>
      <w:pPr>
        <w:jc w:val="both"/>
        <w:ind w:left="480"/>
        <w:spacing w:after="0" w:line="321" w:lineRule="auto"/>
        <w:rPr>
          <w:rFonts w:ascii="Arial" w:cs="Arial" w:eastAsia="Arial" w:hAnsi="Arial"/>
          <w:sz w:val="22"/>
          <w:szCs w:val="22"/>
          <w:b w:val="1"/>
          <w:bCs w:val="1"/>
          <w:color w:val="1B6F80"/>
        </w:rPr>
      </w:pPr>
      <w:r>
        <w:rPr>
          <w:rFonts w:ascii="Arial" w:cs="Arial" w:eastAsia="Arial" w:hAnsi="Arial"/>
          <w:sz w:val="16"/>
          <w:szCs w:val="16"/>
          <w:color w:val="auto"/>
        </w:rPr>
        <w:t>Upon the exercise of a stock appreciation right or net exercise of an option, the number of shares available under the 2023 Plan will be reduced by the gross number of shares for which the award is exercised. In addition, shares we tender or withhold to satisfy any tax withholding obligation may not be added back to the share reserve, as this would be considered “liberal share counting” practices as defined by Institutional Stockholder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577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603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0325"/>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0" w:hanging="305"/>
        <w:spacing w:after="0"/>
        <w:tabs>
          <w:tab w:leader="none" w:pos="460" w:val="left"/>
        </w:tabs>
        <w:numPr>
          <w:ilvl w:val="0"/>
          <w:numId w:val="67"/>
        </w:numPr>
        <w:rPr>
          <w:rFonts w:ascii="Arial" w:cs="Arial" w:eastAsia="Arial" w:hAnsi="Arial"/>
          <w:sz w:val="22"/>
          <w:szCs w:val="22"/>
          <w:b w:val="1"/>
          <w:bCs w:val="1"/>
          <w:color w:val="1B6F80"/>
        </w:rPr>
      </w:pPr>
      <w:r>
        <w:rPr>
          <w:rFonts w:ascii="Arial" w:cs="Arial" w:eastAsia="Arial" w:hAnsi="Arial"/>
          <w:sz w:val="16"/>
          <w:szCs w:val="16"/>
          <w:b w:val="1"/>
          <w:bCs w:val="1"/>
          <w:color w:val="auto"/>
        </w:rPr>
        <w:t>No Evergreen Feature.</w:t>
      </w:r>
    </w:p>
    <w:p>
      <w:pPr>
        <w:spacing w:after="0" w:line="83" w:lineRule="exact"/>
        <w:rPr>
          <w:rFonts w:ascii="Arial" w:cs="Arial" w:eastAsia="Arial" w:hAnsi="Arial"/>
          <w:sz w:val="22"/>
          <w:szCs w:val="22"/>
          <w:b w:val="1"/>
          <w:bCs w:val="1"/>
          <w:color w:val="1B6F80"/>
        </w:rPr>
      </w:pPr>
    </w:p>
    <w:p>
      <w:pPr>
        <w:ind w:left="480"/>
        <w:spacing w:after="0"/>
        <w:rPr>
          <w:rFonts w:ascii="Arial" w:cs="Arial" w:eastAsia="Arial" w:hAnsi="Arial"/>
          <w:sz w:val="22"/>
          <w:szCs w:val="22"/>
          <w:b w:val="1"/>
          <w:bCs w:val="1"/>
          <w:color w:val="1B6F80"/>
        </w:rPr>
      </w:pPr>
      <w:r>
        <w:rPr>
          <w:rFonts w:ascii="Arial" w:cs="Arial" w:eastAsia="Arial" w:hAnsi="Arial"/>
          <w:sz w:val="16"/>
          <w:szCs w:val="16"/>
          <w:color w:val="auto"/>
        </w:rPr>
        <w:t>The 2023 Plan does not provide for an annual automatic increase in the share reserve.</w:t>
      </w:r>
    </w:p>
    <w:p>
      <w:pPr>
        <w:spacing w:after="0" w:line="140" w:lineRule="exact"/>
        <w:rPr>
          <w:rFonts w:ascii="Arial" w:cs="Arial" w:eastAsia="Arial" w:hAnsi="Arial"/>
          <w:sz w:val="22"/>
          <w:szCs w:val="22"/>
          <w:b w:val="1"/>
          <w:bCs w:val="1"/>
          <w:color w:val="1B6F80"/>
        </w:rPr>
      </w:pPr>
    </w:p>
    <w:p>
      <w:pPr>
        <w:ind w:left="460" w:hanging="305"/>
        <w:spacing w:after="0"/>
        <w:tabs>
          <w:tab w:leader="none" w:pos="460" w:val="left"/>
        </w:tabs>
        <w:numPr>
          <w:ilvl w:val="0"/>
          <w:numId w:val="67"/>
        </w:numPr>
        <w:rPr>
          <w:rFonts w:ascii="Arial" w:cs="Arial" w:eastAsia="Arial" w:hAnsi="Arial"/>
          <w:sz w:val="22"/>
          <w:szCs w:val="22"/>
          <w:b w:val="1"/>
          <w:bCs w:val="1"/>
          <w:color w:val="1B6F80"/>
        </w:rPr>
      </w:pPr>
      <w:r>
        <w:rPr>
          <w:rFonts w:ascii="Arial" w:cs="Arial" w:eastAsia="Arial" w:hAnsi="Arial"/>
          <w:sz w:val="16"/>
          <w:szCs w:val="16"/>
          <w:b w:val="1"/>
          <w:bCs w:val="1"/>
          <w:color w:val="auto"/>
        </w:rPr>
        <w:t>Minimum Vesting Period.</w:t>
      </w:r>
    </w:p>
    <w:p>
      <w:pPr>
        <w:spacing w:after="0" w:line="83" w:lineRule="exact"/>
        <w:rPr>
          <w:rFonts w:ascii="Arial" w:cs="Arial" w:eastAsia="Arial" w:hAnsi="Arial"/>
          <w:sz w:val="22"/>
          <w:szCs w:val="22"/>
          <w:b w:val="1"/>
          <w:bCs w:val="1"/>
          <w:color w:val="1B6F80"/>
        </w:rPr>
      </w:pPr>
    </w:p>
    <w:p>
      <w:pPr>
        <w:ind w:left="480"/>
        <w:spacing w:after="0"/>
        <w:rPr>
          <w:rFonts w:ascii="Arial" w:cs="Arial" w:eastAsia="Arial" w:hAnsi="Arial"/>
          <w:sz w:val="22"/>
          <w:szCs w:val="22"/>
          <w:b w:val="1"/>
          <w:bCs w:val="1"/>
          <w:color w:val="1B6F80"/>
        </w:rPr>
      </w:pPr>
      <w:r>
        <w:rPr>
          <w:rFonts w:ascii="Arial" w:cs="Arial" w:eastAsia="Arial" w:hAnsi="Arial"/>
          <w:sz w:val="16"/>
          <w:szCs w:val="16"/>
          <w:color w:val="auto"/>
        </w:rPr>
        <w:t>Awards granted under the 2023 Plan may not vest earlier than the first anniversary of the date the Award is granted, with certain exceptions.</w:t>
      </w:r>
    </w:p>
    <w:p>
      <w:pPr>
        <w:spacing w:after="0" w:line="140" w:lineRule="exact"/>
        <w:rPr>
          <w:rFonts w:ascii="Arial" w:cs="Arial" w:eastAsia="Arial" w:hAnsi="Arial"/>
          <w:sz w:val="22"/>
          <w:szCs w:val="22"/>
          <w:b w:val="1"/>
          <w:bCs w:val="1"/>
          <w:color w:val="1B6F80"/>
        </w:rPr>
      </w:pPr>
    </w:p>
    <w:p>
      <w:pPr>
        <w:ind w:left="460" w:hanging="305"/>
        <w:spacing w:after="0"/>
        <w:tabs>
          <w:tab w:leader="none" w:pos="460" w:val="left"/>
        </w:tabs>
        <w:numPr>
          <w:ilvl w:val="0"/>
          <w:numId w:val="67"/>
        </w:numPr>
        <w:rPr>
          <w:rFonts w:ascii="Arial" w:cs="Arial" w:eastAsia="Arial" w:hAnsi="Arial"/>
          <w:sz w:val="22"/>
          <w:szCs w:val="22"/>
          <w:b w:val="1"/>
          <w:bCs w:val="1"/>
          <w:color w:val="1B6F80"/>
        </w:rPr>
      </w:pPr>
      <w:r>
        <w:rPr>
          <w:rFonts w:ascii="Arial" w:cs="Arial" w:eastAsia="Arial" w:hAnsi="Arial"/>
          <w:sz w:val="16"/>
          <w:szCs w:val="16"/>
          <w:b w:val="1"/>
          <w:bCs w:val="1"/>
          <w:color w:val="auto"/>
        </w:rPr>
        <w:t>Independent Administration.</w:t>
      </w:r>
    </w:p>
    <w:p>
      <w:pPr>
        <w:spacing w:after="0" w:line="83" w:lineRule="exact"/>
        <w:rPr>
          <w:rFonts w:ascii="Arial" w:cs="Arial" w:eastAsia="Arial" w:hAnsi="Arial"/>
          <w:sz w:val="22"/>
          <w:szCs w:val="22"/>
          <w:b w:val="1"/>
          <w:bCs w:val="1"/>
          <w:color w:val="1B6F80"/>
        </w:rPr>
      </w:pPr>
    </w:p>
    <w:p>
      <w:pPr>
        <w:ind w:left="480"/>
        <w:spacing w:after="0" w:line="326" w:lineRule="auto"/>
        <w:rPr>
          <w:rFonts w:ascii="Arial" w:cs="Arial" w:eastAsia="Arial" w:hAnsi="Arial"/>
          <w:sz w:val="22"/>
          <w:szCs w:val="22"/>
          <w:b w:val="1"/>
          <w:bCs w:val="1"/>
          <w:color w:val="1B6F80"/>
        </w:rPr>
      </w:pPr>
      <w:r>
        <w:rPr>
          <w:rFonts w:ascii="Arial" w:cs="Arial" w:eastAsia="Arial" w:hAnsi="Arial"/>
          <w:sz w:val="16"/>
          <w:szCs w:val="16"/>
          <w:color w:val="auto"/>
        </w:rPr>
        <w:t>The Compensation Committee, which consists of two or more non-employee independent directors, generally will administer the 2023 Plan if it is approved by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Summary of the 2023 Plan</w:t>
      </w:r>
    </w:p>
    <w:p>
      <w:pPr>
        <w:spacing w:after="0" w:line="137"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The following summary of the 2023 Plan, as proposed to be amended, is qualified in its entirety by the specific language of the 2023 Plan, as amended, a copy of which is filed as an exhibit to our Annual Report on Form 10-K, and the text of the Amendment attached as Appendix A to this Proxy Statement.</w:t>
      </w:r>
    </w:p>
    <w:p>
      <w:pPr>
        <w:spacing w:after="0" w:line="52"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color w:val="181818"/>
        </w:rPr>
        <w:t xml:space="preserve">General </w:t>
      </w:r>
      <w:r>
        <w:rPr>
          <w:rFonts w:ascii="Arial" w:cs="Arial" w:eastAsia="Arial" w:hAnsi="Arial"/>
          <w:sz w:val="16"/>
          <w:szCs w:val="16"/>
          <w:color w:val="000000"/>
        </w:rPr>
        <w:t>- The purpose of the 2023 Plan is to advance our interests and those of our stockholders by providing an incentive program that will enable us to</w:t>
      </w:r>
      <w:r>
        <w:rPr>
          <w:rFonts w:ascii="Arial" w:cs="Arial" w:eastAsia="Arial" w:hAnsi="Arial"/>
          <w:sz w:val="16"/>
          <w:szCs w:val="16"/>
          <w:b w:val="1"/>
          <w:bCs w:val="1"/>
          <w:color w:val="181818"/>
        </w:rPr>
        <w:t xml:space="preserve"> </w:t>
      </w:r>
      <w:r>
        <w:rPr>
          <w:rFonts w:ascii="Arial" w:cs="Arial" w:eastAsia="Arial" w:hAnsi="Arial"/>
          <w:sz w:val="16"/>
          <w:szCs w:val="16"/>
          <w:color w:val="000000"/>
        </w:rPr>
        <w:t>attract and retain employees and non-employee directors and to provide them with an equity interest in our growth and profitability. These incentives may be provided through the grant of options, stock appreciation rights, restricted stock purchase rights, restricted stock bonuses, restricted stock units, performance shares, performance units and other share-based awards and cash-based awards.</w:t>
      </w:r>
    </w:p>
    <w:p>
      <w:pPr>
        <w:spacing w:after="0" w:line="47" w:lineRule="exact"/>
        <w:rPr>
          <w:sz w:val="20"/>
          <w:szCs w:val="20"/>
          <w:color w:val="auto"/>
        </w:rPr>
      </w:pPr>
    </w:p>
    <w:p>
      <w:pPr>
        <w:jc w:val="both"/>
        <w:spacing w:after="0" w:line="305" w:lineRule="auto"/>
        <w:rPr>
          <w:sz w:val="20"/>
          <w:szCs w:val="20"/>
          <w:color w:val="auto"/>
        </w:rPr>
      </w:pPr>
      <w:r>
        <w:rPr>
          <w:rFonts w:ascii="Arial" w:cs="Arial" w:eastAsia="Arial" w:hAnsi="Arial"/>
          <w:sz w:val="16"/>
          <w:szCs w:val="16"/>
          <w:b w:val="1"/>
          <w:bCs w:val="1"/>
          <w:color w:val="181818"/>
        </w:rPr>
        <w:t xml:space="preserve">Authorized Shares </w:t>
      </w:r>
      <w:r>
        <w:rPr>
          <w:rFonts w:ascii="Arial" w:cs="Arial" w:eastAsia="Arial" w:hAnsi="Arial"/>
          <w:sz w:val="16"/>
          <w:szCs w:val="16"/>
          <w:color w:val="000000"/>
        </w:rPr>
        <w:t>- Subject to adjustment for changes in capitalization in accordance with the terms of the 2023 Plan, the maximum aggregate number of</w:t>
      </w:r>
      <w:r>
        <w:rPr>
          <w:rFonts w:ascii="Arial" w:cs="Arial" w:eastAsia="Arial" w:hAnsi="Arial"/>
          <w:sz w:val="16"/>
          <w:szCs w:val="16"/>
          <w:b w:val="1"/>
          <w:bCs w:val="1"/>
          <w:color w:val="181818"/>
        </w:rPr>
        <w:t xml:space="preserve"> </w:t>
      </w:r>
      <w:r>
        <w:rPr>
          <w:rFonts w:ascii="Arial" w:cs="Arial" w:eastAsia="Arial" w:hAnsi="Arial"/>
          <w:sz w:val="16"/>
          <w:szCs w:val="16"/>
          <w:color w:val="000000"/>
        </w:rPr>
        <w:t>shares authorized for issuance under the 2023 Plan is the sum of (1) 1,350,000 shares and (2) approximately 176,000 additional shares, comprised of the number of shares remaining available for grant under our 2014 Stock Plan immediately prior to its termination. If the Amendment is approved by the stockholders, the maximum number of shares authorized to be issued under the 2023 Plan will increase by 1,000,000 shares. In addition, to comply with applicable tax rules, the 2023 Plan also limits to a market value of $100,000 per calendar year the number of shares that may first become exercisable underlying incentive stock options granted under the 2023 Plan.</w:t>
      </w:r>
    </w:p>
    <w:p>
      <w:pPr>
        <w:spacing w:after="0" w:line="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181818"/>
        </w:rPr>
        <w:t xml:space="preserve">Share Counting </w:t>
      </w:r>
      <w:r>
        <w:rPr>
          <w:rFonts w:ascii="Arial" w:cs="Arial" w:eastAsia="Arial" w:hAnsi="Arial"/>
          <w:sz w:val="16"/>
          <w:szCs w:val="16"/>
          <w:color w:val="000000"/>
        </w:rPr>
        <w:t>- If any award granted under the 2023 Plan expires or otherwise terminates for any reason without having been exercised or settled in full,</w:t>
      </w:r>
      <w:r>
        <w:rPr>
          <w:rFonts w:ascii="Arial" w:cs="Arial" w:eastAsia="Arial" w:hAnsi="Arial"/>
          <w:sz w:val="16"/>
          <w:szCs w:val="16"/>
          <w:b w:val="1"/>
          <w:bCs w:val="1"/>
          <w:color w:val="181818"/>
        </w:rPr>
        <w:t xml:space="preserve"> </w:t>
      </w:r>
      <w:r>
        <w:rPr>
          <w:rFonts w:ascii="Arial" w:cs="Arial" w:eastAsia="Arial" w:hAnsi="Arial"/>
          <w:sz w:val="16"/>
          <w:szCs w:val="16"/>
          <w:color w:val="000000"/>
        </w:rPr>
        <w:t>or if shares subject to forfeiture or repurchase are forfeited or repurchased by the Company for not more than the participant’s purchase price, any such shares reacquired or subject to a terminated award will again become available for issuance under the 2023 Plan. Shares that we withhold or reacquire in satisfaction of a tax withholding obligation in connection with an option or a stock appreciation right or that are tendered in payment of the exercise price of an option will not be made available for new awards under the 2023 Plan. Upon the exercise of a stock appreciation right or net-exercise of an option, the number of shares available under the 2023 Plan will be reduced by the gross number of shares for which the award is exercised, inclusive of the number of shares of stock tendered to us by the participant or withheld in satisfaction of such net exercise.</w:t>
      </w:r>
    </w:p>
    <w:p>
      <w:pPr>
        <w:spacing w:after="0" w:line="70" w:lineRule="exact"/>
        <w:rPr>
          <w:sz w:val="20"/>
          <w:szCs w:val="20"/>
          <w:color w:val="auto"/>
        </w:rPr>
      </w:pPr>
    </w:p>
    <w:p>
      <w:pPr>
        <w:jc w:val="both"/>
        <w:spacing w:after="0" w:line="305" w:lineRule="auto"/>
        <w:rPr>
          <w:sz w:val="20"/>
          <w:szCs w:val="20"/>
          <w:color w:val="auto"/>
        </w:rPr>
      </w:pPr>
      <w:r>
        <w:rPr>
          <w:rFonts w:ascii="Arial" w:cs="Arial" w:eastAsia="Arial" w:hAnsi="Arial"/>
          <w:sz w:val="16"/>
          <w:szCs w:val="16"/>
          <w:b w:val="1"/>
          <w:bCs w:val="1"/>
          <w:color w:val="181818"/>
        </w:rPr>
        <w:t xml:space="preserve">Adjustments for Capital Structure Changes </w:t>
      </w:r>
      <w:r>
        <w:rPr>
          <w:rFonts w:ascii="Arial" w:cs="Arial" w:eastAsia="Arial" w:hAnsi="Arial"/>
          <w:sz w:val="16"/>
          <w:szCs w:val="16"/>
          <w:color w:val="000000"/>
        </w:rPr>
        <w:t>- Appropriate and proportionate adjustments will be made to the number of shares authorized under the 2023</w:t>
      </w:r>
      <w:r>
        <w:rPr>
          <w:rFonts w:ascii="Arial" w:cs="Arial" w:eastAsia="Arial" w:hAnsi="Arial"/>
          <w:sz w:val="16"/>
          <w:szCs w:val="16"/>
          <w:b w:val="1"/>
          <w:bCs w:val="1"/>
          <w:color w:val="181818"/>
        </w:rPr>
        <w:t xml:space="preserve"> </w:t>
      </w:r>
      <w:r>
        <w:rPr>
          <w:rFonts w:ascii="Arial" w:cs="Arial" w:eastAsia="Arial" w:hAnsi="Arial"/>
          <w:sz w:val="16"/>
          <w:szCs w:val="16"/>
          <w:color w:val="000000"/>
        </w:rPr>
        <w:t>Plan and to outstanding awards in the event of any change in our common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our capital structure, or if we make a distribution to our stockholders in a form other than common stock (excluding regular, periodic cash dividends) that has a material effect on the fair market value of our common stock. In such circumstances, the Compensation Committee also has the discretion under the 2023 Plan to adjust other terms of outstanding awards as it deems appropriate.</w:t>
      </w:r>
    </w:p>
    <w:p>
      <w:pPr>
        <w:spacing w:after="0" w:line="69"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color w:val="181818"/>
        </w:rPr>
        <w:t xml:space="preserve">Non-employee Director Award Limits </w:t>
      </w:r>
      <w:r>
        <w:rPr>
          <w:rFonts w:ascii="Arial" w:cs="Arial" w:eastAsia="Arial" w:hAnsi="Arial"/>
          <w:sz w:val="16"/>
          <w:szCs w:val="16"/>
          <w:color w:val="000000"/>
        </w:rPr>
        <w:t>- The sum of the grant date fair value of all equity-based awards and any cash compensation provided to an</w:t>
      </w:r>
      <w:r>
        <w:rPr>
          <w:rFonts w:ascii="Arial" w:cs="Arial" w:eastAsia="Arial" w:hAnsi="Arial"/>
          <w:sz w:val="16"/>
          <w:szCs w:val="16"/>
          <w:b w:val="1"/>
          <w:bCs w:val="1"/>
          <w:color w:val="181818"/>
        </w:rPr>
        <w:t xml:space="preserve"> </w:t>
      </w:r>
      <w:r>
        <w:rPr>
          <w:rFonts w:ascii="Arial" w:cs="Arial" w:eastAsia="Arial" w:hAnsi="Arial"/>
          <w:sz w:val="16"/>
          <w:szCs w:val="16"/>
          <w:color w:val="000000"/>
        </w:rPr>
        <w:t>individual as compensation for services as a non-employee director may not exceed $400,000 for each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361315</wp:posOffset>
            </wp:positionV>
            <wp:extent cx="71577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58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62" w:name="page63"/>
    <w:bookmarkEnd w:id="62"/>
    <w:p>
      <w:pPr>
        <w:ind w:left="10540"/>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color w:val="181818"/>
        </w:rPr>
        <w:t xml:space="preserve">Administration </w:t>
      </w:r>
      <w:r>
        <w:rPr>
          <w:rFonts w:ascii="Arial" w:cs="Arial" w:eastAsia="Arial" w:hAnsi="Arial"/>
          <w:sz w:val="16"/>
          <w:szCs w:val="16"/>
          <w:color w:val="000000"/>
        </w:rPr>
        <w:t>- The 2023 Plan will be administered by the Compensation Committee, although the Board retains the right to appoint another of its</w:t>
      </w:r>
      <w:r>
        <w:rPr>
          <w:rFonts w:ascii="Arial" w:cs="Arial" w:eastAsia="Arial" w:hAnsi="Arial"/>
          <w:sz w:val="16"/>
          <w:szCs w:val="16"/>
          <w:b w:val="1"/>
          <w:bCs w:val="1"/>
          <w:color w:val="181818"/>
        </w:rPr>
        <w:t xml:space="preserve"> </w:t>
      </w:r>
      <w:r>
        <w:rPr>
          <w:rFonts w:ascii="Arial" w:cs="Arial" w:eastAsia="Arial" w:hAnsi="Arial"/>
          <w:sz w:val="16"/>
          <w:szCs w:val="16"/>
          <w:color w:val="000000"/>
        </w:rPr>
        <w:t>committees to administer the 2023 Plan or to administer the 2023 Plan directly. For purposes of this summary, the term “Compensation Committee” will refer to either such duly appointed committee or the Board. Subject to the provisions of the 2023 Plan, the Compensation Committee determines in its discretion the persons to whom and the times at which awards are granted, the types and sizes of awards, and all of their terms and conditions. The Compensation Committee may, except as provided by the 2023 Plan, amend, cancel or renew any award, waive any restrictions or conditions applicable to any award, and accelerate, continue, extend or defer the vesting of any award. The 2023 Plan provides, subject to certain limitations, that we indemnify any director, officer or employee against all reasonable expenses, including attorneys’ fees, actually and necessarily incurred in connection with any legal action arising from such person’s action or failure to act in administering the 2023 Plan. All awards granted under the 2023 Plan will be evidenced by a written or digitally signed agreement between the Company and the participant specifying the terms and conditions of the award, consistent with the requirements of the 2023 Plan. The Compensation Committee will interpret the 2023 Plan and awards granted under it, and all determinations of the Compensation Committee generally will be final and binding on all persons having an interest in the 2023 Plan or any award.</w:t>
      </w:r>
    </w:p>
    <w:p>
      <w:pPr>
        <w:spacing w:after="0" w:line="76" w:lineRule="exact"/>
        <w:rPr>
          <w:sz w:val="20"/>
          <w:szCs w:val="20"/>
          <w:color w:val="auto"/>
        </w:rPr>
      </w:pPr>
    </w:p>
    <w:p>
      <w:pPr>
        <w:jc w:val="both"/>
        <w:spacing w:after="0" w:line="305" w:lineRule="auto"/>
        <w:rPr>
          <w:sz w:val="20"/>
          <w:szCs w:val="20"/>
          <w:color w:val="auto"/>
        </w:rPr>
      </w:pPr>
      <w:r>
        <w:rPr>
          <w:rFonts w:ascii="Arial" w:cs="Arial" w:eastAsia="Arial" w:hAnsi="Arial"/>
          <w:sz w:val="16"/>
          <w:szCs w:val="16"/>
          <w:b w:val="1"/>
          <w:bCs w:val="1"/>
          <w:color w:val="181818"/>
        </w:rPr>
        <w:t xml:space="preserve">Prohibition of Option and SAR Repricing </w:t>
      </w:r>
      <w:r>
        <w:rPr>
          <w:rFonts w:ascii="Arial" w:cs="Arial" w:eastAsia="Arial" w:hAnsi="Arial"/>
          <w:sz w:val="16"/>
          <w:szCs w:val="16"/>
          <w:color w:val="000000"/>
        </w:rPr>
        <w:t>- The 2023 Plan expressly provides that, without the approval of a majority of the votes cast in person or by</w:t>
      </w:r>
      <w:r>
        <w:rPr>
          <w:rFonts w:ascii="Arial" w:cs="Arial" w:eastAsia="Arial" w:hAnsi="Arial"/>
          <w:sz w:val="16"/>
          <w:szCs w:val="16"/>
          <w:b w:val="1"/>
          <w:bCs w:val="1"/>
          <w:color w:val="181818"/>
        </w:rPr>
        <w:t xml:space="preserve"> </w:t>
      </w:r>
      <w:r>
        <w:rPr>
          <w:rFonts w:ascii="Arial" w:cs="Arial" w:eastAsia="Arial" w:hAnsi="Arial"/>
          <w:sz w:val="16"/>
          <w:szCs w:val="16"/>
          <w:color w:val="000000"/>
        </w:rPr>
        <w:t>proxy at a meeting of our stockholders, the Compensation Committee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 value awards in exchange for the cancellation of such outstanding options or stock appreciation rights, or (3) the cancellation of such outstanding options or stock appreciation rights in exchange for payments in cash.</w:t>
      </w:r>
    </w:p>
    <w:p>
      <w:pPr>
        <w:spacing w:after="0" w:line="69" w:lineRule="exact"/>
        <w:rPr>
          <w:sz w:val="20"/>
          <w:szCs w:val="20"/>
          <w:color w:val="auto"/>
        </w:rPr>
      </w:pPr>
    </w:p>
    <w:p>
      <w:pPr>
        <w:jc w:val="both"/>
        <w:spacing w:after="0" w:line="309" w:lineRule="auto"/>
        <w:rPr>
          <w:sz w:val="20"/>
          <w:szCs w:val="20"/>
          <w:color w:val="auto"/>
        </w:rPr>
      </w:pPr>
      <w:r>
        <w:rPr>
          <w:rFonts w:ascii="Arial" w:cs="Arial" w:eastAsia="Arial" w:hAnsi="Arial"/>
          <w:sz w:val="16"/>
          <w:szCs w:val="16"/>
          <w:b w:val="1"/>
          <w:bCs w:val="1"/>
          <w:color w:val="181818"/>
        </w:rPr>
        <w:t xml:space="preserve">Eligibility </w:t>
      </w:r>
      <w:r>
        <w:rPr>
          <w:rFonts w:ascii="Arial" w:cs="Arial" w:eastAsia="Arial" w:hAnsi="Arial"/>
          <w:sz w:val="16"/>
          <w:szCs w:val="16"/>
          <w:color w:val="000000"/>
        </w:rPr>
        <w:t>- Awards may be granted to employees, directors and consultants of the Company or any present or future parent or subsidiary corporation or</w:t>
      </w:r>
      <w:r>
        <w:rPr>
          <w:rFonts w:ascii="Arial" w:cs="Arial" w:eastAsia="Arial" w:hAnsi="Arial"/>
          <w:sz w:val="16"/>
          <w:szCs w:val="16"/>
          <w:b w:val="1"/>
          <w:bCs w:val="1"/>
          <w:color w:val="181818"/>
        </w:rPr>
        <w:t xml:space="preserve"> </w:t>
      </w:r>
      <w:r>
        <w:rPr>
          <w:rFonts w:ascii="Arial" w:cs="Arial" w:eastAsia="Arial" w:hAnsi="Arial"/>
          <w:sz w:val="16"/>
          <w:szCs w:val="16"/>
          <w:color w:val="000000"/>
        </w:rPr>
        <w:t>other affiliated entity. Incentive stock options may be granted to employees who, as of the time of grant, are employees or directors of the Company or any parent or subsidiary corporation. As of March 31, 2026, we had 64 employees (including six executive officers), approximately 24 consultants and five non-employee directors who would be eligible to receive awards under the 2023 Plan.</w:t>
      </w:r>
    </w:p>
    <w:p>
      <w:pPr>
        <w:spacing w:after="0" w:line="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181818"/>
        </w:rPr>
        <w:t xml:space="preserve">Stock Options </w:t>
      </w:r>
      <w:r>
        <w:rPr>
          <w:rFonts w:ascii="Arial" w:cs="Arial" w:eastAsia="Arial" w:hAnsi="Arial"/>
          <w:sz w:val="16"/>
          <w:szCs w:val="16"/>
          <w:color w:val="000000"/>
        </w:rPr>
        <w:t>- The Compensation Committee may grant non-statutory stock options, incentive stock options within the meaning of Section 422 of the IR</w:t>
      </w:r>
      <w:r>
        <w:rPr>
          <w:rFonts w:ascii="Arial" w:cs="Arial" w:eastAsia="Arial" w:hAnsi="Arial"/>
          <w:sz w:val="16"/>
          <w:szCs w:val="16"/>
          <w:b w:val="1"/>
          <w:bCs w:val="1"/>
          <w:color w:val="181818"/>
        </w:rPr>
        <w:t xml:space="preserve"> </w:t>
      </w:r>
      <w:r>
        <w:rPr>
          <w:rFonts w:ascii="Arial" w:cs="Arial" w:eastAsia="Arial" w:hAnsi="Arial"/>
          <w:sz w:val="16"/>
          <w:szCs w:val="16"/>
          <w:color w:val="000000"/>
        </w:rPr>
        <w:t>Code, or any combination of these. The exercise price of each option may not be less than 100% of the fair market value of a share of our common stock on the date of grant. However, any incentive stock option granted to a person who at the time of grant owns stock possessing more than 10% of the total combined voting power of all classes of stock of the Company or any parent or subsidiary corporation of the Company (a “10% Stockholder”) must have an exercise price equal to at least 110% of the fair market value of a share of common stock on the date of grant. The 2023 Plan provides that the option exercise price may be paid in cash, by check, or cash equivalent, or if permitted by the Compensation Committee, by means of a broker-assisted cashless exercise; via a net-exercise procedure; to the extent legally permitted, by tender to the Company of shares of common stock owned by the participant having a fair market value not less than the exercise price; by such other lawful consideration as approved by the Compensation Committee; or, if permitted by the Compensation Committee, by any combination of these. Nevertheless, the Compensation Committee may restrict the forms of payment permitted in connection with any option grant. Options will become vested and exercisable at such times or upon such events and subject to such terms, conditions, performance criteria or restrictions as specified by the Compensation Committee and set forth in the award agreement. The maximum term of any option granted under the 2023 Plan is ten years, provided that an incentive stock option granted to a 10% Stockholder must have a term not exceeding five years. Unless otherwise permitted by the Compensation Committee or as set forth in the applicable award agreement, an option generally will remain exercisable for ninety days following the participant’s termination of service, provided that if service terminates as a result of the participant’s death or disability, the option generally will remain exercisable for 18 months, but in any event, the option must be exercised no later than its expiration date, and provided further that an option will terminate immediately upon (1) a participant’s termination for cause (as defined by the 2023 Plan); or (2) if the participant engages in any act constituting cause after termination. Options are nontransferable by the participant other than by will or by the laws of descent and distribution and are exercisable during the participant’s lifetime only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376555</wp:posOffset>
            </wp:positionV>
            <wp:extent cx="71577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participant. However, an option may be assigned or transferred to the extent permitted by the Compensation Committee and set forth in the applicable award agreement. In the case of an incentive stock option, such assignment or transfer is only permitted to the extent that the transfer will not terminate its tax qualification.</w:t>
      </w:r>
    </w:p>
    <w:p>
      <w:pPr>
        <w:spacing w:after="0" w:line="4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color w:val="181818"/>
        </w:rPr>
        <w:t xml:space="preserve">Stock Appreciation Rights </w:t>
      </w:r>
      <w:r>
        <w:rPr>
          <w:rFonts w:ascii="Arial" w:cs="Arial" w:eastAsia="Arial" w:hAnsi="Arial"/>
          <w:sz w:val="16"/>
          <w:szCs w:val="16"/>
          <w:color w:val="000000"/>
        </w:rPr>
        <w:t>- The Compensation Committee may grant stock appreciation rights either in tandem with a related option (a “Tandem SAR”) or</w:t>
      </w:r>
      <w:r>
        <w:rPr>
          <w:rFonts w:ascii="Arial" w:cs="Arial" w:eastAsia="Arial" w:hAnsi="Arial"/>
          <w:sz w:val="16"/>
          <w:szCs w:val="16"/>
          <w:b w:val="1"/>
          <w:bCs w:val="1"/>
          <w:color w:val="181818"/>
        </w:rPr>
        <w:t xml:space="preserve"> </w:t>
      </w:r>
      <w:r>
        <w:rPr>
          <w:rFonts w:ascii="Arial" w:cs="Arial" w:eastAsia="Arial" w:hAnsi="Arial"/>
          <w:sz w:val="16"/>
          <w:szCs w:val="16"/>
          <w:color w:val="000000"/>
        </w:rPr>
        <w:t>independently of any option (a “Freestanding SAR”). A Tandem SAR requires the option holder to elect between the exercise of the underlying option for shares of common stock or the surrender of the option and the exercise of the related stock appreciation right. A Tandem SAR is exercisable only at the time and only to the extent that the related stock option is exercisable, while a Freestanding SAR is exercisable at such times or upon such events and subject to such terms, conditions, performance criteria or restrictions as specified by the Compensation Committee. The exercise price of each stock appreciation right may not be less than 100% of the fair market value of a share of our common stock on the date of grant. Upon the exercise of any stock appreciation right, the participant is entitled to receive an amount equal to the excess of the fair market value of the underlying shares of common stock as to which the right is exercised over the aggregate exercise price for such shares. Payment of this amount upon the exercise of a Tandem SAR may be made only in shares of common stock whose fair market value on the exercise date equals the payment amount. At the Compensation Committee’s discretion and as set forth in the applicable award agreement, payment of this amount upon the exercise of a Freestanding SAR may be made in cash or shares of common stock. The maximum term of any stock appreciation right granted under the 2023 Plan is ten years. Stock appreciation rights are generally nontransferable by the participant other than by will or by the laws of descent and distribution and are generally exercisable during the participant’s lifetime only by the participant. If permitted by the Compensation Committee, a Tandem SAR related to a non-statutory stock option and a Freestanding SAR may be assigned or transferred to certain family members or trusts for their benefit to the extent permitted by the Compensation Committee and set forth in the applicable award agreement. Other terms of stock appreciation rights are generally similar to the terms of comparable stock options.</w:t>
      </w:r>
    </w:p>
    <w:p>
      <w:pPr>
        <w:spacing w:after="0" w:line="6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color w:val="181818"/>
        </w:rPr>
        <w:t xml:space="preserve">Restricted Stock Awards </w:t>
      </w:r>
      <w:r>
        <w:rPr>
          <w:rFonts w:ascii="Arial" w:cs="Arial" w:eastAsia="Arial" w:hAnsi="Arial"/>
          <w:sz w:val="16"/>
          <w:szCs w:val="16"/>
          <w:color w:val="000000"/>
        </w:rPr>
        <w:t>- The Compensation Committee may grant restricted stock awards under the 2023 Plan either in the form of a restricted stock</w:t>
      </w:r>
      <w:r>
        <w:rPr>
          <w:rFonts w:ascii="Arial" w:cs="Arial" w:eastAsia="Arial" w:hAnsi="Arial"/>
          <w:sz w:val="16"/>
          <w:szCs w:val="16"/>
          <w:b w:val="1"/>
          <w:bCs w:val="1"/>
          <w:color w:val="181818"/>
        </w:rPr>
        <w:t xml:space="preserve"> </w:t>
      </w:r>
      <w:r>
        <w:rPr>
          <w:rFonts w:ascii="Arial" w:cs="Arial" w:eastAsia="Arial" w:hAnsi="Arial"/>
          <w:sz w:val="16"/>
          <w:szCs w:val="16"/>
          <w:color w:val="000000"/>
        </w:rPr>
        <w:t>purchase right, giving a participant an immediate right to purchase common stock, or in the form of a restricted stock bonus, in which stock is issued in consideration for services to us rendered by the participant. The Compensation Committee determines the purchase price payable under restricted stock purchase awards, which may be less than the current fair market value of our common stock. Restricted stock awards may be subject to vesting conditions based on such service or performance criteria as the Compensation Committee specifies, including the attainment of one or more performance goals similar to those described below in connection with performance awards. Shares acquired pursuant to a restricted stock award may not be transferred by the participant until vested. Unless otherwise provided by the Compensation Committee, (i) a participant will forfeit any shares of restricted stock acquired from a restricted stock bonus as to which the vesting restrictions have not lapsed prior to the participant’s termination of service and (ii) we will have the right to repurchase from the participant, for the purchase price paid by the participant, any restricted stock acquired by the participant pursuant to a restricted stock purchase right as to which the vesting restrictions have not lapsed prior to the participant’s termination of service. Unless otherwise determined by the Compensation Committee, participants holding restricted stock will have all of the rights of a Company stockholder, other than the right to receive dividends and other distributions, which shall only be payable upon vesting.</w:t>
      </w:r>
    </w:p>
    <w:p>
      <w:pPr>
        <w:spacing w:after="0" w:line="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181818"/>
        </w:rPr>
        <w:t xml:space="preserve">Restricted Stock Unit Awards </w:t>
      </w:r>
      <w:r>
        <w:rPr>
          <w:rFonts w:ascii="Arial" w:cs="Arial" w:eastAsia="Arial" w:hAnsi="Arial"/>
          <w:sz w:val="16"/>
          <w:szCs w:val="16"/>
          <w:color w:val="000000"/>
        </w:rPr>
        <w:t>- The Compensation Committee may grant RSUs under the 2023 Plan, which represent rights to receive shares of our</w:t>
      </w:r>
      <w:r>
        <w:rPr>
          <w:rFonts w:ascii="Arial" w:cs="Arial" w:eastAsia="Arial" w:hAnsi="Arial"/>
          <w:sz w:val="16"/>
          <w:szCs w:val="16"/>
          <w:b w:val="1"/>
          <w:bCs w:val="1"/>
          <w:color w:val="181818"/>
        </w:rPr>
        <w:t xml:space="preserve"> </w:t>
      </w:r>
      <w:r>
        <w:rPr>
          <w:rFonts w:ascii="Arial" w:cs="Arial" w:eastAsia="Arial" w:hAnsi="Arial"/>
          <w:sz w:val="16"/>
          <w:szCs w:val="16"/>
          <w:color w:val="000000"/>
        </w:rPr>
        <w:t>common stock at a future date determined in accordance with the participant’s award agreement. No monetary payment is required for receipt of RSUs or the shares issued in settlement of the award, the consideration for which is furnished in the form of the participant’s services to us. The Compensation Committee may grant RSU awards subject to vesting conditions based on such service or performance criteria as the Compensation Committee specifies and as set forth in the applicable award agreement. Unless otherwise provided by the Compensation Committee, a participant will forfeit any RSUs that have not vested prior to the participant’s termination of service. Participants have no voting rights or rights to receive cash dividends with respect to RSU awards until shares of common stock are issued in settlement of such awards. At the discretion of the Compensation Committee, RSUs may be settled in cash, common stock or a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375285</wp:posOffset>
            </wp:positionV>
            <wp:extent cx="71577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60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64" w:name="page65"/>
    <w:bookmarkEnd w:id="64"/>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603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0325"/>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7"/>
        <w:spacing w:after="0" w:line="298" w:lineRule="auto"/>
        <w:rPr>
          <w:sz w:val="20"/>
          <w:szCs w:val="20"/>
          <w:color w:val="auto"/>
        </w:rPr>
      </w:pPr>
      <w:r>
        <w:rPr>
          <w:rFonts w:ascii="Arial" w:cs="Arial" w:eastAsia="Arial" w:hAnsi="Arial"/>
          <w:sz w:val="16"/>
          <w:szCs w:val="16"/>
          <w:b w:val="1"/>
          <w:bCs w:val="1"/>
          <w:color w:val="181818"/>
        </w:rPr>
        <w:t xml:space="preserve">Performance Awards </w:t>
      </w:r>
      <w:r>
        <w:rPr>
          <w:rFonts w:ascii="Arial" w:cs="Arial" w:eastAsia="Arial" w:hAnsi="Arial"/>
          <w:sz w:val="16"/>
          <w:szCs w:val="16"/>
          <w:color w:val="000000"/>
        </w:rPr>
        <w:t>- The Compensation Committee may grant performance awards subject to such conditions and the attainment of such performance</w:t>
      </w:r>
      <w:r>
        <w:rPr>
          <w:rFonts w:ascii="Arial" w:cs="Arial" w:eastAsia="Arial" w:hAnsi="Arial"/>
          <w:sz w:val="16"/>
          <w:szCs w:val="16"/>
          <w:b w:val="1"/>
          <w:bCs w:val="1"/>
          <w:color w:val="181818"/>
        </w:rPr>
        <w:t xml:space="preserve"> </w:t>
      </w:r>
      <w:r>
        <w:rPr>
          <w:rFonts w:ascii="Arial" w:cs="Arial" w:eastAsia="Arial" w:hAnsi="Arial"/>
          <w:sz w:val="16"/>
          <w:szCs w:val="16"/>
          <w:color w:val="000000"/>
        </w:rPr>
        <w:t>goals over such periods as the Compensation Committee determines in writing and sets forth in a written agreement between the Company and the participant. These awards may be designated as performance shares or performance units. Each performance award agreement will specify a predetermined amount of performance shares or performance units that may be earned by the participant to the extent that one or more performance goals are attained within a predetermined performance period. To the extent earned, performance awards may be settled in cash, shares of common stock (including shares of restricted stock that are subject to additional vesting) or any combination of these. The Compensation Committee, in its discretion, may base performance goals on one or more of the following measures (or such other objective or subjective measure established by the Compensation Committee): revenue; sales; expenses; operating income; gross margin; operating margin; earnings before any one or more of: share-based compensation expense, interest, taxes, depreciation and amortization; pre-tax profit; net operating income; net income; economic value added; free cash flow; operating cash flow; balance of cash, cash equivalents and marketable securities; stock price; earnings per share; return on stockholder equity; return on capital; return on assets; return on investment; total stockholder return; employee satisfaction; employee retention; market share; customer satisfaction; product development; research and development expense; completion of an identified special project; completion of a joint venture or other corporate transaction; and new customer acquisition. The target levels with respect to objective performance measures may be expressed on an absolute basis or relative to an index, budget or other standard specified by the Compensation Committee. The degree of attainment of performance measures will be calculated prior to the accrual or payment of any performance award for the same performance period, in accordance with generally accepted accounting principles (GAAP), if applicable, or any other methodology established by the Compensation Committee prior to the grant of the performance award, excluding the effect (whether positive or negative) of changes in accounting standards or any extraordinary, unusual or nonrecurring item occurring after the establishment of the performance goals applicable to a performance award. Performance measures based upon subjective criteria shall be determined on the basis established by the Compensation Committee in granting the award. The Compensation Committee may provide for performance award payments in lump sums or installments. No performance award may be sold or transferred other than by will or the laws of descent and distribution prior to the end of the applicable performance period.</w:t>
      </w:r>
    </w:p>
    <w:p>
      <w:pPr>
        <w:spacing w:after="0" w:line="75" w:lineRule="exact"/>
        <w:rPr>
          <w:sz w:val="20"/>
          <w:szCs w:val="20"/>
          <w:color w:val="auto"/>
        </w:rPr>
      </w:pPr>
    </w:p>
    <w:p>
      <w:pPr>
        <w:jc w:val="both"/>
        <w:ind w:left="7"/>
        <w:spacing w:after="0" w:line="300" w:lineRule="auto"/>
        <w:rPr>
          <w:sz w:val="20"/>
          <w:szCs w:val="20"/>
          <w:color w:val="auto"/>
        </w:rPr>
      </w:pPr>
      <w:r>
        <w:rPr>
          <w:rFonts w:ascii="Arial" w:cs="Arial" w:eastAsia="Arial" w:hAnsi="Arial"/>
          <w:sz w:val="16"/>
          <w:szCs w:val="16"/>
          <w:b w:val="1"/>
          <w:bCs w:val="1"/>
          <w:color w:val="181818"/>
        </w:rPr>
        <w:t xml:space="preserve">Cash-Based Awards and Other Stock-Based Awards </w:t>
      </w:r>
      <w:r>
        <w:rPr>
          <w:rFonts w:ascii="Arial" w:cs="Arial" w:eastAsia="Arial" w:hAnsi="Arial"/>
          <w:sz w:val="16"/>
          <w:szCs w:val="16"/>
          <w:color w:val="000000"/>
        </w:rPr>
        <w:t>- The Compensation Committee may grant cash-based awards or other stock-based awards in such</w:t>
      </w:r>
      <w:r>
        <w:rPr>
          <w:rFonts w:ascii="Arial" w:cs="Arial" w:eastAsia="Arial" w:hAnsi="Arial"/>
          <w:sz w:val="16"/>
          <w:szCs w:val="16"/>
          <w:b w:val="1"/>
          <w:bCs w:val="1"/>
          <w:color w:val="181818"/>
        </w:rPr>
        <w:t xml:space="preserve"> </w:t>
      </w:r>
      <w:r>
        <w:rPr>
          <w:rFonts w:ascii="Arial" w:cs="Arial" w:eastAsia="Arial" w:hAnsi="Arial"/>
          <w:sz w:val="16"/>
          <w:szCs w:val="16"/>
          <w:color w:val="000000"/>
        </w:rPr>
        <w:t>amounts and subject to such terms and conditions, including the achievement of performance criteria, as the Compensation Committee determines. Cash-based awards will specify a monetary payment or range of payments, while other stock-based awards will specify a number of shares or units based on shares or other equity-related awards. Such awards may be subject to vesting conditions based on continued performance of service or subject to the attainment of one or more performance goals similar to those described above in connection with performance awards. Settlement of awards may be in cash, other property or shares of common stock, as determined by the Compensation Committee. A participant will have no voting rights with respect to any such award unless and until shares are issued pursuant to the award. The Compensation Committee may grant dividend equivalent rights with respect to other stock-based awards. Dividend equivalents may accrue on stock-based awards but shall not be payable unless and until the applicable award vests. Dividend equivalents are not payable with respect to options or stock appreciation rights. The effect on such awards of the participant’s termination of service will be determined by the Compensation Committee and set forth in the participant’s award agreement.</w:t>
      </w:r>
    </w:p>
    <w:p>
      <w:pPr>
        <w:spacing w:after="0" w:line="76" w:lineRule="exact"/>
        <w:rPr>
          <w:sz w:val="20"/>
          <w:szCs w:val="20"/>
          <w:color w:val="auto"/>
        </w:rPr>
      </w:pPr>
    </w:p>
    <w:p>
      <w:pPr>
        <w:jc w:val="both"/>
        <w:ind w:left="7"/>
        <w:spacing w:after="0" w:line="295" w:lineRule="auto"/>
        <w:rPr>
          <w:sz w:val="20"/>
          <w:szCs w:val="20"/>
          <w:color w:val="auto"/>
        </w:rPr>
      </w:pPr>
      <w:r>
        <w:rPr>
          <w:rFonts w:ascii="Arial" w:cs="Arial" w:eastAsia="Arial" w:hAnsi="Arial"/>
          <w:sz w:val="16"/>
          <w:szCs w:val="16"/>
          <w:b w:val="1"/>
          <w:bCs w:val="1"/>
          <w:color w:val="181818"/>
        </w:rPr>
        <w:t xml:space="preserve">Change in Control </w:t>
      </w:r>
      <w:r>
        <w:rPr>
          <w:rFonts w:ascii="Arial" w:cs="Arial" w:eastAsia="Arial" w:hAnsi="Arial"/>
          <w:sz w:val="16"/>
          <w:szCs w:val="16"/>
          <w:color w:val="000000"/>
        </w:rPr>
        <w:t>- Unless otherwise defined in a participant’s award or other agreement with the Company, the 2023 Plan provides that a “Change in</w:t>
      </w:r>
      <w:r>
        <w:rPr>
          <w:rFonts w:ascii="Arial" w:cs="Arial" w:eastAsia="Arial" w:hAnsi="Arial"/>
          <w:sz w:val="16"/>
          <w:szCs w:val="16"/>
          <w:b w:val="1"/>
          <w:bCs w:val="1"/>
          <w:color w:val="181818"/>
        </w:rPr>
        <w:t xml:space="preserve"> </w:t>
      </w:r>
      <w:r>
        <w:rPr>
          <w:rFonts w:ascii="Arial" w:cs="Arial" w:eastAsia="Arial" w:hAnsi="Arial"/>
          <w:sz w:val="16"/>
          <w:szCs w:val="16"/>
          <w:color w:val="000000"/>
        </w:rPr>
        <w:t>Control” generally occurs upon (a) a person or entity (with certain exceptions described in the 2023 Plan) becoming the direct or indirect beneficial owner of more than 50% by voting power or fair market value of the Company’s voting stock; (b) stockholder approval of a liquidation or dissolution of the Company; or</w:t>
      </w:r>
    </w:p>
    <w:p>
      <w:pPr>
        <w:spacing w:after="0" w:line="1" w:lineRule="exact"/>
        <w:rPr>
          <w:sz w:val="20"/>
          <w:szCs w:val="20"/>
          <w:color w:val="auto"/>
        </w:rPr>
      </w:pPr>
    </w:p>
    <w:p>
      <w:pPr>
        <w:jc w:val="both"/>
        <w:ind w:left="7" w:hanging="7"/>
        <w:spacing w:after="0" w:line="305" w:lineRule="auto"/>
        <w:tabs>
          <w:tab w:leader="none" w:pos="2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occurrence of any of the following events upon which the stockholders of the Company immediately before the event do not retain immediately after the event direct or indirect beneficial ownership of more than 50% of the combined voting power of the voting securities of the Company, its successor or the entity to which the assets of the Company were transferred: (i) a sale or exchange by the stockholders in a single transaction or series of related transactions of more than 50% of the combined voting power of the Company’s voting stock; (ii) a merger or consolidation in which the Company is a party; or (iii) the sale,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71577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or transfer of all or substantially all of the assets of the Company (other than a sale, exchange or transfer to one or more subsidiaries of the Company). In the event of a Change in Control, outstanding awards will be subject to the definitive agreement entered into by the Company in connection with the Change in Control. The 2023 Plan does not provide for any automatic single-trigger acceleration upon a Change in Control. Instead, if a Change in Control occurs, the surviving, continuing, successor or purchasing entity or its parent may, without the consent of any participant, either assume or continue outstanding awards or substitute substantially equivalent awards for its stock. If so determined by the Compensation Committee, stock-based awards will be deemed assumed if, for each share subject to the award prior to the Change in Control, its holder is given the right to receive the same amount of consideration that a stockholder would receive as a result of the Change in Control. Any awards that are not assumed or continued in connection with a Change in Control nor exercised or settled as of the Change in Control will terminate and cease to be outstanding effective as of the time of consummation of the Change in Control. The Compensation Committee may alternatively provide in the grant of any award or at any other time may take such action as it deems appropriate to provide for acceleration of the exercisability, vesting and/or settlement of each or any outstanding award or portion thereof and shares acquired pursuant thereto upon the termination of a participant’s service in connection with a Change in Control. The Compensation Committee may, in its discretion and without the consent of any participant, determine that, upon the occurrence of a Change in Control, any award denominated in shares outstanding immediately prior to the Change in Control and not previously exercised or settled will be canceled in exchange for a payment for each vested share (i) cash, (ii) stock of the Company or of a corporation or other business entity that is party to the Change in Control or (iii) other property which, in each case, will be equal to the fair market value of such share. The fair market value of the share will be equal to the fair market value of the consideration to be paid per share in the Change in Control, reduced by the exercise or purchase price of the share under the applicable award.</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color w:val="181818"/>
        </w:rPr>
        <w:t xml:space="preserve">Awards Subject to Section 409A of the Internal Revenue Code </w:t>
      </w:r>
      <w:r>
        <w:rPr>
          <w:rFonts w:ascii="Arial" w:cs="Arial" w:eastAsia="Arial" w:hAnsi="Arial"/>
          <w:sz w:val="16"/>
          <w:szCs w:val="16"/>
          <w:color w:val="000000"/>
        </w:rPr>
        <w:t>- Certain awards granted under the 2023 Plan may be deemed to constitute “deferred</w:t>
      </w:r>
      <w:r>
        <w:rPr>
          <w:rFonts w:ascii="Arial" w:cs="Arial" w:eastAsia="Arial" w:hAnsi="Arial"/>
          <w:sz w:val="16"/>
          <w:szCs w:val="16"/>
          <w:b w:val="1"/>
          <w:bCs w:val="1"/>
          <w:color w:val="181818"/>
        </w:rPr>
        <w:t xml:space="preserve"> </w:t>
      </w:r>
      <w:r>
        <w:rPr>
          <w:rFonts w:ascii="Arial" w:cs="Arial" w:eastAsia="Arial" w:hAnsi="Arial"/>
          <w:sz w:val="16"/>
          <w:szCs w:val="16"/>
          <w:color w:val="000000"/>
        </w:rPr>
        <w:t>compensation” within the meaning of Section 409A of the IR Code, providing rules regarding the taxation of nonqualified deferred compensation plans, and the regulations and other administrative guidance issued pursuant to Section 409A. Any such awards will be required to comply with the requirements of Section 409A. Notwithstanding any provision of the 2023 Plan to the contrary, the Compensation Committee is authorized, in its sole discretion and without the consent of any participant, to amend the 2023 Plan or any award agreement as it deems necessary or advisable to comply with Section 409A.</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181818"/>
        </w:rPr>
        <w:t xml:space="preserve">Amendment, Suspension or Termination </w:t>
      </w:r>
      <w:r>
        <w:rPr>
          <w:rFonts w:ascii="Arial" w:cs="Arial" w:eastAsia="Arial" w:hAnsi="Arial"/>
          <w:sz w:val="16"/>
          <w:szCs w:val="16"/>
          <w:color w:val="000000"/>
        </w:rPr>
        <w:t>- The 2023 Plan will continue in effect until its termination by the Compensation Committee, provided that no</w:t>
      </w:r>
      <w:r>
        <w:rPr>
          <w:rFonts w:ascii="Arial" w:cs="Arial" w:eastAsia="Arial" w:hAnsi="Arial"/>
          <w:sz w:val="16"/>
          <w:szCs w:val="16"/>
          <w:b w:val="1"/>
          <w:bCs w:val="1"/>
          <w:color w:val="181818"/>
        </w:rPr>
        <w:t xml:space="preserve"> </w:t>
      </w:r>
      <w:r>
        <w:rPr>
          <w:rFonts w:ascii="Arial" w:cs="Arial" w:eastAsia="Arial" w:hAnsi="Arial"/>
          <w:sz w:val="16"/>
          <w:szCs w:val="16"/>
          <w:color w:val="000000"/>
        </w:rPr>
        <w:t>awards may be granted under the 2023 Plan following the tenth anniversary of the 2023 Plan’s effective date, which will be the date on which it is approved by the stockholders. The Compensation Committee may amend, suspend or terminate the 2023 Plan at any time, provided that no amendment may be made without stockholder approval that would increase the maximum aggregate number of shares of stock authorized for issuance under the 2023 Plan, change the class of persons eligible to receive incentive stock options or require stockholder approval under any applicable law or the requirements of any stock exchange or quotation system on which our shares are listed or quoted. No amendment, suspension or termination of the 2023 Plan may affect any outstanding award unless expressly provided by the Compensation Committee, and, in any event, may not have a materially adverse effect on an outstanding award without the consent of the participant unless necessary to comply with any applicable law, regulation or rule, including, but not limited to, Section 409A of the IR Code.</w:t>
      </w:r>
    </w:p>
    <w:p>
      <w:pPr>
        <w:spacing w:after="0" w:line="30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color w:val="181818"/>
        </w:rPr>
        <w:t xml:space="preserve">Withholding </w:t>
      </w:r>
      <w:r>
        <w:rPr>
          <w:rFonts w:ascii="Arial" w:cs="Arial" w:eastAsia="Arial" w:hAnsi="Arial"/>
          <w:sz w:val="16"/>
          <w:szCs w:val="16"/>
          <w:color w:val="000000"/>
        </w:rPr>
        <w:t>- As a condition to the issuance or delivery of stock or payment of other compensation pursuant to the exercise or lapse of restrictions on any</w:t>
      </w:r>
      <w:r>
        <w:rPr>
          <w:rFonts w:ascii="Arial" w:cs="Arial" w:eastAsia="Arial" w:hAnsi="Arial"/>
          <w:sz w:val="16"/>
          <w:szCs w:val="16"/>
          <w:b w:val="1"/>
          <w:bCs w:val="1"/>
          <w:color w:val="181818"/>
        </w:rPr>
        <w:t xml:space="preserve"> </w:t>
      </w:r>
      <w:r>
        <w:rPr>
          <w:rFonts w:ascii="Arial" w:cs="Arial" w:eastAsia="Arial" w:hAnsi="Arial"/>
          <w:sz w:val="16"/>
          <w:szCs w:val="16"/>
          <w:color w:val="000000"/>
        </w:rPr>
        <w:t>award, we require participants to discharge all applicable withholding tax obligations. Shares held by or to be issued to a participant may be used to discharge statutory tax withholding obligations at up to the applicable maximum statutory tax withholding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355600</wp:posOffset>
            </wp:positionV>
            <wp:extent cx="71577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62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66" w:name="page67"/>
    <w:bookmarkEnd w:id="66"/>
    <w:p>
      <w:pPr>
        <w:ind w:left="10540"/>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603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0325"/>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Summary of U.S. Federal Income Tax Consequences</w:t>
      </w:r>
    </w:p>
    <w:p>
      <w:pPr>
        <w:spacing w:after="0" w:line="102"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The following summary is intended only as a general guide to the U.S. federal income tax consequences of participation in the 2023 Plan and does not attempt to describe all possible federal or other tax consequences of such participation or tax consequences based on particular circumstances. </w:t>
      </w:r>
    </w:p>
    <w:p>
      <w:pPr>
        <w:spacing w:after="0" w:line="3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color w:val="181818"/>
        </w:rPr>
        <w:t xml:space="preserve">Incentive Stock Options </w:t>
      </w:r>
      <w:r>
        <w:rPr>
          <w:rFonts w:ascii="Arial" w:cs="Arial" w:eastAsia="Arial" w:hAnsi="Arial"/>
          <w:sz w:val="16"/>
          <w:szCs w:val="16"/>
          <w:color w:val="000000"/>
        </w:rPr>
        <w:t>- A participant recognizes no taxable income for regular income tax purposes as a result of the grant or exercise of an incentive</w:t>
      </w:r>
      <w:r>
        <w:rPr>
          <w:rFonts w:ascii="Arial" w:cs="Arial" w:eastAsia="Arial" w:hAnsi="Arial"/>
          <w:sz w:val="16"/>
          <w:szCs w:val="16"/>
          <w:b w:val="1"/>
          <w:bCs w:val="1"/>
          <w:color w:val="181818"/>
        </w:rPr>
        <w:t xml:space="preserve"> </w:t>
      </w:r>
      <w:r>
        <w:rPr>
          <w:rFonts w:ascii="Arial" w:cs="Arial" w:eastAsia="Arial" w:hAnsi="Arial"/>
          <w:sz w:val="16"/>
          <w:szCs w:val="16"/>
          <w:color w:val="000000"/>
        </w:rPr>
        <w:t>stock option qualifying under Section 422 of the IR Code. Participants who neither dispose of their shares within two years following the date the option was granted nor within one year following the exercise of the option will normally recognize a capital gain or loss upon the sale of the shares equal to the difference, if any, between the sale price and the purchase price of the shares. If a participant satisfies such holding periods upon a sale of the shares, we will not be entitled to any deduction for federal income tax purposes. If a participant disposes of shares within two years after the date of grant or within one year after the date of exercise (a “disqualifying disposition”), the difference between the fair market value of the shares on the option exercise date and the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IR Code. In general, the difference between the option exercise price and the fair market value of the shares on the date of exercise of an incentive stock option is treated as an adjustment in computing the participant’s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participants subject to the alternative minimum tax.</w:t>
      </w:r>
    </w:p>
    <w:p>
      <w:pPr>
        <w:spacing w:after="0" w:line="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181818"/>
        </w:rPr>
        <w:t xml:space="preserve">Non-statutory Stock Options </w:t>
      </w:r>
      <w:r>
        <w:rPr>
          <w:rFonts w:ascii="Arial" w:cs="Arial" w:eastAsia="Arial" w:hAnsi="Arial"/>
          <w:sz w:val="16"/>
          <w:szCs w:val="16"/>
          <w:color w:val="000000"/>
        </w:rPr>
        <w:t>- Options not designated or qualifying as incentive stock options are non-statutory stock options having no special tax status.</w:t>
      </w:r>
      <w:r>
        <w:rPr>
          <w:rFonts w:ascii="Arial" w:cs="Arial" w:eastAsia="Arial" w:hAnsi="Arial"/>
          <w:sz w:val="16"/>
          <w:szCs w:val="16"/>
          <w:b w:val="1"/>
          <w:bCs w:val="1"/>
          <w:color w:val="181818"/>
        </w:rPr>
        <w:t xml:space="preserve"> </w:t>
      </w:r>
      <w:r>
        <w:rPr>
          <w:rFonts w:ascii="Arial" w:cs="Arial" w:eastAsia="Arial" w:hAnsi="Arial"/>
          <w:sz w:val="16"/>
          <w:szCs w:val="16"/>
          <w:color w:val="000000"/>
        </w:rPr>
        <w:t>A participant generally recognizes no taxable income upon receipt of such an option. Upon exercising a non-statutory stock option, the participant normally recognizes ordinary income equal to the difference between the exercise price paid and the fair market value of the shares on the date when the option is exercised. If the participant is an employee, such ordinary income generally is subject to withholding of income and employment taxes. Upon the sale of stock acquired by the exercise of a non-statutory stock option, any gain or loss, based on the difference between the sale price and the fair market value of the shares on the exercise date, will be taxed as capital gain or loss. We generally should be entitled to a tax deduction equal to the amount of ordinary income recognized by the participant as a result of the exercise of a non-statutory stock option, except to the extent such deduction is limited by applicable provisions of the IR Code.</w:t>
      </w:r>
    </w:p>
    <w:p>
      <w:pPr>
        <w:spacing w:after="0" w:line="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color w:val="181818"/>
        </w:rPr>
        <w:t xml:space="preserve">Stock Appreciation Rights </w:t>
      </w:r>
      <w:r>
        <w:rPr>
          <w:rFonts w:ascii="Arial" w:cs="Arial" w:eastAsia="Arial" w:hAnsi="Arial"/>
          <w:sz w:val="16"/>
          <w:szCs w:val="16"/>
          <w:color w:val="000000"/>
        </w:rPr>
        <w:t>- A Participant recognizes no taxable income upon the receipt of a stock appreciation right. Upon the exercise of a stock</w:t>
      </w:r>
      <w:r>
        <w:rPr>
          <w:rFonts w:ascii="Arial" w:cs="Arial" w:eastAsia="Arial" w:hAnsi="Arial"/>
          <w:sz w:val="16"/>
          <w:szCs w:val="16"/>
          <w:b w:val="1"/>
          <w:bCs w:val="1"/>
          <w:color w:val="181818"/>
        </w:rPr>
        <w:t xml:space="preserve"> </w:t>
      </w:r>
      <w:r>
        <w:rPr>
          <w:rFonts w:ascii="Arial" w:cs="Arial" w:eastAsia="Arial" w:hAnsi="Arial"/>
          <w:sz w:val="16"/>
          <w:szCs w:val="16"/>
          <w:color w:val="000000"/>
        </w:rPr>
        <w:t>appreciation right, the participant generally will recognize ordinary income in an amount equal to the excess of the fair market value of the underlying shares of common stock on the exercise date over the exercise price. If the participant is an employee, such ordinary income generally is subject to withholding of income and employment taxes. We generally should be entitled to a deduction equal to the amount of ordinary income recognized by the participant in connection with the exercise of the stock appreciation right, except to the extent such deduction is limited by applicable provisions of the IR Code.</w:t>
      </w:r>
    </w:p>
    <w:p>
      <w:pPr>
        <w:spacing w:after="0" w:line="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181818"/>
        </w:rPr>
        <w:t xml:space="preserve">Restricted Stock </w:t>
      </w:r>
      <w:r>
        <w:rPr>
          <w:rFonts w:ascii="Arial" w:cs="Arial" w:eastAsia="Arial" w:hAnsi="Arial"/>
          <w:sz w:val="16"/>
          <w:szCs w:val="16"/>
          <w:color w:val="000000"/>
        </w:rPr>
        <w:t>- A participant acquiring restricted stock will generally recognize ordinary income equal to the excess of the fair market value of the shares</w:t>
      </w:r>
      <w:r>
        <w:rPr>
          <w:rFonts w:ascii="Arial" w:cs="Arial" w:eastAsia="Arial" w:hAnsi="Arial"/>
          <w:sz w:val="16"/>
          <w:szCs w:val="16"/>
          <w:b w:val="1"/>
          <w:bCs w:val="1"/>
          <w:color w:val="181818"/>
        </w:rPr>
        <w:t xml:space="preserve"> </w:t>
      </w:r>
      <w:r>
        <w:rPr>
          <w:rFonts w:ascii="Arial" w:cs="Arial" w:eastAsia="Arial" w:hAnsi="Arial"/>
          <w:sz w:val="16"/>
          <w:szCs w:val="16"/>
          <w:color w:val="000000"/>
        </w:rPr>
        <w:t>on the “determination date” over the price paid, if any, for such shares.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(e.g., when they become vested). If the determination date follows the date on which the participant acquires the shares, the participant may elect, pursuant to Section 83(b) of the IR Code, to designate the date of acquisition as the determination date by filing an election with the Internal Revenue Service no later than 30 days after the date on which the shares are acquired. If the participant is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365760</wp:posOffset>
            </wp:positionV>
            <wp:extent cx="71577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67" w:name="page68"/>
    <w:bookmarkEnd w:id="67"/>
    <w:p>
      <w:pPr>
        <w:ind w:left="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7"/>
        <w:spacing w:after="0" w:line="308" w:lineRule="auto"/>
        <w:rPr>
          <w:sz w:val="20"/>
          <w:szCs w:val="20"/>
          <w:color w:val="auto"/>
        </w:rPr>
      </w:pPr>
      <w:r>
        <w:rPr>
          <w:rFonts w:ascii="Arial" w:cs="Arial" w:eastAsia="Arial" w:hAnsi="Arial"/>
          <w:sz w:val="16"/>
          <w:szCs w:val="16"/>
          <w:color w:val="auto"/>
        </w:rPr>
        <w:t>employee, such ordinary income generally is subject to withholding of income and employment taxes. Upon the sale of shares acquired pursuant to a restricted stock award, any gain or loss, based on the difference between the sale price and the fair market value of the shares on the determination date, will be taxed as capital gain or loss. We generally should be entitled to a deduction equal to the amount of ordinary income recognized by the participant on the determination date, except to the extent such deduction is limited by applicable provisions of the IR Code.</w:t>
      </w:r>
    </w:p>
    <w:p>
      <w:pPr>
        <w:spacing w:after="0" w:line="66" w:lineRule="exact"/>
        <w:rPr>
          <w:sz w:val="20"/>
          <w:szCs w:val="20"/>
          <w:color w:val="auto"/>
        </w:rPr>
      </w:pPr>
    </w:p>
    <w:p>
      <w:pPr>
        <w:jc w:val="both"/>
        <w:ind w:left="7"/>
        <w:spacing w:after="0" w:line="305" w:lineRule="auto"/>
        <w:rPr>
          <w:sz w:val="20"/>
          <w:szCs w:val="20"/>
          <w:color w:val="auto"/>
        </w:rPr>
      </w:pPr>
      <w:r>
        <w:rPr>
          <w:rFonts w:ascii="Arial" w:cs="Arial" w:eastAsia="Arial" w:hAnsi="Arial"/>
          <w:sz w:val="16"/>
          <w:szCs w:val="16"/>
          <w:b w:val="1"/>
          <w:bCs w:val="1"/>
          <w:color w:val="181818"/>
        </w:rPr>
        <w:t xml:space="preserve">Restricted Stock Units, Performance, Cash-Based and Other Stock-Based Awards </w:t>
      </w:r>
      <w:r>
        <w:rPr>
          <w:rFonts w:ascii="Arial" w:cs="Arial" w:eastAsia="Arial" w:hAnsi="Arial"/>
          <w:sz w:val="16"/>
          <w:szCs w:val="16"/>
          <w:color w:val="000000"/>
        </w:rPr>
        <w:t>- A participant generally will recognize no income upon the grant of</w:t>
      </w:r>
      <w:r>
        <w:rPr>
          <w:rFonts w:ascii="Arial" w:cs="Arial" w:eastAsia="Arial" w:hAnsi="Arial"/>
          <w:sz w:val="16"/>
          <w:szCs w:val="16"/>
          <w:b w:val="1"/>
          <w:bCs w:val="1"/>
          <w:color w:val="181818"/>
        </w:rPr>
        <w:t xml:space="preserve"> </w:t>
      </w:r>
      <w:r>
        <w:rPr>
          <w:rFonts w:ascii="Arial" w:cs="Arial" w:eastAsia="Arial" w:hAnsi="Arial"/>
          <w:sz w:val="16"/>
          <w:szCs w:val="16"/>
          <w:color w:val="000000"/>
        </w:rPr>
        <w:t>an RSU, performance share, performance unit, cash-based or other stock-based award. Upon the settlement of such awards, participants normally will recognize ordinary income in the year of settlement in an amount equal to the cash received and the fair market value of the shares received. If the participant is an employee, such ordinary income generally is subject to withholding of income and employment taxes. Any further gain or loss will be taxed as capital gain or loss. We generally should be entitled to a deduction equal to the amount of ordinary income recognized by the participant on the determination date, except to the extent such deduction is limited by applicable provisions of the IR Code.</w:t>
      </w:r>
    </w:p>
    <w:p>
      <w:pPr>
        <w:spacing w:after="0" w:line="69" w:lineRule="exact"/>
        <w:rPr>
          <w:sz w:val="20"/>
          <w:szCs w:val="20"/>
          <w:color w:val="auto"/>
        </w:rPr>
      </w:pPr>
    </w:p>
    <w:p>
      <w:pPr>
        <w:jc w:val="both"/>
        <w:ind w:left="7"/>
        <w:spacing w:after="0" w:line="306" w:lineRule="auto"/>
        <w:rPr>
          <w:sz w:val="20"/>
          <w:szCs w:val="20"/>
          <w:color w:val="auto"/>
        </w:rPr>
      </w:pPr>
      <w:r>
        <w:rPr>
          <w:rFonts w:ascii="Arial" w:cs="Arial" w:eastAsia="Arial" w:hAnsi="Arial"/>
          <w:sz w:val="16"/>
          <w:szCs w:val="16"/>
          <w:b w:val="1"/>
          <w:bCs w:val="1"/>
          <w:color w:val="181818"/>
        </w:rPr>
        <w:t xml:space="preserve">Limitation on Our Deductions </w:t>
      </w:r>
      <w:r>
        <w:rPr>
          <w:rFonts w:ascii="Arial" w:cs="Arial" w:eastAsia="Arial" w:hAnsi="Arial"/>
          <w:sz w:val="16"/>
          <w:szCs w:val="16"/>
          <w:color w:val="000000"/>
        </w:rPr>
        <w:t>- As a general rule, we will be entitled to a deduction in the same amount and at the same time as the compensation income</w:t>
      </w:r>
      <w:r>
        <w:rPr>
          <w:rFonts w:ascii="Arial" w:cs="Arial" w:eastAsia="Arial" w:hAnsi="Arial"/>
          <w:sz w:val="16"/>
          <w:szCs w:val="16"/>
          <w:b w:val="1"/>
          <w:bCs w:val="1"/>
          <w:color w:val="181818"/>
        </w:rPr>
        <w:t xml:space="preserve"> </w:t>
      </w:r>
      <w:r>
        <w:rPr>
          <w:rFonts w:ascii="Arial" w:cs="Arial" w:eastAsia="Arial" w:hAnsi="Arial"/>
          <w:sz w:val="16"/>
          <w:szCs w:val="16"/>
          <w:color w:val="000000"/>
        </w:rPr>
        <w:t>is received by a participant, except to the extent the deduction limits of Section 162(m) of the IR Code apply. Section 162(m) of the IR Code denies a deduction to any publicly held corporation for compensation paid to any “covered employee” in a taxable year to the extent that compensation to such covered employee exceeds $1,000,000. It is possible that compensation attributable to a covered employee, including awards under the Prior Plan, may cause this limitation to be exceeded in any particular year.</w:t>
      </w:r>
    </w:p>
    <w:p>
      <w:pPr>
        <w:spacing w:after="0" w:line="9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New Plan Benefits</w:t>
      </w:r>
    </w:p>
    <w:p>
      <w:pPr>
        <w:spacing w:after="0" w:line="148" w:lineRule="exact"/>
        <w:rPr>
          <w:sz w:val="20"/>
          <w:szCs w:val="20"/>
          <w:color w:val="auto"/>
        </w:rPr>
      </w:pPr>
    </w:p>
    <w:p>
      <w:pPr>
        <w:jc w:val="both"/>
        <w:ind w:left="7"/>
        <w:spacing w:after="0" w:line="306" w:lineRule="auto"/>
        <w:rPr>
          <w:sz w:val="20"/>
          <w:szCs w:val="20"/>
          <w:color w:val="auto"/>
        </w:rPr>
      </w:pPr>
      <w:r>
        <w:rPr>
          <w:rFonts w:ascii="Arial" w:cs="Arial" w:eastAsia="Arial" w:hAnsi="Arial"/>
          <w:sz w:val="16"/>
          <w:szCs w:val="16"/>
          <w:color w:val="auto"/>
        </w:rPr>
        <w:t>Under our director compensation program, on or shortly after the date of the 2026 Annual Meeting, we will grant each non-employee director continuing service with us an annual award of restricted stock determined by dividing $170,000, by the price of our common stock at the close of business on the Nasdaq Capital Market on the date of the 2026 Annual Meeting, rounded down to the nearest whole share of restricted stock (the "Director Grants"). Except for the Director Grants, the actual number of awards (if any) that an executive officer, employee, consultant or non-employee director of the Company or its parent or subsidiaries may receive under the 2023 Plan is at the discretion of the Compensation Committee and therefore cannot be determined in advance.</w:t>
      </w:r>
    </w:p>
    <w:p>
      <w:pPr>
        <w:spacing w:after="0" w:line="71"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The following table includes additional information regarding the equity awards currently contemplated under the 2023 Plan:</w:t>
      </w:r>
    </w:p>
    <w:p>
      <w:pPr>
        <w:spacing w:after="0" w:line="150" w:lineRule="exact"/>
        <w:rPr>
          <w:sz w:val="20"/>
          <w:szCs w:val="20"/>
          <w:color w:val="auto"/>
        </w:rPr>
      </w:pPr>
    </w:p>
    <w:tbl>
      <w:tblPr>
        <w:tblLayout w:type="fixed"/>
        <w:tblInd w:w="17" w:type="dxa"/>
        <w:tblCellMar>
          <w:top w:w="0" w:type="dxa"/>
          <w:left w:w="0" w:type="dxa"/>
          <w:bottom w:w="0" w:type="dxa"/>
          <w:right w:w="0" w:type="dxa"/>
        </w:tblCellMar>
      </w:tblPr>
      <w:tr>
        <w:trPr>
          <w:trHeight w:val="201"/>
        </w:trPr>
        <w:tc>
          <w:tcPr>
            <w:tcW w:w="5480" w:type="dxa"/>
            <w:vAlign w:val="bottom"/>
            <w:tcBorders>
              <w:top w:val="single" w:sz="8" w:color="181818"/>
              <w:left w:val="single" w:sz="8" w:color="181818"/>
            </w:tcBorders>
            <w:shd w:val="clear" w:color="auto" w:fill="1B6F80"/>
          </w:tcPr>
          <w:p>
            <w:pPr>
              <w:spacing w:after="0"/>
              <w:rPr>
                <w:sz w:val="17"/>
                <w:szCs w:val="17"/>
                <w:color w:val="auto"/>
              </w:rPr>
            </w:pPr>
          </w:p>
        </w:tc>
        <w:tc>
          <w:tcPr>
            <w:tcW w:w="2320" w:type="dxa"/>
            <w:vAlign w:val="bottom"/>
            <w:tcBorders>
              <w:top w:val="single" w:sz="8" w:color="181818"/>
            </w:tcBorders>
            <w:shd w:val="clear" w:color="auto" w:fill="1B6F80"/>
          </w:tcPr>
          <w:p>
            <w:pPr>
              <w:jc w:val="right"/>
              <w:ind w:right="388"/>
              <w:spacing w:after="0"/>
              <w:rPr>
                <w:sz w:val="20"/>
                <w:szCs w:val="20"/>
                <w:color w:val="auto"/>
              </w:rPr>
            </w:pPr>
            <w:r>
              <w:rPr>
                <w:rFonts w:ascii="Arial" w:cs="Arial" w:eastAsia="Arial" w:hAnsi="Arial"/>
                <w:sz w:val="14"/>
                <w:szCs w:val="14"/>
                <w:b w:val="1"/>
                <w:bCs w:val="1"/>
                <w:color w:val="FFFFFF"/>
              </w:rPr>
              <w:t>Dollar Value</w:t>
            </w:r>
          </w:p>
        </w:tc>
        <w:tc>
          <w:tcPr>
            <w:tcW w:w="1820" w:type="dxa"/>
            <w:vAlign w:val="bottom"/>
            <w:tcBorders>
              <w:top w:val="single" w:sz="8" w:color="181818"/>
            </w:tcBorders>
            <w:shd w:val="clear" w:color="auto" w:fill="1B6F80"/>
          </w:tcPr>
          <w:p>
            <w:pPr>
              <w:jc w:val="right"/>
              <w:ind w:right="308"/>
              <w:spacing w:after="0"/>
              <w:rPr>
                <w:sz w:val="20"/>
                <w:szCs w:val="20"/>
                <w:color w:val="auto"/>
              </w:rPr>
            </w:pPr>
            <w:r>
              <w:rPr>
                <w:rFonts w:ascii="Arial" w:cs="Arial" w:eastAsia="Arial" w:hAnsi="Arial"/>
                <w:sz w:val="14"/>
                <w:szCs w:val="14"/>
                <w:b w:val="1"/>
                <w:bCs w:val="1"/>
                <w:color w:val="FFFFFF"/>
              </w:rPr>
              <w:t>Stock Options</w:t>
            </w:r>
          </w:p>
        </w:tc>
        <w:tc>
          <w:tcPr>
            <w:tcW w:w="166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Restricted Stock</w:t>
            </w:r>
          </w:p>
        </w:tc>
      </w:tr>
      <w:tr>
        <w:trPr>
          <w:trHeight w:val="202"/>
        </w:trPr>
        <w:tc>
          <w:tcPr>
            <w:tcW w:w="5480" w:type="dxa"/>
            <w:vAlign w:val="bottom"/>
            <w:tcBorders>
              <w:left w:val="single" w:sz="8" w:color="181818"/>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Name and Position</w:t>
            </w:r>
          </w:p>
        </w:tc>
        <w:tc>
          <w:tcPr>
            <w:tcW w:w="2320" w:type="dxa"/>
            <w:vAlign w:val="bottom"/>
            <w:shd w:val="clear" w:color="auto" w:fill="1B6F80"/>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820" w:type="dxa"/>
            <w:vAlign w:val="bottom"/>
            <w:shd w:val="clear" w:color="auto" w:fill="1B6F80"/>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69"/>
        </w:trPr>
        <w:tc>
          <w:tcPr>
            <w:tcW w:w="5480" w:type="dxa"/>
            <w:vAlign w:val="bottom"/>
            <w:tcBorders>
              <w:left w:val="single" w:sz="8" w:color="181818"/>
            </w:tcBorders>
            <w:shd w:val="clear" w:color="auto" w:fill="1B6F80"/>
          </w:tcPr>
          <w:p>
            <w:pPr>
              <w:spacing w:after="0"/>
              <w:rPr>
                <w:sz w:val="6"/>
                <w:szCs w:val="6"/>
                <w:color w:val="auto"/>
              </w:rPr>
            </w:pPr>
          </w:p>
        </w:tc>
        <w:tc>
          <w:tcPr>
            <w:tcW w:w="2320" w:type="dxa"/>
            <w:vAlign w:val="bottom"/>
            <w:shd w:val="clear" w:color="auto" w:fill="1B6F80"/>
          </w:tcPr>
          <w:p>
            <w:pPr>
              <w:spacing w:after="0"/>
              <w:rPr>
                <w:sz w:val="6"/>
                <w:szCs w:val="6"/>
                <w:color w:val="auto"/>
              </w:rPr>
            </w:pPr>
          </w:p>
        </w:tc>
        <w:tc>
          <w:tcPr>
            <w:tcW w:w="1820" w:type="dxa"/>
            <w:vAlign w:val="bottom"/>
            <w:shd w:val="clear" w:color="auto" w:fill="1B6F80"/>
          </w:tcPr>
          <w:p>
            <w:pPr>
              <w:spacing w:after="0"/>
              <w:rPr>
                <w:sz w:val="6"/>
                <w:szCs w:val="6"/>
                <w:color w:val="auto"/>
              </w:rPr>
            </w:pPr>
          </w:p>
        </w:tc>
        <w:tc>
          <w:tcPr>
            <w:tcW w:w="1660" w:type="dxa"/>
            <w:vAlign w:val="bottom"/>
            <w:tcBorders>
              <w:right w:val="single" w:sz="8" w:color="181818"/>
            </w:tcBorders>
            <w:shd w:val="clear" w:color="auto" w:fill="1B6F80"/>
          </w:tcPr>
          <w:p>
            <w:pPr>
              <w:spacing w:after="0"/>
              <w:rPr>
                <w:sz w:val="6"/>
                <w:szCs w:val="6"/>
                <w:color w:val="auto"/>
              </w:rPr>
            </w:pPr>
          </w:p>
        </w:tc>
      </w:tr>
      <w:tr>
        <w:trPr>
          <w:trHeight w:val="262"/>
        </w:trPr>
        <w:tc>
          <w:tcPr>
            <w:tcW w:w="5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Scott A. Lang</w:t>
            </w:r>
          </w:p>
        </w:tc>
        <w:tc>
          <w:tcPr>
            <w:tcW w:w="23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75"/>
        </w:trPr>
        <w:tc>
          <w:tcPr>
            <w:tcW w:w="5480" w:type="dxa"/>
            <w:vAlign w:val="bottom"/>
            <w:tcBorders>
              <w:left w:val="single" w:sz="8" w:color="181818"/>
              <w:bottom w:val="single" w:sz="8" w:color="181818"/>
            </w:tcBorders>
          </w:tcPr>
          <w:p>
            <w:pPr>
              <w:spacing w:after="0"/>
              <w:rPr>
                <w:sz w:val="6"/>
                <w:szCs w:val="6"/>
                <w:color w:val="auto"/>
              </w:rPr>
            </w:pPr>
          </w:p>
        </w:tc>
        <w:tc>
          <w:tcPr>
            <w:tcW w:w="2320" w:type="dxa"/>
            <w:vAlign w:val="bottom"/>
            <w:tcBorders>
              <w:bottom w:val="single" w:sz="8" w:color="181818"/>
            </w:tcBorders>
          </w:tcPr>
          <w:p>
            <w:pPr>
              <w:spacing w:after="0"/>
              <w:rPr>
                <w:sz w:val="6"/>
                <w:szCs w:val="6"/>
                <w:color w:val="auto"/>
              </w:rPr>
            </w:pPr>
          </w:p>
        </w:tc>
        <w:tc>
          <w:tcPr>
            <w:tcW w:w="1820" w:type="dxa"/>
            <w:vAlign w:val="bottom"/>
            <w:tcBorders>
              <w:bottom w:val="single" w:sz="8" w:color="181818"/>
            </w:tcBorders>
          </w:tcPr>
          <w:p>
            <w:pPr>
              <w:spacing w:after="0"/>
              <w:rPr>
                <w:sz w:val="6"/>
                <w:szCs w:val="6"/>
                <w:color w:val="auto"/>
              </w:rPr>
            </w:pPr>
          </w:p>
        </w:tc>
        <w:tc>
          <w:tcPr>
            <w:tcW w:w="1660" w:type="dxa"/>
            <w:vAlign w:val="bottom"/>
            <w:tcBorders>
              <w:bottom w:val="single" w:sz="8" w:color="181818"/>
              <w:right w:val="single" w:sz="8" w:color="181818"/>
            </w:tcBorders>
          </w:tcPr>
          <w:p>
            <w:pPr>
              <w:spacing w:after="0"/>
              <w:rPr>
                <w:sz w:val="6"/>
                <w:szCs w:val="6"/>
                <w:color w:val="auto"/>
              </w:rPr>
            </w:pPr>
          </w:p>
        </w:tc>
      </w:tr>
      <w:tr>
        <w:trPr>
          <w:trHeight w:val="255"/>
        </w:trPr>
        <w:tc>
          <w:tcPr>
            <w:tcW w:w="5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Christopher Guttman-McCabe</w:t>
            </w:r>
          </w:p>
        </w:tc>
        <w:tc>
          <w:tcPr>
            <w:tcW w:w="23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76"/>
        </w:trPr>
        <w:tc>
          <w:tcPr>
            <w:tcW w:w="5480" w:type="dxa"/>
            <w:vAlign w:val="bottom"/>
            <w:tcBorders>
              <w:left w:val="single" w:sz="8" w:color="181818"/>
              <w:bottom w:val="single" w:sz="8" w:color="181818"/>
            </w:tcBorders>
          </w:tcPr>
          <w:p>
            <w:pPr>
              <w:spacing w:after="0"/>
              <w:rPr>
                <w:sz w:val="6"/>
                <w:szCs w:val="6"/>
                <w:color w:val="auto"/>
              </w:rPr>
            </w:pPr>
          </w:p>
        </w:tc>
        <w:tc>
          <w:tcPr>
            <w:tcW w:w="2320" w:type="dxa"/>
            <w:vAlign w:val="bottom"/>
            <w:tcBorders>
              <w:bottom w:val="single" w:sz="8" w:color="181818"/>
            </w:tcBorders>
          </w:tcPr>
          <w:p>
            <w:pPr>
              <w:spacing w:after="0"/>
              <w:rPr>
                <w:sz w:val="6"/>
                <w:szCs w:val="6"/>
                <w:color w:val="auto"/>
              </w:rPr>
            </w:pPr>
          </w:p>
        </w:tc>
        <w:tc>
          <w:tcPr>
            <w:tcW w:w="1820" w:type="dxa"/>
            <w:vAlign w:val="bottom"/>
            <w:tcBorders>
              <w:bottom w:val="single" w:sz="8" w:color="181818"/>
            </w:tcBorders>
          </w:tcPr>
          <w:p>
            <w:pPr>
              <w:spacing w:after="0"/>
              <w:rPr>
                <w:sz w:val="6"/>
                <w:szCs w:val="6"/>
                <w:color w:val="auto"/>
              </w:rPr>
            </w:pPr>
          </w:p>
        </w:tc>
        <w:tc>
          <w:tcPr>
            <w:tcW w:w="1660" w:type="dxa"/>
            <w:vAlign w:val="bottom"/>
            <w:tcBorders>
              <w:bottom w:val="single" w:sz="8" w:color="181818"/>
              <w:right w:val="single" w:sz="8" w:color="181818"/>
            </w:tcBorders>
          </w:tcPr>
          <w:p>
            <w:pPr>
              <w:spacing w:after="0"/>
              <w:rPr>
                <w:sz w:val="6"/>
                <w:szCs w:val="6"/>
                <w:color w:val="auto"/>
              </w:rPr>
            </w:pPr>
          </w:p>
        </w:tc>
      </w:tr>
      <w:tr>
        <w:trPr>
          <w:trHeight w:val="255"/>
        </w:trPr>
        <w:tc>
          <w:tcPr>
            <w:tcW w:w="54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Heather Martin</w:t>
            </w:r>
          </w:p>
        </w:tc>
        <w:tc>
          <w:tcPr>
            <w:tcW w:w="23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62"/>
        </w:trPr>
        <w:tc>
          <w:tcPr>
            <w:tcW w:w="5480" w:type="dxa"/>
            <w:vAlign w:val="bottom"/>
            <w:tcBorders>
              <w:left w:val="single" w:sz="8" w:color="181818"/>
              <w:bottom w:val="single" w:sz="8" w:color="181818"/>
            </w:tcBorders>
          </w:tcPr>
          <w:p>
            <w:pPr>
              <w:spacing w:after="0"/>
              <w:rPr>
                <w:sz w:val="5"/>
                <w:szCs w:val="5"/>
                <w:color w:val="auto"/>
              </w:rPr>
            </w:pPr>
          </w:p>
        </w:tc>
        <w:tc>
          <w:tcPr>
            <w:tcW w:w="2320" w:type="dxa"/>
            <w:vAlign w:val="bottom"/>
            <w:tcBorders>
              <w:bottom w:val="single" w:sz="8" w:color="181818"/>
            </w:tcBorders>
          </w:tcPr>
          <w:p>
            <w:pPr>
              <w:spacing w:after="0"/>
              <w:rPr>
                <w:sz w:val="5"/>
                <w:szCs w:val="5"/>
                <w:color w:val="auto"/>
              </w:rPr>
            </w:pPr>
          </w:p>
        </w:tc>
        <w:tc>
          <w:tcPr>
            <w:tcW w:w="1820" w:type="dxa"/>
            <w:vAlign w:val="bottom"/>
            <w:tcBorders>
              <w:bottom w:val="single" w:sz="8" w:color="181818"/>
            </w:tcBorders>
          </w:tcPr>
          <w:p>
            <w:pPr>
              <w:spacing w:after="0"/>
              <w:rPr>
                <w:sz w:val="5"/>
                <w:szCs w:val="5"/>
                <w:color w:val="auto"/>
              </w:rPr>
            </w:pPr>
          </w:p>
        </w:tc>
        <w:tc>
          <w:tcPr>
            <w:tcW w:w="1660" w:type="dxa"/>
            <w:vAlign w:val="bottom"/>
            <w:tcBorders>
              <w:bottom w:val="single" w:sz="8" w:color="181818"/>
              <w:right w:val="single" w:sz="8" w:color="181818"/>
            </w:tcBorders>
          </w:tcPr>
          <w:p>
            <w:pPr>
              <w:spacing w:after="0"/>
              <w:rPr>
                <w:sz w:val="5"/>
                <w:szCs w:val="5"/>
                <w:color w:val="auto"/>
              </w:rPr>
            </w:pPr>
          </w:p>
        </w:tc>
      </w:tr>
      <w:tr>
        <w:trPr>
          <w:trHeight w:val="261"/>
        </w:trPr>
        <w:tc>
          <w:tcPr>
            <w:tcW w:w="54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auto"/>
              </w:rPr>
              <w:t>Current Executive Officers (as a group)</w:t>
            </w:r>
          </w:p>
        </w:tc>
        <w:tc>
          <w:tcPr>
            <w:tcW w:w="23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70"/>
        </w:trPr>
        <w:tc>
          <w:tcPr>
            <w:tcW w:w="5480" w:type="dxa"/>
            <w:vAlign w:val="bottom"/>
            <w:tcBorders>
              <w:left w:val="single" w:sz="8" w:color="181818"/>
              <w:bottom w:val="single" w:sz="8" w:color="181818"/>
            </w:tcBorders>
          </w:tcPr>
          <w:p>
            <w:pPr>
              <w:spacing w:after="0"/>
              <w:rPr>
                <w:sz w:val="6"/>
                <w:szCs w:val="6"/>
                <w:color w:val="auto"/>
              </w:rPr>
            </w:pPr>
          </w:p>
        </w:tc>
        <w:tc>
          <w:tcPr>
            <w:tcW w:w="2320" w:type="dxa"/>
            <w:vAlign w:val="bottom"/>
            <w:tcBorders>
              <w:bottom w:val="single" w:sz="8" w:color="181818"/>
            </w:tcBorders>
          </w:tcPr>
          <w:p>
            <w:pPr>
              <w:spacing w:after="0"/>
              <w:rPr>
                <w:sz w:val="6"/>
                <w:szCs w:val="6"/>
                <w:color w:val="auto"/>
              </w:rPr>
            </w:pPr>
          </w:p>
        </w:tc>
        <w:tc>
          <w:tcPr>
            <w:tcW w:w="1820" w:type="dxa"/>
            <w:vAlign w:val="bottom"/>
            <w:tcBorders>
              <w:bottom w:val="single" w:sz="8" w:color="181818"/>
            </w:tcBorders>
          </w:tcPr>
          <w:p>
            <w:pPr>
              <w:spacing w:after="0"/>
              <w:rPr>
                <w:sz w:val="6"/>
                <w:szCs w:val="6"/>
                <w:color w:val="auto"/>
              </w:rPr>
            </w:pPr>
          </w:p>
        </w:tc>
        <w:tc>
          <w:tcPr>
            <w:tcW w:w="1660" w:type="dxa"/>
            <w:vAlign w:val="bottom"/>
            <w:tcBorders>
              <w:bottom w:val="single" w:sz="8" w:color="181818"/>
              <w:right w:val="single" w:sz="8" w:color="181818"/>
            </w:tcBorders>
          </w:tcPr>
          <w:p>
            <w:pPr>
              <w:spacing w:after="0"/>
              <w:rPr>
                <w:sz w:val="6"/>
                <w:szCs w:val="6"/>
                <w:color w:val="auto"/>
              </w:rPr>
            </w:pPr>
          </w:p>
        </w:tc>
      </w:tr>
      <w:tr>
        <w:trPr>
          <w:trHeight w:val="325"/>
        </w:trPr>
        <w:tc>
          <w:tcPr>
            <w:tcW w:w="548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b w:val="1"/>
                <w:bCs w:val="1"/>
                <w:color w:val="auto"/>
              </w:rPr>
              <w:t>Current Non-Executive Directors (as a group)</w:t>
            </w:r>
          </w:p>
        </w:tc>
        <w:tc>
          <w:tcPr>
            <w:tcW w:w="2320" w:type="dxa"/>
            <w:vAlign w:val="bottom"/>
            <w:tcBorders>
              <w:bottom w:val="single" w:sz="8" w:color="181818"/>
            </w:tcBorders>
          </w:tcPr>
          <w:p>
            <w:pPr>
              <w:jc w:val="right"/>
              <w:ind w:right="388"/>
              <w:spacing w:after="0"/>
              <w:rPr>
                <w:sz w:val="20"/>
                <w:szCs w:val="20"/>
                <w:color w:val="auto"/>
              </w:rPr>
            </w:pPr>
            <w:r>
              <w:rPr>
                <w:rFonts w:ascii="Arial" w:cs="Arial" w:eastAsia="Arial" w:hAnsi="Arial"/>
                <w:sz w:val="14"/>
                <w:szCs w:val="14"/>
                <w:color w:val="auto"/>
              </w:rPr>
              <w:t xml:space="preserve">850,000 </w:t>
            </w:r>
            <w:r>
              <w:rPr>
                <w:rFonts w:ascii="Arial" w:cs="Arial" w:eastAsia="Arial" w:hAnsi="Arial"/>
                <w:sz w:val="18"/>
                <w:szCs w:val="18"/>
                <w:color w:val="auto"/>
                <w:vertAlign w:val="superscript"/>
              </w:rPr>
              <w:t>(1)</w:t>
            </w:r>
          </w:p>
        </w:tc>
        <w:tc>
          <w:tcPr>
            <w:tcW w:w="1820" w:type="dxa"/>
            <w:vAlign w:val="bottom"/>
            <w:tcBorders>
              <w:bottom w:val="single" w:sz="8" w:color="181818"/>
            </w:tcBorders>
          </w:tcPr>
          <w:p>
            <w:pPr>
              <w:jc w:val="right"/>
              <w:ind w:right="30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181818"/>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268"/>
        </w:trPr>
        <w:tc>
          <w:tcPr>
            <w:tcW w:w="548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auto"/>
              </w:rPr>
              <w:t>Employees (excluding executive officers as a group)</w:t>
            </w:r>
          </w:p>
        </w:tc>
        <w:tc>
          <w:tcPr>
            <w:tcW w:w="23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70"/>
        </w:trPr>
        <w:tc>
          <w:tcPr>
            <w:tcW w:w="5480" w:type="dxa"/>
            <w:vAlign w:val="bottom"/>
            <w:tcBorders>
              <w:left w:val="single" w:sz="8" w:color="181818"/>
              <w:bottom w:val="single" w:sz="8" w:color="181818"/>
            </w:tcBorders>
          </w:tcPr>
          <w:p>
            <w:pPr>
              <w:spacing w:after="0"/>
              <w:rPr>
                <w:sz w:val="6"/>
                <w:szCs w:val="6"/>
                <w:color w:val="auto"/>
              </w:rPr>
            </w:pPr>
          </w:p>
        </w:tc>
        <w:tc>
          <w:tcPr>
            <w:tcW w:w="2320" w:type="dxa"/>
            <w:vAlign w:val="bottom"/>
            <w:tcBorders>
              <w:bottom w:val="single" w:sz="8" w:color="181818"/>
            </w:tcBorders>
          </w:tcPr>
          <w:p>
            <w:pPr>
              <w:spacing w:after="0"/>
              <w:rPr>
                <w:sz w:val="6"/>
                <w:szCs w:val="6"/>
                <w:color w:val="auto"/>
              </w:rPr>
            </w:pPr>
          </w:p>
        </w:tc>
        <w:tc>
          <w:tcPr>
            <w:tcW w:w="1820" w:type="dxa"/>
            <w:vAlign w:val="bottom"/>
            <w:tcBorders>
              <w:bottom w:val="single" w:sz="8" w:color="181818"/>
            </w:tcBorders>
          </w:tcPr>
          <w:p>
            <w:pPr>
              <w:spacing w:after="0"/>
              <w:rPr>
                <w:sz w:val="6"/>
                <w:szCs w:val="6"/>
                <w:color w:val="auto"/>
              </w:rPr>
            </w:pPr>
          </w:p>
        </w:tc>
        <w:tc>
          <w:tcPr>
            <w:tcW w:w="1660" w:type="dxa"/>
            <w:vAlign w:val="bottom"/>
            <w:tcBorders>
              <w:bottom w:val="single" w:sz="8" w:color="181818"/>
              <w:right w:val="single" w:sz="8" w:color="181818"/>
            </w:tcBorders>
          </w:tcPr>
          <w:p>
            <w:pPr>
              <w:spacing w:after="0"/>
              <w:rPr>
                <w:sz w:val="6"/>
                <w:szCs w:val="6"/>
                <w:color w:val="auto"/>
              </w:rPr>
            </w:pPr>
          </w:p>
        </w:tc>
      </w:tr>
    </w:tbl>
    <w:p>
      <w:pPr>
        <w:spacing w:after="0" w:line="149" w:lineRule="exact"/>
        <w:rPr>
          <w:sz w:val="20"/>
          <w:szCs w:val="20"/>
          <w:color w:val="auto"/>
        </w:rPr>
      </w:pPr>
    </w:p>
    <w:p>
      <w:pPr>
        <w:ind w:left="327" w:right="320" w:hanging="327"/>
        <w:spacing w:after="0" w:line="311" w:lineRule="auto"/>
        <w:tabs>
          <w:tab w:leader="none" w:pos="315" w:val="left"/>
        </w:tabs>
        <w:numPr>
          <w:ilvl w:val="0"/>
          <w:numId w:val="69"/>
        </w:numPr>
        <w:rPr>
          <w:rFonts w:ascii="Arial" w:cs="Arial" w:eastAsia="Arial" w:hAnsi="Arial"/>
          <w:sz w:val="14"/>
          <w:szCs w:val="14"/>
          <w:b w:val="1"/>
          <w:bCs w:val="1"/>
          <w:color w:val="181818"/>
        </w:rPr>
      </w:pPr>
      <w:r>
        <w:rPr>
          <w:rFonts w:ascii="Arial" w:cs="Arial" w:eastAsia="Arial" w:hAnsi="Arial"/>
          <w:sz w:val="14"/>
          <w:szCs w:val="14"/>
          <w:color w:val="auto"/>
        </w:rPr>
        <w:t>The number of shares of restricted stock subject to the Director Grants will be awarded based on the price of our common stock at the close of business on the Nasdaq Capital Market on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429260</wp:posOffset>
            </wp:positionV>
            <wp:extent cx="71577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
        <w:spacing w:after="0"/>
        <w:tabs>
          <w:tab w:leader="none" w:pos="10267" w:val="left"/>
        </w:tabs>
        <w:rPr>
          <w:sz w:val="20"/>
          <w:szCs w:val="20"/>
          <w:color w:val="auto"/>
        </w:rPr>
      </w:pPr>
      <w:r>
        <w:rPr>
          <w:rFonts w:ascii="Arial" w:cs="Arial" w:eastAsia="Arial" w:hAnsi="Arial"/>
          <w:sz w:val="14"/>
          <w:szCs w:val="14"/>
          <w:color w:val="09314A"/>
        </w:rPr>
        <w:t xml:space="preserve">64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68" w:name="page69"/>
    <w:bookmarkEnd w:id="68"/>
    <w:p>
      <w:pPr>
        <w:ind w:left="10540"/>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1B6F80"/>
        </w:rPr>
        <w:t>Historical Equity Awards Table</w:t>
      </w:r>
    </w:p>
    <w:p>
      <w:pPr>
        <w:spacing w:after="0" w:line="104" w:lineRule="exact"/>
        <w:rPr>
          <w:sz w:val="20"/>
          <w:szCs w:val="20"/>
          <w:color w:val="auto"/>
        </w:rPr>
      </w:pPr>
    </w:p>
    <w:p>
      <w:pPr>
        <w:spacing w:after="0" w:line="341" w:lineRule="auto"/>
        <w:rPr>
          <w:sz w:val="20"/>
          <w:szCs w:val="20"/>
          <w:color w:val="auto"/>
        </w:rPr>
      </w:pPr>
      <w:r>
        <w:rPr>
          <w:rFonts w:ascii="Arial" w:cs="Arial" w:eastAsia="Arial" w:hAnsi="Arial"/>
          <w:sz w:val="16"/>
          <w:szCs w:val="16"/>
          <w:i w:val="1"/>
          <w:iCs w:val="1"/>
          <w:color w:val="auto"/>
        </w:rPr>
        <w:t>The following table sets forth the number of shares subject to Awards granted over the lifetime of the 2023 Plan to the individuals and groups as indicated as of June 11, 2026.</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5100" w:type="dxa"/>
            <w:vAlign w:val="bottom"/>
            <w:tcBorders>
              <w:top w:val="single" w:sz="8" w:color="181818"/>
              <w:left w:val="single" w:sz="8" w:color="181818"/>
            </w:tcBorders>
            <w:shd w:val="clear" w:color="auto" w:fill="1B6F80"/>
          </w:tcPr>
          <w:p>
            <w:pPr>
              <w:spacing w:after="0"/>
              <w:rPr>
                <w:sz w:val="17"/>
                <w:szCs w:val="17"/>
                <w:color w:val="auto"/>
              </w:rPr>
            </w:pPr>
          </w:p>
        </w:tc>
        <w:tc>
          <w:tcPr>
            <w:tcW w:w="1880" w:type="dxa"/>
            <w:vAlign w:val="bottom"/>
            <w:tcBorders>
              <w:top w:val="single" w:sz="8" w:color="181818"/>
            </w:tcBorders>
            <w:shd w:val="clear" w:color="auto" w:fill="1B6F80"/>
          </w:tcPr>
          <w:p>
            <w:pPr>
              <w:jc w:val="right"/>
              <w:ind w:right="328"/>
              <w:spacing w:after="0"/>
              <w:rPr>
                <w:sz w:val="20"/>
                <w:szCs w:val="20"/>
                <w:color w:val="auto"/>
              </w:rPr>
            </w:pPr>
            <w:r>
              <w:rPr>
                <w:rFonts w:ascii="Arial" w:cs="Arial" w:eastAsia="Arial" w:hAnsi="Arial"/>
                <w:sz w:val="14"/>
                <w:szCs w:val="14"/>
                <w:b w:val="1"/>
                <w:bCs w:val="1"/>
                <w:color w:val="FFFFFF"/>
              </w:rPr>
              <w:t>Stock Options</w:t>
            </w:r>
          </w:p>
        </w:tc>
        <w:tc>
          <w:tcPr>
            <w:tcW w:w="1920" w:type="dxa"/>
            <w:vAlign w:val="bottom"/>
            <w:tcBorders>
              <w:top w:val="single" w:sz="8" w:color="181818"/>
            </w:tcBorders>
            <w:shd w:val="clear" w:color="auto" w:fill="1B6F80"/>
          </w:tcPr>
          <w:p>
            <w:pPr>
              <w:jc w:val="right"/>
              <w:ind w:right="308"/>
              <w:spacing w:after="0"/>
              <w:rPr>
                <w:sz w:val="20"/>
                <w:szCs w:val="20"/>
                <w:color w:val="auto"/>
              </w:rPr>
            </w:pPr>
            <w:r>
              <w:rPr>
                <w:rFonts w:ascii="Arial" w:cs="Arial" w:eastAsia="Arial" w:hAnsi="Arial"/>
                <w:sz w:val="14"/>
                <w:szCs w:val="14"/>
                <w:b w:val="1"/>
                <w:bCs w:val="1"/>
                <w:color w:val="FFFFFF"/>
              </w:rPr>
              <w:t>Restricted Stock</w:t>
            </w:r>
          </w:p>
        </w:tc>
        <w:tc>
          <w:tcPr>
            <w:tcW w:w="1320" w:type="dxa"/>
            <w:vAlign w:val="bottom"/>
            <w:tcBorders>
              <w:top w:val="single" w:sz="8" w:color="181818"/>
            </w:tcBorders>
            <w:shd w:val="clear" w:color="auto" w:fill="1B6F80"/>
          </w:tcPr>
          <w:p>
            <w:pPr>
              <w:jc w:val="right"/>
              <w:ind w:right="328"/>
              <w:spacing w:after="0"/>
              <w:rPr>
                <w:sz w:val="20"/>
                <w:szCs w:val="20"/>
                <w:color w:val="auto"/>
              </w:rPr>
            </w:pPr>
            <w:r>
              <w:rPr>
                <w:rFonts w:ascii="Arial" w:cs="Arial" w:eastAsia="Arial" w:hAnsi="Arial"/>
                <w:sz w:val="14"/>
                <w:szCs w:val="14"/>
                <w:b w:val="1"/>
                <w:bCs w:val="1"/>
                <w:color w:val="FFFFFF"/>
              </w:rPr>
              <w:t>RSUs</w:t>
            </w:r>
          </w:p>
        </w:tc>
        <w:tc>
          <w:tcPr>
            <w:tcW w:w="106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PSUs</w:t>
            </w:r>
          </w:p>
        </w:tc>
      </w:tr>
      <w:tr>
        <w:trPr>
          <w:trHeight w:val="239"/>
        </w:trPr>
        <w:tc>
          <w:tcPr>
            <w:tcW w:w="5100" w:type="dxa"/>
            <w:vAlign w:val="bottom"/>
            <w:tcBorders>
              <w:left w:val="single" w:sz="8" w:color="181818"/>
              <w:bottom w:val="single" w:sz="8" w:color="1B6F80"/>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Name and Position</w:t>
            </w:r>
          </w:p>
        </w:tc>
        <w:tc>
          <w:tcPr>
            <w:tcW w:w="1880" w:type="dxa"/>
            <w:vAlign w:val="bottom"/>
            <w:tcBorders>
              <w:bottom w:val="single" w:sz="8" w:color="1B6F80"/>
            </w:tcBorders>
            <w:shd w:val="clear" w:color="auto" w:fill="1B6F80"/>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920" w:type="dxa"/>
            <w:vAlign w:val="bottom"/>
            <w:tcBorders>
              <w:bottom w:val="single" w:sz="8" w:color="1B6F80"/>
            </w:tcBorders>
            <w:shd w:val="clear" w:color="auto" w:fill="1B6F80"/>
          </w:tcPr>
          <w:p>
            <w:pPr>
              <w:jc w:val="right"/>
              <w:ind w:right="308"/>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bottom w:val="single" w:sz="8" w:color="1B6F80"/>
            </w:tcBorders>
            <w:shd w:val="clear" w:color="auto" w:fill="1B6F80"/>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1B6F80"/>
              <w:right w:val="single" w:sz="8" w:color="181818"/>
            </w:tcBorders>
            <w:shd w:val="clear" w:color="auto" w:fill="1B6F80"/>
          </w:tcPr>
          <w:p>
            <w:pPr>
              <w:jc w:val="right"/>
              <w:ind w:right="68"/>
              <w:spacing w:after="0" w:line="205" w:lineRule="exact"/>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(1)</w:t>
            </w:r>
          </w:p>
        </w:tc>
      </w:tr>
      <w:tr>
        <w:trPr>
          <w:trHeight w:val="262"/>
        </w:trPr>
        <w:tc>
          <w:tcPr>
            <w:tcW w:w="510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Scott A. Lang</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487,711</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18,210</w:t>
            </w:r>
          </w:p>
        </w:tc>
        <w:tc>
          <w:tcPr>
            <w:tcW w:w="10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167,624</w:t>
            </w:r>
          </w:p>
        </w:tc>
      </w:tr>
      <w:tr>
        <w:trPr>
          <w:trHeight w:val="76"/>
        </w:trPr>
        <w:tc>
          <w:tcPr>
            <w:tcW w:w="5100" w:type="dxa"/>
            <w:vAlign w:val="bottom"/>
            <w:tcBorders>
              <w:left w:val="single" w:sz="8" w:color="181818"/>
              <w:bottom w:val="single" w:sz="8" w:color="181818"/>
            </w:tcBorders>
          </w:tcPr>
          <w:p>
            <w:pPr>
              <w:spacing w:after="0"/>
              <w:rPr>
                <w:sz w:val="6"/>
                <w:szCs w:val="6"/>
                <w:color w:val="auto"/>
              </w:rPr>
            </w:pPr>
          </w:p>
        </w:tc>
        <w:tc>
          <w:tcPr>
            <w:tcW w:w="1880" w:type="dxa"/>
            <w:vAlign w:val="bottom"/>
            <w:tcBorders>
              <w:bottom w:val="single" w:sz="8" w:color="181818"/>
            </w:tcBorders>
          </w:tcPr>
          <w:p>
            <w:pPr>
              <w:spacing w:after="0"/>
              <w:rPr>
                <w:sz w:val="6"/>
                <w:szCs w:val="6"/>
                <w:color w:val="auto"/>
              </w:rPr>
            </w:pPr>
          </w:p>
        </w:tc>
        <w:tc>
          <w:tcPr>
            <w:tcW w:w="1920" w:type="dxa"/>
            <w:vAlign w:val="bottom"/>
            <w:tcBorders>
              <w:bottom w:val="single" w:sz="8" w:color="181818"/>
            </w:tcBorders>
          </w:tcPr>
          <w:p>
            <w:pPr>
              <w:spacing w:after="0"/>
              <w:rPr>
                <w:sz w:val="6"/>
                <w:szCs w:val="6"/>
                <w:color w:val="auto"/>
              </w:rPr>
            </w:pPr>
          </w:p>
        </w:tc>
        <w:tc>
          <w:tcPr>
            <w:tcW w:w="1320" w:type="dxa"/>
            <w:vAlign w:val="bottom"/>
            <w:tcBorders>
              <w:bottom w:val="single" w:sz="8" w:color="181818"/>
            </w:tcBorders>
          </w:tcPr>
          <w:p>
            <w:pPr>
              <w:spacing w:after="0"/>
              <w:rPr>
                <w:sz w:val="6"/>
                <w:szCs w:val="6"/>
                <w:color w:val="auto"/>
              </w:rPr>
            </w:pPr>
          </w:p>
        </w:tc>
        <w:tc>
          <w:tcPr>
            <w:tcW w:w="1060" w:type="dxa"/>
            <w:vAlign w:val="bottom"/>
            <w:tcBorders>
              <w:bottom w:val="single" w:sz="8" w:color="181818"/>
              <w:right w:val="single" w:sz="8" w:color="181818"/>
            </w:tcBorders>
          </w:tcPr>
          <w:p>
            <w:pPr>
              <w:spacing w:after="0"/>
              <w:rPr>
                <w:sz w:val="6"/>
                <w:szCs w:val="6"/>
                <w:color w:val="auto"/>
              </w:rPr>
            </w:pPr>
          </w:p>
        </w:tc>
      </w:tr>
      <w:tr>
        <w:trPr>
          <w:trHeight w:val="256"/>
        </w:trPr>
        <w:tc>
          <w:tcPr>
            <w:tcW w:w="510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Christopher Guttman-McCabe</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357,310</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4,926</w:t>
            </w:r>
          </w:p>
        </w:tc>
        <w:tc>
          <w:tcPr>
            <w:tcW w:w="10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66,602</w:t>
            </w:r>
          </w:p>
        </w:tc>
      </w:tr>
      <w:tr>
        <w:trPr>
          <w:trHeight w:val="75"/>
        </w:trPr>
        <w:tc>
          <w:tcPr>
            <w:tcW w:w="5100" w:type="dxa"/>
            <w:vAlign w:val="bottom"/>
            <w:tcBorders>
              <w:left w:val="single" w:sz="8" w:color="181818"/>
              <w:bottom w:val="single" w:sz="8" w:color="181818"/>
            </w:tcBorders>
          </w:tcPr>
          <w:p>
            <w:pPr>
              <w:spacing w:after="0"/>
              <w:rPr>
                <w:sz w:val="6"/>
                <w:szCs w:val="6"/>
                <w:color w:val="auto"/>
              </w:rPr>
            </w:pPr>
          </w:p>
        </w:tc>
        <w:tc>
          <w:tcPr>
            <w:tcW w:w="1880" w:type="dxa"/>
            <w:vAlign w:val="bottom"/>
            <w:tcBorders>
              <w:bottom w:val="single" w:sz="8" w:color="181818"/>
            </w:tcBorders>
          </w:tcPr>
          <w:p>
            <w:pPr>
              <w:spacing w:after="0"/>
              <w:rPr>
                <w:sz w:val="6"/>
                <w:szCs w:val="6"/>
                <w:color w:val="auto"/>
              </w:rPr>
            </w:pPr>
          </w:p>
        </w:tc>
        <w:tc>
          <w:tcPr>
            <w:tcW w:w="1920" w:type="dxa"/>
            <w:vAlign w:val="bottom"/>
            <w:tcBorders>
              <w:bottom w:val="single" w:sz="8" w:color="181818"/>
            </w:tcBorders>
          </w:tcPr>
          <w:p>
            <w:pPr>
              <w:spacing w:after="0"/>
              <w:rPr>
                <w:sz w:val="6"/>
                <w:szCs w:val="6"/>
                <w:color w:val="auto"/>
              </w:rPr>
            </w:pPr>
          </w:p>
        </w:tc>
        <w:tc>
          <w:tcPr>
            <w:tcW w:w="1320" w:type="dxa"/>
            <w:vAlign w:val="bottom"/>
            <w:tcBorders>
              <w:bottom w:val="single" w:sz="8" w:color="181818"/>
            </w:tcBorders>
          </w:tcPr>
          <w:p>
            <w:pPr>
              <w:spacing w:after="0"/>
              <w:rPr>
                <w:sz w:val="6"/>
                <w:szCs w:val="6"/>
                <w:color w:val="auto"/>
              </w:rPr>
            </w:pPr>
          </w:p>
        </w:tc>
        <w:tc>
          <w:tcPr>
            <w:tcW w:w="1060" w:type="dxa"/>
            <w:vAlign w:val="bottom"/>
            <w:tcBorders>
              <w:bottom w:val="single" w:sz="8" w:color="181818"/>
              <w:right w:val="single" w:sz="8" w:color="181818"/>
            </w:tcBorders>
          </w:tcPr>
          <w:p>
            <w:pPr>
              <w:spacing w:after="0"/>
              <w:rPr>
                <w:sz w:val="6"/>
                <w:szCs w:val="6"/>
                <w:color w:val="auto"/>
              </w:rPr>
            </w:pPr>
          </w:p>
        </w:tc>
      </w:tr>
      <w:tr>
        <w:trPr>
          <w:trHeight w:val="256"/>
        </w:trPr>
        <w:tc>
          <w:tcPr>
            <w:tcW w:w="510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Heather Martin</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17,453</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38,272</w:t>
            </w:r>
          </w:p>
        </w:tc>
        <w:tc>
          <w:tcPr>
            <w:tcW w:w="10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15,906</w:t>
            </w:r>
          </w:p>
        </w:tc>
      </w:tr>
      <w:tr>
        <w:trPr>
          <w:trHeight w:val="76"/>
        </w:trPr>
        <w:tc>
          <w:tcPr>
            <w:tcW w:w="5100" w:type="dxa"/>
            <w:vAlign w:val="bottom"/>
            <w:tcBorders>
              <w:left w:val="single" w:sz="8" w:color="181818"/>
              <w:bottom w:val="single" w:sz="8" w:color="181818"/>
            </w:tcBorders>
          </w:tcPr>
          <w:p>
            <w:pPr>
              <w:spacing w:after="0"/>
              <w:rPr>
                <w:sz w:val="6"/>
                <w:szCs w:val="6"/>
                <w:color w:val="auto"/>
              </w:rPr>
            </w:pPr>
          </w:p>
        </w:tc>
        <w:tc>
          <w:tcPr>
            <w:tcW w:w="1880" w:type="dxa"/>
            <w:vAlign w:val="bottom"/>
            <w:tcBorders>
              <w:bottom w:val="single" w:sz="8" w:color="181818"/>
            </w:tcBorders>
          </w:tcPr>
          <w:p>
            <w:pPr>
              <w:spacing w:after="0"/>
              <w:rPr>
                <w:sz w:val="6"/>
                <w:szCs w:val="6"/>
                <w:color w:val="auto"/>
              </w:rPr>
            </w:pPr>
          </w:p>
        </w:tc>
        <w:tc>
          <w:tcPr>
            <w:tcW w:w="1920" w:type="dxa"/>
            <w:vAlign w:val="bottom"/>
            <w:tcBorders>
              <w:bottom w:val="single" w:sz="8" w:color="181818"/>
            </w:tcBorders>
          </w:tcPr>
          <w:p>
            <w:pPr>
              <w:spacing w:after="0"/>
              <w:rPr>
                <w:sz w:val="6"/>
                <w:szCs w:val="6"/>
                <w:color w:val="auto"/>
              </w:rPr>
            </w:pPr>
          </w:p>
        </w:tc>
        <w:tc>
          <w:tcPr>
            <w:tcW w:w="1320" w:type="dxa"/>
            <w:vAlign w:val="bottom"/>
            <w:tcBorders>
              <w:bottom w:val="single" w:sz="8" w:color="181818"/>
            </w:tcBorders>
          </w:tcPr>
          <w:p>
            <w:pPr>
              <w:spacing w:after="0"/>
              <w:rPr>
                <w:sz w:val="6"/>
                <w:szCs w:val="6"/>
                <w:color w:val="auto"/>
              </w:rPr>
            </w:pPr>
          </w:p>
        </w:tc>
        <w:tc>
          <w:tcPr>
            <w:tcW w:w="1060" w:type="dxa"/>
            <w:vAlign w:val="bottom"/>
            <w:tcBorders>
              <w:bottom w:val="single" w:sz="8" w:color="181818"/>
              <w:right w:val="single" w:sz="8" w:color="181818"/>
            </w:tcBorders>
          </w:tcPr>
          <w:p>
            <w:pPr>
              <w:spacing w:after="0"/>
              <w:rPr>
                <w:sz w:val="6"/>
                <w:szCs w:val="6"/>
                <w:color w:val="auto"/>
              </w:rPr>
            </w:pPr>
          </w:p>
        </w:tc>
      </w:tr>
      <w:tr>
        <w:trPr>
          <w:trHeight w:val="261"/>
        </w:trPr>
        <w:tc>
          <w:tcPr>
            <w:tcW w:w="510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auto"/>
              </w:rPr>
              <w:t>Current Executive Officers (as a group)</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1,139,656</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113,137</w:t>
            </w:r>
          </w:p>
        </w:tc>
        <w:tc>
          <w:tcPr>
            <w:tcW w:w="10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304,680</w:t>
            </w:r>
          </w:p>
        </w:tc>
      </w:tr>
      <w:tr>
        <w:trPr>
          <w:trHeight w:val="70"/>
        </w:trPr>
        <w:tc>
          <w:tcPr>
            <w:tcW w:w="5100" w:type="dxa"/>
            <w:vAlign w:val="bottom"/>
            <w:tcBorders>
              <w:left w:val="single" w:sz="8" w:color="181818"/>
              <w:bottom w:val="single" w:sz="8" w:color="181818"/>
            </w:tcBorders>
          </w:tcPr>
          <w:p>
            <w:pPr>
              <w:spacing w:after="0"/>
              <w:rPr>
                <w:sz w:val="6"/>
                <w:szCs w:val="6"/>
                <w:color w:val="auto"/>
              </w:rPr>
            </w:pPr>
          </w:p>
        </w:tc>
        <w:tc>
          <w:tcPr>
            <w:tcW w:w="1880" w:type="dxa"/>
            <w:vAlign w:val="bottom"/>
            <w:tcBorders>
              <w:bottom w:val="single" w:sz="8" w:color="181818"/>
            </w:tcBorders>
          </w:tcPr>
          <w:p>
            <w:pPr>
              <w:spacing w:after="0"/>
              <w:rPr>
                <w:sz w:val="6"/>
                <w:szCs w:val="6"/>
                <w:color w:val="auto"/>
              </w:rPr>
            </w:pPr>
          </w:p>
        </w:tc>
        <w:tc>
          <w:tcPr>
            <w:tcW w:w="1920" w:type="dxa"/>
            <w:vAlign w:val="bottom"/>
            <w:tcBorders>
              <w:bottom w:val="single" w:sz="8" w:color="181818"/>
            </w:tcBorders>
          </w:tcPr>
          <w:p>
            <w:pPr>
              <w:spacing w:after="0"/>
              <w:rPr>
                <w:sz w:val="6"/>
                <w:szCs w:val="6"/>
                <w:color w:val="auto"/>
              </w:rPr>
            </w:pPr>
          </w:p>
        </w:tc>
        <w:tc>
          <w:tcPr>
            <w:tcW w:w="1320" w:type="dxa"/>
            <w:vAlign w:val="bottom"/>
            <w:tcBorders>
              <w:bottom w:val="single" w:sz="8" w:color="181818"/>
            </w:tcBorders>
          </w:tcPr>
          <w:p>
            <w:pPr>
              <w:spacing w:after="0"/>
              <w:rPr>
                <w:sz w:val="6"/>
                <w:szCs w:val="6"/>
                <w:color w:val="auto"/>
              </w:rPr>
            </w:pPr>
          </w:p>
        </w:tc>
        <w:tc>
          <w:tcPr>
            <w:tcW w:w="1060" w:type="dxa"/>
            <w:vAlign w:val="bottom"/>
            <w:tcBorders>
              <w:bottom w:val="single" w:sz="8" w:color="181818"/>
              <w:right w:val="single" w:sz="8" w:color="181818"/>
            </w:tcBorders>
          </w:tcPr>
          <w:p>
            <w:pPr>
              <w:spacing w:after="0"/>
              <w:rPr>
                <w:sz w:val="6"/>
                <w:szCs w:val="6"/>
                <w:color w:val="auto"/>
              </w:rPr>
            </w:pPr>
          </w:p>
        </w:tc>
      </w:tr>
      <w:tr>
        <w:trPr>
          <w:trHeight w:val="261"/>
        </w:trPr>
        <w:tc>
          <w:tcPr>
            <w:tcW w:w="510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auto"/>
              </w:rPr>
              <w:t>Current Non-Executive Directors (as a group)</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58,998</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105,922</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56"/>
        </w:trPr>
        <w:tc>
          <w:tcPr>
            <w:tcW w:w="5100" w:type="dxa"/>
            <w:vAlign w:val="bottom"/>
            <w:tcBorders>
              <w:left w:val="single" w:sz="8" w:color="181818"/>
              <w:bottom w:val="single" w:sz="8" w:color="181818"/>
            </w:tcBorders>
          </w:tcPr>
          <w:p>
            <w:pPr>
              <w:spacing w:after="0"/>
              <w:rPr>
                <w:sz w:val="4"/>
                <w:szCs w:val="4"/>
                <w:color w:val="auto"/>
              </w:rPr>
            </w:pPr>
          </w:p>
        </w:tc>
        <w:tc>
          <w:tcPr>
            <w:tcW w:w="1880" w:type="dxa"/>
            <w:vAlign w:val="bottom"/>
            <w:tcBorders>
              <w:bottom w:val="single" w:sz="8" w:color="181818"/>
            </w:tcBorders>
          </w:tcPr>
          <w:p>
            <w:pPr>
              <w:spacing w:after="0"/>
              <w:rPr>
                <w:sz w:val="4"/>
                <w:szCs w:val="4"/>
                <w:color w:val="auto"/>
              </w:rPr>
            </w:pPr>
          </w:p>
        </w:tc>
        <w:tc>
          <w:tcPr>
            <w:tcW w:w="1920" w:type="dxa"/>
            <w:vAlign w:val="bottom"/>
            <w:tcBorders>
              <w:bottom w:val="single" w:sz="8" w:color="181818"/>
            </w:tcBorders>
          </w:tcPr>
          <w:p>
            <w:pPr>
              <w:spacing w:after="0"/>
              <w:rPr>
                <w:sz w:val="4"/>
                <w:szCs w:val="4"/>
                <w:color w:val="auto"/>
              </w:rPr>
            </w:pPr>
          </w:p>
        </w:tc>
        <w:tc>
          <w:tcPr>
            <w:tcW w:w="1320" w:type="dxa"/>
            <w:vAlign w:val="bottom"/>
            <w:tcBorders>
              <w:bottom w:val="single" w:sz="8" w:color="181818"/>
            </w:tcBorders>
          </w:tcPr>
          <w:p>
            <w:pPr>
              <w:spacing w:after="0"/>
              <w:rPr>
                <w:sz w:val="4"/>
                <w:szCs w:val="4"/>
                <w:color w:val="auto"/>
              </w:rPr>
            </w:pPr>
          </w:p>
        </w:tc>
        <w:tc>
          <w:tcPr>
            <w:tcW w:w="1060" w:type="dxa"/>
            <w:vAlign w:val="bottom"/>
            <w:tcBorders>
              <w:bottom w:val="single" w:sz="8" w:color="181818"/>
              <w:right w:val="single" w:sz="8" w:color="181818"/>
            </w:tcBorders>
          </w:tcPr>
          <w:p>
            <w:pPr>
              <w:spacing w:after="0"/>
              <w:rPr>
                <w:sz w:val="4"/>
                <w:szCs w:val="4"/>
                <w:color w:val="auto"/>
              </w:rPr>
            </w:pPr>
          </w:p>
        </w:tc>
      </w:tr>
      <w:tr>
        <w:trPr>
          <w:trHeight w:val="261"/>
        </w:trPr>
        <w:tc>
          <w:tcPr>
            <w:tcW w:w="510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auto"/>
              </w:rPr>
              <w:t>Employees (excluding executive officers as a group)</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650,166</w:t>
            </w:r>
          </w:p>
        </w:tc>
        <w:tc>
          <w:tcPr>
            <w:tcW w:w="1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272,502</w:t>
            </w:r>
          </w:p>
        </w:tc>
        <w:tc>
          <w:tcPr>
            <w:tcW w:w="106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63,552</w:t>
            </w:r>
          </w:p>
        </w:tc>
      </w:tr>
      <w:tr>
        <w:trPr>
          <w:trHeight w:val="70"/>
        </w:trPr>
        <w:tc>
          <w:tcPr>
            <w:tcW w:w="5100" w:type="dxa"/>
            <w:vAlign w:val="bottom"/>
            <w:tcBorders>
              <w:left w:val="single" w:sz="8" w:color="181818"/>
              <w:bottom w:val="single" w:sz="8" w:color="181818"/>
            </w:tcBorders>
          </w:tcPr>
          <w:p>
            <w:pPr>
              <w:spacing w:after="0"/>
              <w:rPr>
                <w:sz w:val="6"/>
                <w:szCs w:val="6"/>
                <w:color w:val="auto"/>
              </w:rPr>
            </w:pPr>
          </w:p>
        </w:tc>
        <w:tc>
          <w:tcPr>
            <w:tcW w:w="1880" w:type="dxa"/>
            <w:vAlign w:val="bottom"/>
            <w:tcBorders>
              <w:bottom w:val="single" w:sz="8" w:color="181818"/>
            </w:tcBorders>
          </w:tcPr>
          <w:p>
            <w:pPr>
              <w:spacing w:after="0"/>
              <w:rPr>
                <w:sz w:val="6"/>
                <w:szCs w:val="6"/>
                <w:color w:val="auto"/>
              </w:rPr>
            </w:pPr>
          </w:p>
        </w:tc>
        <w:tc>
          <w:tcPr>
            <w:tcW w:w="1920" w:type="dxa"/>
            <w:vAlign w:val="bottom"/>
            <w:tcBorders>
              <w:bottom w:val="single" w:sz="8" w:color="181818"/>
            </w:tcBorders>
          </w:tcPr>
          <w:p>
            <w:pPr>
              <w:spacing w:after="0"/>
              <w:rPr>
                <w:sz w:val="6"/>
                <w:szCs w:val="6"/>
                <w:color w:val="auto"/>
              </w:rPr>
            </w:pPr>
          </w:p>
        </w:tc>
        <w:tc>
          <w:tcPr>
            <w:tcW w:w="1320" w:type="dxa"/>
            <w:vAlign w:val="bottom"/>
            <w:tcBorders>
              <w:bottom w:val="single" w:sz="8" w:color="181818"/>
            </w:tcBorders>
          </w:tcPr>
          <w:p>
            <w:pPr>
              <w:spacing w:after="0"/>
              <w:rPr>
                <w:sz w:val="6"/>
                <w:szCs w:val="6"/>
                <w:color w:val="auto"/>
              </w:rPr>
            </w:pPr>
          </w:p>
        </w:tc>
        <w:tc>
          <w:tcPr>
            <w:tcW w:w="1060" w:type="dxa"/>
            <w:vAlign w:val="bottom"/>
            <w:tcBorders>
              <w:bottom w:val="single" w:sz="8" w:color="181818"/>
              <w:right w:val="single" w:sz="8" w:color="181818"/>
            </w:tcBorders>
          </w:tcPr>
          <w:p>
            <w:pPr>
              <w:spacing w:after="0"/>
              <w:rPr>
                <w:sz w:val="6"/>
                <w:szCs w:val="6"/>
                <w:color w:val="auto"/>
              </w:rPr>
            </w:pPr>
          </w:p>
        </w:tc>
      </w:tr>
      <w:tr>
        <w:trPr>
          <w:trHeight w:val="343"/>
        </w:trPr>
        <w:tc>
          <w:tcPr>
            <w:tcW w:w="5100" w:type="dxa"/>
            <w:vAlign w:val="bottom"/>
          </w:tcPr>
          <w:p>
            <w:pPr>
              <w:spacing w:after="0"/>
              <w:rPr>
                <w:sz w:val="20"/>
                <w:szCs w:val="20"/>
                <w:color w:val="auto"/>
              </w:rPr>
            </w:pPr>
            <w:r>
              <w:rPr>
                <w:rFonts w:ascii="Arial" w:cs="Arial" w:eastAsia="Arial" w:hAnsi="Arial"/>
                <w:sz w:val="14"/>
                <w:szCs w:val="14"/>
                <w:b w:val="1"/>
                <w:bCs w:val="1"/>
                <w:color w:val="181818"/>
              </w:rPr>
              <w:t xml:space="preserve">(1)  </w:t>
            </w:r>
            <w:r>
              <w:rPr>
                <w:rFonts w:ascii="Arial" w:cs="Arial" w:eastAsia="Arial" w:hAnsi="Arial"/>
                <w:sz w:val="14"/>
                <w:szCs w:val="14"/>
                <w:color w:val="000000"/>
              </w:rPr>
              <w:t>Assumes maximum level of performance.</w:t>
            </w:r>
          </w:p>
        </w:tc>
        <w:tc>
          <w:tcPr>
            <w:tcW w:w="1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2"/>
        </w:trPr>
        <w:tc>
          <w:tcPr>
            <w:tcW w:w="5100" w:type="dxa"/>
            <w:vAlign w:val="bottom"/>
            <w:tcBorders>
              <w:bottom w:val="single" w:sz="8" w:color="181818"/>
            </w:tcBorders>
          </w:tcPr>
          <w:p>
            <w:pPr>
              <w:spacing w:after="0"/>
              <w:rPr>
                <w:sz w:val="24"/>
                <w:szCs w:val="24"/>
                <w:color w:val="auto"/>
              </w:rPr>
            </w:pPr>
          </w:p>
        </w:tc>
        <w:tc>
          <w:tcPr>
            <w:tcW w:w="1880" w:type="dxa"/>
            <w:vAlign w:val="bottom"/>
            <w:tcBorders>
              <w:bottom w:val="single" w:sz="8" w:color="181818"/>
            </w:tcBorders>
          </w:tcPr>
          <w:p>
            <w:pPr>
              <w:spacing w:after="0"/>
              <w:rPr>
                <w:sz w:val="24"/>
                <w:szCs w:val="24"/>
                <w:color w:val="auto"/>
              </w:rPr>
            </w:pPr>
          </w:p>
        </w:tc>
        <w:tc>
          <w:tcPr>
            <w:tcW w:w="1920" w:type="dxa"/>
            <w:vAlign w:val="bottom"/>
            <w:tcBorders>
              <w:bottom w:val="single" w:sz="8" w:color="181818"/>
            </w:tcBorders>
          </w:tcPr>
          <w:p>
            <w:pPr>
              <w:spacing w:after="0"/>
              <w:rPr>
                <w:sz w:val="24"/>
                <w:szCs w:val="24"/>
                <w:color w:val="auto"/>
              </w:rPr>
            </w:pPr>
          </w:p>
        </w:tc>
        <w:tc>
          <w:tcPr>
            <w:tcW w:w="2380" w:type="dxa"/>
            <w:vAlign w:val="bottom"/>
            <w:tcBorders>
              <w:bottom w:val="single" w:sz="8" w:color="181818"/>
            </w:tcBorders>
            <w:gridSpan w:val="2"/>
          </w:tcPr>
          <w:p>
            <w:pPr>
              <w:spacing w:after="0"/>
              <w:rPr>
                <w:sz w:val="24"/>
                <w:szCs w:val="24"/>
                <w:color w:val="auto"/>
              </w:rPr>
            </w:pPr>
          </w:p>
        </w:tc>
      </w:tr>
      <w:tr>
        <w:trPr>
          <w:trHeight w:val="196"/>
        </w:trPr>
        <w:tc>
          <w:tcPr>
            <w:tcW w:w="5100" w:type="dxa"/>
            <w:vAlign w:val="bottom"/>
          </w:tcPr>
          <w:p>
            <w:pPr>
              <w:ind w:left="20"/>
              <w:spacing w:after="0"/>
              <w:rPr>
                <w:sz w:val="20"/>
                <w:szCs w:val="20"/>
                <w:color w:val="auto"/>
              </w:rPr>
            </w:pPr>
            <w:r>
              <w:rPr>
                <w:rFonts w:ascii="Arial" w:cs="Arial" w:eastAsia="Arial" w:hAnsi="Arial"/>
                <w:sz w:val="14"/>
                <w:szCs w:val="14"/>
                <w:b w:val="1"/>
                <w:bCs w:val="1"/>
                <w:color w:val="09314A"/>
              </w:rPr>
              <w:t>ANTERIX INC.</w:t>
            </w:r>
          </w:p>
        </w:tc>
        <w:tc>
          <w:tcPr>
            <w:tcW w:w="1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65</w:t>
            </w:r>
          </w:p>
        </w:tc>
      </w:tr>
      <w:tr>
        <w:trPr>
          <w:trHeight w:val="196"/>
        </w:trPr>
        <w:tc>
          <w:tcPr>
            <w:tcW w:w="5100" w:type="dxa"/>
            <w:vAlign w:val="bottom"/>
            <w:tcBorders>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69" w:name="page70"/>
    <w:bookmarkEnd w:id="69"/>
    <w:p>
      <w:pPr>
        <w:spacing w:after="0"/>
        <w:rPr>
          <w:sz w:val="20"/>
          <w:szCs w:val="20"/>
          <w:color w:val="auto"/>
        </w:rPr>
      </w:pPr>
      <w:r>
        <w:rPr>
          <w:rFonts w:ascii="Arial" w:cs="Arial" w:eastAsia="Arial" w:hAnsi="Arial"/>
          <w:sz w:val="41"/>
          <w:szCs w:val="41"/>
          <w:b w:val="1"/>
          <w:bCs w:val="1"/>
          <w:color w:val="181818"/>
        </w:rPr>
        <w:t>PROPOSAL 4</w:t>
      </w:r>
    </w:p>
    <w:p>
      <w:pPr>
        <w:spacing w:after="0" w:line="144" w:lineRule="exact"/>
        <w:rPr>
          <w:sz w:val="20"/>
          <w:szCs w:val="20"/>
          <w:color w:val="auto"/>
        </w:rPr>
      </w:pPr>
    </w:p>
    <w:p>
      <w:pPr>
        <w:ind w:right="440"/>
        <w:spacing w:after="0" w:line="290" w:lineRule="auto"/>
        <w:rPr>
          <w:sz w:val="20"/>
          <w:szCs w:val="20"/>
          <w:color w:val="auto"/>
        </w:rPr>
      </w:pPr>
      <w:r>
        <w:rPr>
          <w:rFonts w:ascii="Arial" w:cs="Arial" w:eastAsia="Arial" w:hAnsi="Arial"/>
          <w:sz w:val="34"/>
          <w:szCs w:val="34"/>
          <w:b w:val="1"/>
          <w:bCs w:val="1"/>
          <w:color w:val="181818"/>
        </w:rPr>
        <w:t>Advisory, Non-Binding Vote On The Frequency Of Future Advisory, Non-Binding Votes To Approve The Compensation Of Our Named Executive Officers</w:t>
      </w:r>
    </w:p>
    <w:p>
      <w:pPr>
        <w:spacing w:after="0" w:line="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Section 14A of the Exchange Act provides that stockholders must be given the opportunity to vote, on a non-binding advisory basis, for their preference as to how frequently we should seek future non-binding advisory votes to approve the compensation of our named executive officers, as disclosed in accordance with the compensation disclosure rules of the SEC, which we refer to as an advisory vote to approve the compensation of our named executive officers.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By voting with respect to this proposal, stockholders may indicate whether they would prefer that we conduct future non-binding advisory votes to approve the compensation of our named executive officers every one, two or three years. Stockholders also may, if they wish, abstain from casting a vote on this proposal. Our Board of Directors has determined that an annual advisory vote to approve the compensation of our named executive officers will enable our stockholders to provide the Company with input regarding the compensation of our named executive officers on a timely basis.</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Stockholders will not be voting to approve or disapprove of the recommendation of our Board of Directors. The proxy card provides stockholders with the opportunity to choose among four options with respect to this proposal (holding the vote every one, two or three years, or abstaining). The option that receives the highest number of votes from the voting power of shares of our common stock present in person or by proxy at the Annual Meeting and entitled to vote thereon will be deemed to be the frequency preferred by our stockholders. Abstentions and broker non-votes will have no effect on this proposal.</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an advisory vote, this proposal will not be binding on the Company, our Board of Directors or our Compensation Committee in any way. As such, the results of the vote will not be construed to create or imply any change to the fiduciary duties of our Board. Our Board may decide that it is in the best interests of our stockholders and the Company to hold a non-binding advisory vote on our named executive officer compensation more or less frequently than the option approved by our stockholders. Notwithstanding the non-binding advisory nature of this vote, the Company recognizes that the stockholders may have different views as to the best approach for the Company and looks forward to hearing from stockholders as to their preferences on the frequency of a 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375285</wp:posOffset>
            </wp:positionV>
            <wp:extent cx="71577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66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79" w:right="318"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4</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Vote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5490210</wp:posOffset>
            </wp:positionH>
            <wp:positionV relativeFrom="paragraph">
              <wp:posOffset>167005</wp:posOffset>
            </wp:positionV>
            <wp:extent cx="1663065" cy="2948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663065" cy="2948940"/>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p>
      <w:pPr>
        <w:spacing w:after="0" w:line="285" w:lineRule="exact"/>
        <w:rPr>
          <w:sz w:val="20"/>
          <w:szCs w:val="20"/>
          <w:color w:val="auto"/>
        </w:rPr>
      </w:pPr>
    </w:p>
    <w:p>
      <w:pPr>
        <w:jc w:val="both"/>
        <w:ind w:left="20"/>
        <w:spacing w:after="0" w:line="302" w:lineRule="auto"/>
        <w:rPr>
          <w:sz w:val="20"/>
          <w:szCs w:val="20"/>
          <w:color w:val="auto"/>
        </w:rPr>
      </w:pPr>
      <w:r>
        <w:rPr>
          <w:rFonts w:ascii="Arial" w:cs="Arial" w:eastAsia="Arial" w:hAnsi="Arial"/>
          <w:sz w:val="16"/>
          <w:szCs w:val="16"/>
          <w:color w:val="auto"/>
        </w:rPr>
        <w:t>The frequency of one year, two years or three years that receives the affirmative vote of a majority of votes cast will be deemed to be the recommended frequency, on an advisory, non-binding basis, of future advisory votes on the compensation of our named executive officers. You may vote for a frequency of future stockholder votes on executive compensation of every “ONE YEAR,” “TWO YEARS,” or “THREE YEARS” or “ABSTAIN.” If no frequency receives the majority of the foregoing vote, then we will consider the option of one year, two years or three years that received the highest number of votes cast to be the frequency recommended by stockholders. Abstentions and broker non-votes will not affect the outcome of this proposal, other than counting towards the quorum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722630</wp:posOffset>
            </wp:positionV>
            <wp:extent cx="5340350" cy="11912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34035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20"/>
        <w:spacing w:after="0"/>
        <w:rPr>
          <w:sz w:val="20"/>
          <w:szCs w:val="20"/>
          <w:color w:val="auto"/>
        </w:rPr>
      </w:pPr>
      <w:r>
        <w:rPr>
          <w:rFonts w:ascii="Arial" w:cs="Arial" w:eastAsia="Arial" w:hAnsi="Arial"/>
          <w:sz w:val="23"/>
          <w:szCs w:val="23"/>
          <w:b w:val="1"/>
          <w:bCs w:val="1"/>
          <w:color w:val="181818"/>
        </w:rPr>
        <w:t>THE BOARD OF DIRECTORS UNANIMOUSLY RECOMMENDS A</w:t>
      </w:r>
    </w:p>
    <w:p>
      <w:pPr>
        <w:spacing w:after="0" w:line="24" w:lineRule="exact"/>
        <w:rPr>
          <w:sz w:val="20"/>
          <w:szCs w:val="20"/>
          <w:color w:val="auto"/>
        </w:rPr>
      </w:pPr>
    </w:p>
    <w:p>
      <w:pPr>
        <w:ind w:left="1020" w:hanging="664"/>
        <w:spacing w:after="0"/>
        <w:tabs>
          <w:tab w:leader="none" w:pos="1020" w:val="left"/>
        </w:tabs>
        <w:numPr>
          <w:ilvl w:val="0"/>
          <w:numId w:val="70"/>
        </w:numPr>
        <w:rPr>
          <w:rFonts w:ascii="Arial" w:cs="Arial" w:eastAsia="Arial" w:hAnsi="Arial"/>
          <w:sz w:val="36"/>
          <w:szCs w:val="36"/>
          <w:b w:val="1"/>
          <w:bCs w:val="1"/>
          <w:color w:val="E5FF70"/>
        </w:rPr>
      </w:pPr>
      <w:r>
        <w:rPr>
          <w:rFonts w:ascii="Arial" w:cs="Arial" w:eastAsia="Arial" w:hAnsi="Arial"/>
          <w:sz w:val="23"/>
          <w:szCs w:val="23"/>
          <w:b w:val="1"/>
          <w:bCs w:val="1"/>
          <w:color w:val="181818"/>
        </w:rPr>
        <w:t xml:space="preserve">VOTE </w:t>
      </w:r>
      <w:r>
        <w:rPr>
          <w:rFonts w:ascii="Arial" w:cs="Arial" w:eastAsia="Arial" w:hAnsi="Arial"/>
          <w:sz w:val="23"/>
          <w:szCs w:val="23"/>
          <w:b w:val="1"/>
          <w:bCs w:val="1"/>
          <w:color w:val="135368"/>
        </w:rPr>
        <w:t>FOR</w:t>
      </w:r>
      <w:r>
        <w:rPr>
          <w:rFonts w:ascii="Arial" w:cs="Arial" w:eastAsia="Arial" w:hAnsi="Arial"/>
          <w:sz w:val="23"/>
          <w:szCs w:val="23"/>
          <w:b w:val="1"/>
          <w:bCs w:val="1"/>
          <w:color w:val="181818"/>
        </w:rPr>
        <w:t xml:space="preserve"> THE OPTION OF</w:t>
      </w:r>
    </w:p>
    <w:p>
      <w:pPr>
        <w:ind w:left="1020" w:right="620"/>
        <w:spacing w:after="0" w:line="251" w:lineRule="auto"/>
        <w:rPr>
          <w:rFonts w:ascii="Arial" w:cs="Arial" w:eastAsia="Arial" w:hAnsi="Arial"/>
          <w:sz w:val="36"/>
          <w:szCs w:val="36"/>
          <w:b w:val="1"/>
          <w:bCs w:val="1"/>
          <w:color w:val="E5FF70"/>
        </w:rPr>
      </w:pPr>
      <w:r>
        <w:rPr>
          <w:rFonts w:ascii="Arial" w:cs="Arial" w:eastAsia="Arial" w:hAnsi="Arial"/>
          <w:sz w:val="23"/>
          <w:szCs w:val="23"/>
          <w:b w:val="1"/>
          <w:bCs w:val="1"/>
          <w:color w:val="135368"/>
        </w:rPr>
        <w:t xml:space="preserve">ONE YEAR </w:t>
      </w:r>
      <w:r>
        <w:rPr>
          <w:rFonts w:ascii="Arial" w:cs="Arial" w:eastAsia="Arial" w:hAnsi="Arial"/>
          <w:sz w:val="23"/>
          <w:szCs w:val="23"/>
          <w:b w:val="1"/>
          <w:bCs w:val="1"/>
          <w:color w:val="181818"/>
        </w:rPr>
        <w:t>AS THE PREFERRED FREQUENCY FOR FUTURE</w:t>
      </w:r>
      <w:r>
        <w:rPr>
          <w:rFonts w:ascii="Arial" w:cs="Arial" w:eastAsia="Arial" w:hAnsi="Arial"/>
          <w:sz w:val="23"/>
          <w:szCs w:val="23"/>
          <w:b w:val="1"/>
          <w:bCs w:val="1"/>
          <w:color w:val="135368"/>
        </w:rPr>
        <w:t xml:space="preserve"> </w:t>
      </w:r>
      <w:r>
        <w:rPr>
          <w:rFonts w:ascii="Arial" w:cs="Arial" w:eastAsia="Arial" w:hAnsi="Arial"/>
          <w:sz w:val="23"/>
          <w:szCs w:val="23"/>
          <w:b w:val="1"/>
          <w:bCs w:val="1"/>
          <w:color w:val="181818"/>
        </w:rPr>
        <w:t>ADVISORY, NON-BINDING VOTES</w:t>
      </w:r>
    </w:p>
    <w:p>
      <w:pPr>
        <w:ind w:left="1020" w:right="1440"/>
        <w:spacing w:after="0" w:line="287" w:lineRule="auto"/>
        <w:rPr>
          <w:rFonts w:ascii="Arial" w:cs="Arial" w:eastAsia="Arial" w:hAnsi="Arial"/>
          <w:sz w:val="36"/>
          <w:szCs w:val="36"/>
          <w:b w:val="1"/>
          <w:bCs w:val="1"/>
          <w:color w:val="E5FF70"/>
        </w:rPr>
      </w:pPr>
      <w:r>
        <w:rPr>
          <w:rFonts w:ascii="Arial" w:cs="Arial" w:eastAsia="Arial" w:hAnsi="Arial"/>
          <w:sz w:val="23"/>
          <w:szCs w:val="23"/>
          <w:b w:val="1"/>
          <w:bCs w:val="1"/>
          <w:color w:val="181818"/>
        </w:rPr>
        <w:t>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607060</wp:posOffset>
            </wp:positionV>
            <wp:extent cx="71577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340"/>
        <w:spacing w:after="0" w:line="307" w:lineRule="auto"/>
        <w:rPr>
          <w:sz w:val="20"/>
          <w:szCs w:val="20"/>
          <w:color w:val="auto"/>
        </w:rPr>
      </w:pPr>
      <w:r>
        <w:rPr>
          <w:rFonts w:ascii="Arial" w:cs="Arial" w:eastAsia="Arial" w:hAnsi="Arial"/>
          <w:sz w:val="16"/>
          <w:szCs w:val="16"/>
          <w:b w:val="1"/>
          <w:bCs w:val="1"/>
          <w:color w:val="1B6F80"/>
        </w:rPr>
        <w:t>At the Annual Meeting, stockholders may indicate their preferences on the frequency of a non-binding advisory vote on executive compensation.</w:t>
      </w:r>
    </w:p>
    <w:p>
      <w:pPr>
        <w:spacing w:after="0" w:line="3292" w:lineRule="exact"/>
        <w:rPr>
          <w:sz w:val="20"/>
          <w:szCs w:val="20"/>
          <w:color w:val="auto"/>
        </w:rPr>
      </w:pPr>
    </w:p>
    <w:p>
      <w:pPr>
        <w:sectPr>
          <w:pgSz w:w="11920" w:h="16838" w:orient="portrait"/>
          <w:cols w:equalWidth="0" w:num="2">
            <w:col w:w="8380" w:space="460"/>
            <w:col w:w="2420"/>
          </w:cols>
          <w:pgMar w:left="340" w:top="308" w:right="31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41"/>
          <w:szCs w:val="41"/>
          <w:b w:val="1"/>
          <w:bCs w:val="1"/>
          <w:color w:val="181818"/>
        </w:rPr>
        <w:t>PROPOSAL 5</w:t>
      </w:r>
    </w:p>
    <w:p>
      <w:pPr>
        <w:spacing w:after="0" w:line="144" w:lineRule="exact"/>
        <w:rPr>
          <w:sz w:val="20"/>
          <w:szCs w:val="20"/>
          <w:color w:val="auto"/>
        </w:rPr>
      </w:pPr>
    </w:p>
    <w:p>
      <w:pPr>
        <w:ind w:right="1240"/>
        <w:spacing w:after="0" w:line="323" w:lineRule="auto"/>
        <w:rPr>
          <w:sz w:val="20"/>
          <w:szCs w:val="20"/>
          <w:color w:val="auto"/>
        </w:rPr>
      </w:pPr>
      <w:r>
        <w:rPr>
          <w:rFonts w:ascii="Arial" w:cs="Arial" w:eastAsia="Arial" w:hAnsi="Arial"/>
          <w:sz w:val="34"/>
          <w:szCs w:val="34"/>
          <w:b w:val="1"/>
          <w:bCs w:val="1"/>
          <w:color w:val="181818"/>
        </w:rPr>
        <w:t>Ratification of Appointment of Independent Registered Public Accounting Firm</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Voting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158115</wp:posOffset>
            </wp:positionV>
            <wp:extent cx="1654175" cy="61633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654175" cy="6163310"/>
                    </a:xfrm>
                    <a:prstGeom prst="rect">
                      <a:avLst/>
                    </a:prstGeom>
                    <a:noFill/>
                  </pic:spPr>
                </pic:pic>
              </a:graphicData>
            </a:graphic>
          </wp:anchor>
        </w:drawing>
      </w:r>
    </w:p>
    <w:p>
      <w:pPr>
        <w:sectPr>
          <w:pgSz w:w="11920" w:h="16838" w:orient="portrait"/>
          <w:cols w:equalWidth="0" w:num="1">
            <w:col w:w="11240"/>
          </w:cols>
          <w:pgMar w:left="340" w:top="1079" w:right="338" w:bottom="1440" w:gutter="0" w:footer="0" w:header="0"/>
        </w:sectPr>
      </w:pPr>
    </w:p>
    <w:p>
      <w:pPr>
        <w:spacing w:after="0" w:line="272" w:lineRule="exact"/>
        <w:rPr>
          <w:sz w:val="20"/>
          <w:szCs w:val="20"/>
          <w:color w:val="auto"/>
        </w:rPr>
      </w:pPr>
    </w:p>
    <w:p>
      <w:pPr>
        <w:jc w:val="both"/>
        <w:ind w:left="20"/>
        <w:spacing w:after="0" w:line="314" w:lineRule="auto"/>
        <w:rPr>
          <w:sz w:val="20"/>
          <w:szCs w:val="20"/>
          <w:color w:val="auto"/>
        </w:rPr>
      </w:pPr>
      <w:r>
        <w:rPr>
          <w:rFonts w:ascii="Arial" w:cs="Arial" w:eastAsia="Arial" w:hAnsi="Arial"/>
          <w:sz w:val="16"/>
          <w:szCs w:val="16"/>
          <w:color w:val="auto"/>
        </w:rPr>
        <w:t>On June 26, 2025, our Audit Committee appointed Deloitte &amp; Touche LLP ("Deloitte") as our independent registered public accounting firm for the fiscal year ending March 31, 2026 (“Fiscal 2026”). Grant Thornton LLP (“Grant Thornton”) served as our independent registered public accounting firm for the fiscal years ended March 31, 2024 (“Fiscal 2024”) and March 31, 2025 (“Fiscal 2025”).</w:t>
      </w:r>
    </w:p>
    <w:p>
      <w:pPr>
        <w:spacing w:after="0" w:line="63" w:lineRule="exact"/>
        <w:rPr>
          <w:sz w:val="20"/>
          <w:szCs w:val="20"/>
          <w:color w:val="auto"/>
        </w:rPr>
      </w:pPr>
    </w:p>
    <w:p>
      <w:pPr>
        <w:jc w:val="both"/>
        <w:ind w:left="20"/>
        <w:spacing w:after="0" w:line="301" w:lineRule="auto"/>
        <w:rPr>
          <w:sz w:val="20"/>
          <w:szCs w:val="20"/>
          <w:color w:val="auto"/>
        </w:rPr>
      </w:pPr>
      <w:r>
        <w:rPr>
          <w:rFonts w:ascii="Arial" w:cs="Arial" w:eastAsia="Arial" w:hAnsi="Arial"/>
          <w:sz w:val="16"/>
          <w:szCs w:val="16"/>
          <w:color w:val="auto"/>
        </w:rPr>
        <w:t>Because we value our stockholders’ views on our independent auditor, at the Annual Meeting, we are asking our stockholders to ratify the appointment Deloitte as our independent registered public accounting firm for Fiscal 2027 even though the ratification is not required by our Amended and Restated Bylaws or otherwise. However, the Audit Committee will reconsider the appointment if our stockholders do not ratify it at the Annual Meeting. In addition, even if our stockholders ratify the selection, the Audit Committee, at its discretion, may direct the appointment of a different independent registered public accounting firm at any time during the year if it believes that a change would be in our best interests and the interest of our stockholders.</w:t>
      </w:r>
    </w:p>
    <w:p>
      <w:pPr>
        <w:spacing w:after="0" w:line="72" w:lineRule="exact"/>
        <w:rPr>
          <w:sz w:val="20"/>
          <w:szCs w:val="20"/>
          <w:color w:val="auto"/>
        </w:rPr>
      </w:pPr>
    </w:p>
    <w:p>
      <w:pPr>
        <w:jc w:val="both"/>
        <w:ind w:left="20"/>
        <w:spacing w:after="0" w:line="344" w:lineRule="auto"/>
        <w:rPr>
          <w:sz w:val="20"/>
          <w:szCs w:val="20"/>
          <w:color w:val="auto"/>
        </w:rPr>
      </w:pPr>
      <w:r>
        <w:rPr>
          <w:rFonts w:ascii="Arial" w:cs="Arial" w:eastAsia="Arial" w:hAnsi="Arial"/>
          <w:sz w:val="16"/>
          <w:szCs w:val="16"/>
          <w:color w:val="auto"/>
        </w:rPr>
        <w:t>Representatives of Deloitte are expected to attend the Annual Meeting and will have the opportunity to make statements if they desire to do so and to respond to appropriate questions.</w:t>
      </w:r>
    </w:p>
    <w:p>
      <w:pPr>
        <w:spacing w:after="0" w:line="40" w:lineRule="exact"/>
        <w:rPr>
          <w:sz w:val="20"/>
          <w:szCs w:val="20"/>
          <w:color w:val="auto"/>
        </w:rPr>
      </w:pPr>
    </w:p>
    <w:p>
      <w:pPr>
        <w:jc w:val="both"/>
        <w:ind w:left="20"/>
        <w:spacing w:after="0" w:line="308" w:lineRule="auto"/>
        <w:rPr>
          <w:sz w:val="20"/>
          <w:szCs w:val="20"/>
          <w:color w:val="auto"/>
        </w:rPr>
      </w:pPr>
      <w:r>
        <w:rPr>
          <w:rFonts w:ascii="Arial" w:cs="Arial" w:eastAsia="Arial" w:hAnsi="Arial"/>
          <w:sz w:val="16"/>
          <w:szCs w:val="16"/>
          <w:color w:val="auto"/>
        </w:rPr>
        <w:t>If a quorum is present, the affirmative vote of a majority of the votes cast at the Annual Meeting is required for ratification of our independent registered public accounting firm. Abstentions will be counted as present for purposes of determining the presence of a quorum but will not be considered as votes cast for or against this proposal and will therefore have no effect on the outcome of the vote.</w:t>
      </w:r>
    </w:p>
    <w:p>
      <w:pPr>
        <w:spacing w:after="0" w:line="68" w:lineRule="exact"/>
        <w:rPr>
          <w:sz w:val="20"/>
          <w:szCs w:val="20"/>
          <w:color w:val="auto"/>
        </w:rPr>
      </w:pPr>
    </w:p>
    <w:p>
      <w:pPr>
        <w:jc w:val="both"/>
        <w:ind w:left="20"/>
        <w:spacing w:after="0" w:line="344" w:lineRule="auto"/>
        <w:rPr>
          <w:sz w:val="20"/>
          <w:szCs w:val="20"/>
          <w:color w:val="auto"/>
        </w:rPr>
      </w:pPr>
      <w:r>
        <w:rPr>
          <w:rFonts w:ascii="Arial" w:cs="Arial" w:eastAsia="Arial" w:hAnsi="Arial"/>
          <w:sz w:val="16"/>
          <w:szCs w:val="16"/>
          <w:color w:val="auto"/>
        </w:rPr>
        <w:t>The Board of Directors unanimously recommends that the stockholders vote for the ratification of Deloitte as our independent registered public accounting firm for 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2265680</wp:posOffset>
            </wp:positionV>
            <wp:extent cx="5340350" cy="8312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340350" cy="8312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right="460"/>
        <w:spacing w:after="0" w:line="305" w:lineRule="auto"/>
        <w:rPr>
          <w:sz w:val="20"/>
          <w:szCs w:val="20"/>
          <w:color w:val="auto"/>
        </w:rPr>
      </w:pPr>
      <w:r>
        <w:rPr>
          <w:rFonts w:ascii="Arial" w:cs="Arial" w:eastAsia="Arial" w:hAnsi="Arial"/>
          <w:sz w:val="16"/>
          <w:szCs w:val="16"/>
          <w:b w:val="1"/>
          <w:bCs w:val="1"/>
          <w:color w:val="1B6F80"/>
        </w:rPr>
        <w:t>The Audit Committee has selected Deloitte as our independent registered public accounting firm to audit our financial statements for the fiscal year ending March 31, 2027.</w:t>
      </w:r>
    </w:p>
    <w:p>
      <w:pPr>
        <w:spacing w:after="0" w:line="3043" w:lineRule="exact"/>
        <w:rPr>
          <w:sz w:val="20"/>
          <w:szCs w:val="20"/>
          <w:color w:val="auto"/>
        </w:rPr>
      </w:pPr>
    </w:p>
    <w:p>
      <w:pPr>
        <w:sectPr>
          <w:pgSz w:w="11920" w:h="16838" w:orient="portrait"/>
          <w:cols w:equalWidth="0" w:num="2">
            <w:col w:w="8380" w:space="460"/>
            <w:col w:w="2400"/>
          </w:cols>
          <w:pgMar w:left="340" w:top="1079" w:right="33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20"/>
        <w:spacing w:after="0"/>
        <w:rPr>
          <w:sz w:val="20"/>
          <w:szCs w:val="20"/>
          <w:color w:val="auto"/>
        </w:rPr>
      </w:pPr>
      <w:r>
        <w:rPr>
          <w:rFonts w:ascii="Arial" w:cs="Arial" w:eastAsia="Arial" w:hAnsi="Arial"/>
          <w:sz w:val="23"/>
          <w:szCs w:val="23"/>
          <w:b w:val="1"/>
          <w:bCs w:val="1"/>
          <w:color w:val="181818"/>
        </w:rPr>
        <w:t xml:space="preserve">THE BOARD RECOMMENDS A VOTE </w:t>
      </w:r>
      <w:r>
        <w:rPr>
          <w:rFonts w:ascii="Arial" w:cs="Arial" w:eastAsia="Arial" w:hAnsi="Arial"/>
          <w:sz w:val="23"/>
          <w:szCs w:val="23"/>
          <w:b w:val="1"/>
          <w:bCs w:val="1"/>
          <w:color w:val="1B6F80"/>
        </w:rPr>
        <w:t>FOR</w:t>
      </w:r>
      <w:r>
        <w:rPr>
          <w:rFonts w:ascii="Arial" w:cs="Arial" w:eastAsia="Arial" w:hAnsi="Arial"/>
          <w:sz w:val="23"/>
          <w:szCs w:val="23"/>
          <w:b w:val="1"/>
          <w:bCs w:val="1"/>
          <w:color w:val="181818"/>
        </w:rPr>
        <w:t xml:space="preserve"> RATIFICATION OF</w:t>
      </w:r>
    </w:p>
    <w:p>
      <w:pPr>
        <w:spacing w:after="0" w:line="11" w:lineRule="exact"/>
        <w:rPr>
          <w:sz w:val="20"/>
          <w:szCs w:val="20"/>
          <w:color w:val="auto"/>
        </w:rPr>
      </w:pPr>
    </w:p>
    <w:p>
      <w:pPr>
        <w:ind w:left="1020" w:hanging="664"/>
        <w:spacing w:after="0"/>
        <w:tabs>
          <w:tab w:leader="none" w:pos="1020" w:val="left"/>
        </w:tabs>
        <w:numPr>
          <w:ilvl w:val="0"/>
          <w:numId w:val="71"/>
        </w:numPr>
        <w:rPr>
          <w:rFonts w:ascii="Arial" w:cs="Arial" w:eastAsia="Arial" w:hAnsi="Arial"/>
          <w:sz w:val="36"/>
          <w:szCs w:val="36"/>
          <w:b w:val="1"/>
          <w:bCs w:val="1"/>
          <w:color w:val="E5FF70"/>
        </w:rPr>
      </w:pPr>
      <w:r>
        <w:rPr>
          <w:rFonts w:ascii="Arial" w:cs="Arial" w:eastAsia="Arial" w:hAnsi="Arial"/>
          <w:sz w:val="23"/>
          <w:szCs w:val="23"/>
          <w:b w:val="1"/>
          <w:bCs w:val="1"/>
          <w:color w:val="181818"/>
        </w:rPr>
        <w:t>DELOITTE &amp; TOUCHE LLP AS</w:t>
      </w:r>
    </w:p>
    <w:p>
      <w:pPr>
        <w:ind w:left="1020" w:right="3280"/>
        <w:spacing w:after="0" w:line="287" w:lineRule="auto"/>
        <w:rPr>
          <w:rFonts w:ascii="Arial" w:cs="Arial" w:eastAsia="Arial" w:hAnsi="Arial"/>
          <w:sz w:val="36"/>
          <w:szCs w:val="36"/>
          <w:b w:val="1"/>
          <w:bCs w:val="1"/>
          <w:color w:val="E5FF70"/>
        </w:rPr>
      </w:pPr>
      <w:r>
        <w:rPr>
          <w:rFonts w:ascii="Arial" w:cs="Arial" w:eastAsia="Arial" w:hAnsi="Arial"/>
          <w:sz w:val="23"/>
          <w:szCs w:val="23"/>
          <w:b w:val="1"/>
          <w:bCs w:val="1"/>
          <w:color w:val="181818"/>
        </w:rPr>
        <w:t>OUR INDEPENDENT PUBLIC ACCOUNTING FIRM FOR 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452755</wp:posOffset>
            </wp:positionV>
            <wp:extent cx="71577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40"/>
          </w:cols>
          <w:pgMar w:left="340" w:top="1079" w:right="33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68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79" w:right="338" w:bottom="1440" w:gutter="0" w:footer="0" w:header="0"/>
          <w:type w:val="continuous"/>
        </w:sectPr>
      </w:pPr>
    </w:p>
    <w:bookmarkStart w:id="72" w:name="page73"/>
    <w:bookmarkEnd w:id="72"/>
    <w:p>
      <w:pPr>
        <w:ind w:left="1054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1B6F80"/>
        </w:rPr>
        <w:t>Audit-Related Matters</w:t>
      </w:r>
    </w:p>
    <w:p>
      <w:pPr>
        <w:spacing w:after="0" w:line="123" w:lineRule="exact"/>
        <w:rPr>
          <w:sz w:val="20"/>
          <w:szCs w:val="20"/>
          <w:color w:val="auto"/>
        </w:rPr>
      </w:pPr>
    </w:p>
    <w:p>
      <w:pPr>
        <w:ind w:left="7"/>
        <w:spacing w:after="0" w:line="344" w:lineRule="auto"/>
        <w:rPr>
          <w:sz w:val="20"/>
          <w:szCs w:val="20"/>
          <w:color w:val="auto"/>
        </w:rPr>
      </w:pPr>
      <w:r>
        <w:rPr>
          <w:rFonts w:ascii="Arial" w:cs="Arial" w:eastAsia="Arial" w:hAnsi="Arial"/>
          <w:sz w:val="16"/>
          <w:szCs w:val="16"/>
          <w:color w:val="auto"/>
        </w:rPr>
        <w:t>The Audit Committee met with Deloitte quarterly or more frequently during Fiscal 2026 and with Grant Thornton during Fiscal 2025. At such times, the Audit Committee reviewed the services performed by Deloitte and Grant Thornton and the fees charged for such services.</w:t>
      </w:r>
    </w:p>
    <w:p>
      <w:pPr>
        <w:spacing w:after="0" w:line="67"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Principal Accountant Fees and Services</w:t>
      </w:r>
    </w:p>
    <w:p>
      <w:pPr>
        <w:spacing w:after="0" w:line="150" w:lineRule="exact"/>
        <w:rPr>
          <w:sz w:val="20"/>
          <w:szCs w:val="20"/>
          <w:color w:val="auto"/>
        </w:rPr>
      </w:pPr>
    </w:p>
    <w:p>
      <w:pPr>
        <w:ind w:left="7"/>
        <w:spacing w:after="0" w:line="324" w:lineRule="auto"/>
        <w:rPr>
          <w:sz w:val="20"/>
          <w:szCs w:val="20"/>
          <w:color w:val="auto"/>
        </w:rPr>
      </w:pPr>
      <w:r>
        <w:rPr>
          <w:rFonts w:ascii="Arial" w:cs="Arial" w:eastAsia="Arial" w:hAnsi="Arial"/>
          <w:sz w:val="16"/>
          <w:szCs w:val="16"/>
          <w:i w:val="1"/>
          <w:iCs w:val="1"/>
          <w:color w:val="auto"/>
        </w:rPr>
        <w:t>The following table shows the aggregate fees we paid or accrued for the audit and other services provided by Grant Thornton for Fiscal 2026 and Fiscal 2025 and by Deloitte for Fiscal 2026.</w:t>
      </w:r>
    </w:p>
    <w:p>
      <w:pPr>
        <w:spacing w:after="0" w:line="66" w:lineRule="exact"/>
        <w:rPr>
          <w:sz w:val="20"/>
          <w:szCs w:val="20"/>
          <w:color w:val="auto"/>
        </w:rPr>
      </w:pPr>
    </w:p>
    <w:tbl>
      <w:tblPr>
        <w:tblLayout w:type="fixed"/>
        <w:tblInd w:w="17" w:type="dxa"/>
        <w:tblCellMar>
          <w:top w:w="0" w:type="dxa"/>
          <w:left w:w="0" w:type="dxa"/>
          <w:bottom w:w="0" w:type="dxa"/>
          <w:right w:w="0" w:type="dxa"/>
        </w:tblCellMar>
      </w:tblPr>
      <w:tr>
        <w:trPr>
          <w:trHeight w:val="201"/>
        </w:trPr>
        <w:tc>
          <w:tcPr>
            <w:tcW w:w="5940" w:type="dxa"/>
            <w:vAlign w:val="bottom"/>
            <w:tcBorders>
              <w:top w:val="single" w:sz="8" w:color="181818"/>
              <w:left w:val="single" w:sz="8" w:color="181818"/>
            </w:tcBorders>
            <w:shd w:val="clear" w:color="auto" w:fill="1B6F80"/>
          </w:tcPr>
          <w:p>
            <w:pPr>
              <w:spacing w:after="0"/>
              <w:rPr>
                <w:sz w:val="17"/>
                <w:szCs w:val="17"/>
                <w:color w:val="auto"/>
              </w:rPr>
            </w:pPr>
          </w:p>
        </w:tc>
        <w:tc>
          <w:tcPr>
            <w:tcW w:w="3620" w:type="dxa"/>
            <w:vAlign w:val="bottom"/>
            <w:tcBorders>
              <w:top w:val="single" w:sz="8" w:color="181818"/>
            </w:tcBorders>
            <w:shd w:val="clear" w:color="auto" w:fill="1B6F80"/>
          </w:tcPr>
          <w:p>
            <w:pPr>
              <w:jc w:val="right"/>
              <w:ind w:right="948"/>
              <w:spacing w:after="0"/>
              <w:rPr>
                <w:sz w:val="20"/>
                <w:szCs w:val="20"/>
                <w:color w:val="auto"/>
              </w:rPr>
            </w:pPr>
            <w:r>
              <w:rPr>
                <w:rFonts w:ascii="Arial" w:cs="Arial" w:eastAsia="Arial" w:hAnsi="Arial"/>
                <w:sz w:val="14"/>
                <w:szCs w:val="14"/>
                <w:b w:val="1"/>
                <w:bCs w:val="1"/>
                <w:color w:val="FFFFFF"/>
              </w:rPr>
              <w:t>2026</w:t>
            </w:r>
          </w:p>
        </w:tc>
        <w:tc>
          <w:tcPr>
            <w:tcW w:w="172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2025</w:t>
            </w:r>
          </w:p>
        </w:tc>
      </w:tr>
      <w:tr>
        <w:trPr>
          <w:trHeight w:val="202"/>
        </w:trPr>
        <w:tc>
          <w:tcPr>
            <w:tcW w:w="5940" w:type="dxa"/>
            <w:vAlign w:val="bottom"/>
            <w:tcBorders>
              <w:left w:val="single" w:sz="8" w:color="181818"/>
            </w:tcBorders>
            <w:shd w:val="clear" w:color="auto" w:fill="1B6F80"/>
          </w:tcPr>
          <w:p>
            <w:pPr>
              <w:spacing w:after="0"/>
              <w:rPr>
                <w:sz w:val="17"/>
                <w:szCs w:val="17"/>
                <w:color w:val="auto"/>
              </w:rPr>
            </w:pPr>
          </w:p>
        </w:tc>
        <w:tc>
          <w:tcPr>
            <w:tcW w:w="3620" w:type="dxa"/>
            <w:vAlign w:val="bottom"/>
            <w:shd w:val="clear" w:color="auto" w:fill="1B6F80"/>
          </w:tcPr>
          <w:p>
            <w:pPr>
              <w:jc w:val="right"/>
              <w:ind w:right="948"/>
              <w:spacing w:after="0"/>
              <w:rPr>
                <w:sz w:val="20"/>
                <w:szCs w:val="20"/>
                <w:color w:val="auto"/>
              </w:rPr>
            </w:pPr>
            <w:r>
              <w:rPr>
                <w:rFonts w:ascii="Arial" w:cs="Arial" w:eastAsia="Arial" w:hAnsi="Arial"/>
                <w:sz w:val="14"/>
                <w:szCs w:val="14"/>
                <w:b w:val="1"/>
                <w:bCs w:val="1"/>
                <w:color w:val="FFFFFF"/>
              </w:rPr>
              <w:t>($)</w:t>
            </w:r>
          </w:p>
        </w:tc>
        <w:tc>
          <w:tcPr>
            <w:tcW w:w="172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70"/>
        </w:trPr>
        <w:tc>
          <w:tcPr>
            <w:tcW w:w="5940" w:type="dxa"/>
            <w:vAlign w:val="bottom"/>
            <w:tcBorders>
              <w:left w:val="single" w:sz="8" w:color="181818"/>
            </w:tcBorders>
            <w:shd w:val="clear" w:color="auto" w:fill="1B6F80"/>
          </w:tcPr>
          <w:p>
            <w:pPr>
              <w:spacing w:after="0"/>
              <w:rPr>
                <w:sz w:val="6"/>
                <w:szCs w:val="6"/>
                <w:color w:val="auto"/>
              </w:rPr>
            </w:pPr>
          </w:p>
        </w:tc>
        <w:tc>
          <w:tcPr>
            <w:tcW w:w="3620" w:type="dxa"/>
            <w:vAlign w:val="bottom"/>
            <w:shd w:val="clear" w:color="auto" w:fill="1B6F80"/>
          </w:tcPr>
          <w:p>
            <w:pPr>
              <w:spacing w:after="0"/>
              <w:rPr>
                <w:sz w:val="6"/>
                <w:szCs w:val="6"/>
                <w:color w:val="auto"/>
              </w:rPr>
            </w:pPr>
          </w:p>
        </w:tc>
        <w:tc>
          <w:tcPr>
            <w:tcW w:w="1720" w:type="dxa"/>
            <w:vAlign w:val="bottom"/>
            <w:tcBorders>
              <w:right w:val="single" w:sz="8" w:color="181818"/>
            </w:tcBorders>
            <w:shd w:val="clear" w:color="auto" w:fill="1B6F80"/>
          </w:tcPr>
          <w:p>
            <w:pPr>
              <w:spacing w:after="0"/>
              <w:rPr>
                <w:sz w:val="6"/>
                <w:szCs w:val="6"/>
                <w:color w:val="auto"/>
              </w:rPr>
            </w:pPr>
          </w:p>
        </w:tc>
      </w:tr>
      <w:tr>
        <w:trPr>
          <w:trHeight w:val="331"/>
        </w:trPr>
        <w:tc>
          <w:tcPr>
            <w:tcW w:w="594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color w:val="auto"/>
              </w:rPr>
              <w:t xml:space="preserve">Audit fees related to Deloitte </w:t>
            </w:r>
            <w:r>
              <w:rPr>
                <w:rFonts w:ascii="Arial" w:cs="Arial" w:eastAsia="Arial" w:hAnsi="Arial"/>
                <w:sz w:val="18"/>
                <w:szCs w:val="18"/>
                <w:color w:val="auto"/>
                <w:vertAlign w:val="superscript"/>
              </w:rPr>
              <w:t>(1)</w:t>
            </w:r>
          </w:p>
        </w:tc>
        <w:tc>
          <w:tcPr>
            <w:tcW w:w="3620" w:type="dxa"/>
            <w:vAlign w:val="bottom"/>
            <w:tcBorders>
              <w:bottom w:val="single" w:sz="8" w:color="181818"/>
            </w:tcBorders>
          </w:tcPr>
          <w:p>
            <w:pPr>
              <w:jc w:val="right"/>
              <w:ind w:right="1008"/>
              <w:spacing w:after="0"/>
              <w:rPr>
                <w:sz w:val="20"/>
                <w:szCs w:val="20"/>
                <w:color w:val="auto"/>
              </w:rPr>
            </w:pPr>
            <w:r>
              <w:rPr>
                <w:rFonts w:ascii="Arial" w:cs="Arial" w:eastAsia="Arial" w:hAnsi="Arial"/>
                <w:sz w:val="14"/>
                <w:szCs w:val="14"/>
                <w:color w:val="auto"/>
              </w:rPr>
              <w:t>752,188</w:t>
            </w:r>
          </w:p>
        </w:tc>
        <w:tc>
          <w:tcPr>
            <w:tcW w:w="1720" w:type="dxa"/>
            <w:vAlign w:val="bottom"/>
            <w:tcBorders>
              <w:bottom w:val="single" w:sz="8" w:color="181818"/>
              <w:right w:val="single" w:sz="8" w:color="181818"/>
            </w:tcBorders>
          </w:tcPr>
          <w:p>
            <w:pPr>
              <w:jc w:val="right"/>
              <w:ind w:right="108"/>
              <w:spacing w:after="0"/>
              <w:rPr>
                <w:sz w:val="20"/>
                <w:szCs w:val="20"/>
                <w:color w:val="auto"/>
              </w:rPr>
            </w:pPr>
            <w:r>
              <w:rPr>
                <w:rFonts w:ascii="Arial" w:cs="Arial" w:eastAsia="Arial" w:hAnsi="Arial"/>
                <w:sz w:val="14"/>
                <w:szCs w:val="14"/>
                <w:color w:val="auto"/>
              </w:rPr>
              <w:t>—</w:t>
            </w:r>
          </w:p>
        </w:tc>
      </w:tr>
      <w:tr>
        <w:trPr>
          <w:trHeight w:val="321"/>
        </w:trPr>
        <w:tc>
          <w:tcPr>
            <w:tcW w:w="594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color w:val="auto"/>
              </w:rPr>
              <w:t xml:space="preserve">Audit fees related to Grant Thornton </w:t>
            </w:r>
            <w:r>
              <w:rPr>
                <w:rFonts w:ascii="Arial" w:cs="Arial" w:eastAsia="Arial" w:hAnsi="Arial"/>
                <w:sz w:val="18"/>
                <w:szCs w:val="18"/>
                <w:color w:val="auto"/>
                <w:vertAlign w:val="superscript"/>
              </w:rPr>
              <w:t>(1)</w:t>
            </w:r>
          </w:p>
        </w:tc>
        <w:tc>
          <w:tcPr>
            <w:tcW w:w="3620" w:type="dxa"/>
            <w:vAlign w:val="bottom"/>
            <w:tcBorders>
              <w:bottom w:val="single" w:sz="8" w:color="181818"/>
            </w:tcBorders>
          </w:tcPr>
          <w:p>
            <w:pPr>
              <w:jc w:val="right"/>
              <w:ind w:right="1008"/>
              <w:spacing w:after="0"/>
              <w:rPr>
                <w:sz w:val="20"/>
                <w:szCs w:val="20"/>
                <w:color w:val="auto"/>
              </w:rPr>
            </w:pPr>
            <w:r>
              <w:rPr>
                <w:rFonts w:ascii="Arial" w:cs="Arial" w:eastAsia="Arial" w:hAnsi="Arial"/>
                <w:sz w:val="14"/>
                <w:szCs w:val="14"/>
                <w:color w:val="auto"/>
              </w:rPr>
              <w:t>130,000</w:t>
            </w:r>
          </w:p>
        </w:tc>
        <w:tc>
          <w:tcPr>
            <w:tcW w:w="1720" w:type="dxa"/>
            <w:vAlign w:val="bottom"/>
            <w:tcBorders>
              <w:bottom w:val="single" w:sz="8" w:color="181818"/>
              <w:right w:val="single" w:sz="8" w:color="181818"/>
            </w:tcBorders>
          </w:tcPr>
          <w:p>
            <w:pPr>
              <w:jc w:val="right"/>
              <w:ind w:right="108"/>
              <w:spacing w:after="0"/>
              <w:rPr>
                <w:sz w:val="20"/>
                <w:szCs w:val="20"/>
                <w:color w:val="auto"/>
              </w:rPr>
            </w:pPr>
            <w:r>
              <w:rPr>
                <w:rFonts w:ascii="Arial" w:cs="Arial" w:eastAsia="Arial" w:hAnsi="Arial"/>
                <w:sz w:val="14"/>
                <w:szCs w:val="14"/>
                <w:color w:val="auto"/>
              </w:rPr>
              <w:t>663,030</w:t>
            </w:r>
          </w:p>
        </w:tc>
      </w:tr>
      <w:tr>
        <w:trPr>
          <w:trHeight w:val="258"/>
        </w:trPr>
        <w:tc>
          <w:tcPr>
            <w:tcW w:w="59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 xml:space="preserve">Audit-related fees </w:t>
            </w:r>
            <w:r>
              <w:rPr>
                <w:rFonts w:ascii="Arial" w:cs="Arial" w:eastAsia="Arial" w:hAnsi="Arial"/>
                <w:sz w:val="9"/>
                <w:szCs w:val="9"/>
                <w:color w:val="auto"/>
              </w:rPr>
              <w:t>(2)</w:t>
            </w:r>
          </w:p>
        </w:tc>
        <w:tc>
          <w:tcPr>
            <w:tcW w:w="362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172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w:t>
            </w:r>
          </w:p>
        </w:tc>
      </w:tr>
      <w:tr>
        <w:trPr>
          <w:trHeight w:val="76"/>
        </w:trPr>
        <w:tc>
          <w:tcPr>
            <w:tcW w:w="5940" w:type="dxa"/>
            <w:vAlign w:val="bottom"/>
            <w:tcBorders>
              <w:left w:val="single" w:sz="8" w:color="181818"/>
              <w:bottom w:val="single" w:sz="8" w:color="181818"/>
            </w:tcBorders>
          </w:tcPr>
          <w:p>
            <w:pPr>
              <w:spacing w:after="0"/>
              <w:rPr>
                <w:sz w:val="6"/>
                <w:szCs w:val="6"/>
                <w:color w:val="auto"/>
              </w:rPr>
            </w:pPr>
          </w:p>
        </w:tc>
        <w:tc>
          <w:tcPr>
            <w:tcW w:w="3620" w:type="dxa"/>
            <w:vAlign w:val="bottom"/>
            <w:tcBorders>
              <w:bottom w:val="single" w:sz="8" w:color="181818"/>
            </w:tcBorders>
          </w:tcPr>
          <w:p>
            <w:pPr>
              <w:spacing w:after="0"/>
              <w:rPr>
                <w:sz w:val="6"/>
                <w:szCs w:val="6"/>
                <w:color w:val="auto"/>
              </w:rPr>
            </w:pPr>
          </w:p>
        </w:tc>
        <w:tc>
          <w:tcPr>
            <w:tcW w:w="1720" w:type="dxa"/>
            <w:vAlign w:val="bottom"/>
            <w:tcBorders>
              <w:bottom w:val="single" w:sz="8" w:color="181818"/>
              <w:right w:val="single" w:sz="8" w:color="181818"/>
            </w:tcBorders>
          </w:tcPr>
          <w:p>
            <w:pPr>
              <w:spacing w:after="0"/>
              <w:rPr>
                <w:sz w:val="6"/>
                <w:szCs w:val="6"/>
                <w:color w:val="auto"/>
              </w:rPr>
            </w:pPr>
          </w:p>
        </w:tc>
      </w:tr>
      <w:tr>
        <w:trPr>
          <w:trHeight w:val="255"/>
        </w:trPr>
        <w:tc>
          <w:tcPr>
            <w:tcW w:w="594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 xml:space="preserve">Tax fees </w:t>
            </w:r>
            <w:r>
              <w:rPr>
                <w:rFonts w:ascii="Arial" w:cs="Arial" w:eastAsia="Arial" w:hAnsi="Arial"/>
                <w:sz w:val="9"/>
                <w:szCs w:val="9"/>
                <w:color w:val="auto"/>
              </w:rPr>
              <w:t>(3)</w:t>
            </w:r>
          </w:p>
        </w:tc>
        <w:tc>
          <w:tcPr>
            <w:tcW w:w="362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1720" w:type="dxa"/>
            <w:vAlign w:val="bottom"/>
            <w:tcBorders>
              <w:right w:val="single" w:sz="8" w:color="181818"/>
            </w:tcBorders>
          </w:tcPr>
          <w:p>
            <w:pPr>
              <w:jc w:val="right"/>
              <w:ind w:right="108"/>
              <w:spacing w:after="0"/>
              <w:rPr>
                <w:sz w:val="20"/>
                <w:szCs w:val="20"/>
                <w:color w:val="auto"/>
              </w:rPr>
            </w:pPr>
            <w:r>
              <w:rPr>
                <w:rFonts w:ascii="Arial" w:cs="Arial" w:eastAsia="Arial" w:hAnsi="Arial"/>
                <w:sz w:val="14"/>
                <w:szCs w:val="14"/>
                <w:color w:val="auto"/>
              </w:rPr>
              <w:t>—</w:t>
            </w:r>
          </w:p>
        </w:tc>
      </w:tr>
      <w:tr>
        <w:trPr>
          <w:trHeight w:val="76"/>
        </w:trPr>
        <w:tc>
          <w:tcPr>
            <w:tcW w:w="5940" w:type="dxa"/>
            <w:vAlign w:val="bottom"/>
            <w:tcBorders>
              <w:left w:val="single" w:sz="8" w:color="181818"/>
              <w:bottom w:val="single" w:sz="8" w:color="181818"/>
            </w:tcBorders>
          </w:tcPr>
          <w:p>
            <w:pPr>
              <w:spacing w:after="0"/>
              <w:rPr>
                <w:sz w:val="6"/>
                <w:szCs w:val="6"/>
                <w:color w:val="auto"/>
              </w:rPr>
            </w:pPr>
          </w:p>
        </w:tc>
        <w:tc>
          <w:tcPr>
            <w:tcW w:w="3620" w:type="dxa"/>
            <w:vAlign w:val="bottom"/>
            <w:tcBorders>
              <w:bottom w:val="single" w:sz="8" w:color="181818"/>
            </w:tcBorders>
          </w:tcPr>
          <w:p>
            <w:pPr>
              <w:spacing w:after="0"/>
              <w:rPr>
                <w:sz w:val="6"/>
                <w:szCs w:val="6"/>
                <w:color w:val="auto"/>
              </w:rPr>
            </w:pPr>
          </w:p>
        </w:tc>
        <w:tc>
          <w:tcPr>
            <w:tcW w:w="1720" w:type="dxa"/>
            <w:vAlign w:val="bottom"/>
            <w:tcBorders>
              <w:bottom w:val="single" w:sz="8" w:color="181818"/>
              <w:right w:val="single" w:sz="8" w:color="181818"/>
            </w:tcBorders>
          </w:tcPr>
          <w:p>
            <w:pPr>
              <w:spacing w:after="0"/>
              <w:rPr>
                <w:sz w:val="6"/>
                <w:szCs w:val="6"/>
                <w:color w:val="auto"/>
              </w:rPr>
            </w:pPr>
          </w:p>
        </w:tc>
      </w:tr>
      <w:tr>
        <w:trPr>
          <w:trHeight w:val="325"/>
        </w:trPr>
        <w:tc>
          <w:tcPr>
            <w:tcW w:w="594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color w:val="auto"/>
              </w:rPr>
              <w:t xml:space="preserve">All other fees </w:t>
            </w:r>
            <w:r>
              <w:rPr>
                <w:rFonts w:ascii="Arial" w:cs="Arial" w:eastAsia="Arial" w:hAnsi="Arial"/>
                <w:sz w:val="18"/>
                <w:szCs w:val="18"/>
                <w:color w:val="auto"/>
                <w:vertAlign w:val="superscript"/>
              </w:rPr>
              <w:t>(4)</w:t>
            </w:r>
          </w:p>
        </w:tc>
        <w:tc>
          <w:tcPr>
            <w:tcW w:w="3620" w:type="dxa"/>
            <w:vAlign w:val="bottom"/>
            <w:tcBorders>
              <w:bottom w:val="single" w:sz="8" w:color="181818"/>
            </w:tcBorders>
          </w:tcPr>
          <w:p>
            <w:pPr>
              <w:jc w:val="right"/>
              <w:ind w:right="100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181818"/>
              <w:right w:val="single" w:sz="8" w:color="181818"/>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68"/>
        </w:trPr>
        <w:tc>
          <w:tcPr>
            <w:tcW w:w="5940" w:type="dxa"/>
            <w:vAlign w:val="bottom"/>
            <w:tcBorders>
              <w:left w:val="single" w:sz="8" w:color="181818"/>
            </w:tcBorders>
          </w:tcPr>
          <w:p>
            <w:pPr>
              <w:ind w:left="100"/>
              <w:spacing w:after="0"/>
              <w:rPr>
                <w:sz w:val="20"/>
                <w:szCs w:val="20"/>
                <w:color w:val="auto"/>
              </w:rPr>
            </w:pPr>
            <w:r>
              <w:rPr>
                <w:rFonts w:ascii="Arial" w:cs="Arial" w:eastAsia="Arial" w:hAnsi="Arial"/>
                <w:sz w:val="14"/>
                <w:szCs w:val="14"/>
                <w:b w:val="1"/>
                <w:bCs w:val="1"/>
                <w:color w:val="181818"/>
              </w:rPr>
              <w:t>Total</w:t>
            </w:r>
          </w:p>
        </w:tc>
        <w:tc>
          <w:tcPr>
            <w:tcW w:w="3620" w:type="dxa"/>
            <w:vAlign w:val="bottom"/>
          </w:tcPr>
          <w:p>
            <w:pPr>
              <w:jc w:val="right"/>
              <w:ind w:right="1008"/>
              <w:spacing w:after="0"/>
              <w:rPr>
                <w:sz w:val="20"/>
                <w:szCs w:val="20"/>
                <w:color w:val="auto"/>
              </w:rPr>
            </w:pPr>
            <w:r>
              <w:rPr>
                <w:rFonts w:ascii="Arial" w:cs="Arial" w:eastAsia="Arial" w:hAnsi="Arial"/>
                <w:sz w:val="14"/>
                <w:szCs w:val="14"/>
                <w:b w:val="1"/>
                <w:bCs w:val="1"/>
                <w:color w:val="181818"/>
              </w:rPr>
              <w:t>882,188</w:t>
            </w:r>
          </w:p>
        </w:tc>
        <w:tc>
          <w:tcPr>
            <w:tcW w:w="172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b w:val="1"/>
                <w:bCs w:val="1"/>
                <w:color w:val="181818"/>
              </w:rPr>
              <w:t>663,030</w:t>
            </w:r>
          </w:p>
        </w:tc>
      </w:tr>
      <w:tr>
        <w:trPr>
          <w:trHeight w:val="70"/>
        </w:trPr>
        <w:tc>
          <w:tcPr>
            <w:tcW w:w="5940" w:type="dxa"/>
            <w:vAlign w:val="bottom"/>
            <w:tcBorders>
              <w:left w:val="single" w:sz="8" w:color="181818"/>
              <w:bottom w:val="single" w:sz="8" w:color="181818"/>
            </w:tcBorders>
          </w:tcPr>
          <w:p>
            <w:pPr>
              <w:spacing w:after="0"/>
              <w:rPr>
                <w:sz w:val="6"/>
                <w:szCs w:val="6"/>
                <w:color w:val="auto"/>
              </w:rPr>
            </w:pPr>
          </w:p>
        </w:tc>
        <w:tc>
          <w:tcPr>
            <w:tcW w:w="3620" w:type="dxa"/>
            <w:vAlign w:val="bottom"/>
            <w:tcBorders>
              <w:bottom w:val="single" w:sz="8" w:color="181818"/>
            </w:tcBorders>
          </w:tcPr>
          <w:p>
            <w:pPr>
              <w:spacing w:after="0"/>
              <w:rPr>
                <w:sz w:val="6"/>
                <w:szCs w:val="6"/>
                <w:color w:val="auto"/>
              </w:rPr>
            </w:pPr>
          </w:p>
        </w:tc>
        <w:tc>
          <w:tcPr>
            <w:tcW w:w="1720" w:type="dxa"/>
            <w:vAlign w:val="bottom"/>
            <w:tcBorders>
              <w:bottom w:val="single" w:sz="8" w:color="181818"/>
              <w:right w:val="single" w:sz="8" w:color="181818"/>
            </w:tcBorders>
          </w:tcPr>
          <w:p>
            <w:pPr>
              <w:spacing w:after="0"/>
              <w:rPr>
                <w:sz w:val="6"/>
                <w:szCs w:val="6"/>
                <w:color w:val="auto"/>
              </w:rPr>
            </w:pPr>
          </w:p>
        </w:tc>
      </w:tr>
    </w:tbl>
    <w:p>
      <w:pPr>
        <w:spacing w:after="0" w:line="149" w:lineRule="exact"/>
        <w:rPr>
          <w:sz w:val="20"/>
          <w:szCs w:val="20"/>
          <w:color w:val="auto"/>
        </w:rPr>
      </w:pPr>
    </w:p>
    <w:p>
      <w:pPr>
        <w:ind w:left="327" w:right="300" w:hanging="327"/>
        <w:spacing w:after="0" w:line="311" w:lineRule="auto"/>
        <w:tabs>
          <w:tab w:leader="none" w:pos="315" w:val="left"/>
        </w:tabs>
        <w:numPr>
          <w:ilvl w:val="0"/>
          <w:numId w:val="72"/>
        </w:numPr>
        <w:rPr>
          <w:rFonts w:ascii="Arial" w:cs="Arial" w:eastAsia="Arial" w:hAnsi="Arial"/>
          <w:sz w:val="14"/>
          <w:szCs w:val="14"/>
          <w:b w:val="1"/>
          <w:bCs w:val="1"/>
          <w:color w:val="181818"/>
        </w:rPr>
      </w:pPr>
      <w:r>
        <w:rPr>
          <w:rFonts w:ascii="Arial" w:cs="Arial" w:eastAsia="Arial" w:hAnsi="Arial"/>
          <w:sz w:val="14"/>
          <w:szCs w:val="14"/>
          <w:color w:val="auto"/>
        </w:rPr>
        <w:t>Audit Fees: Audit fees consist of fees billed for the audit of our annual consolidated financial statements, the review of the interim consolidated financial statements, and related services normally provided in connection with registration statements.</w:t>
      </w:r>
    </w:p>
    <w:p>
      <w:pPr>
        <w:spacing w:after="0" w:line="14" w:lineRule="exact"/>
        <w:rPr>
          <w:rFonts w:ascii="Arial" w:cs="Arial" w:eastAsia="Arial" w:hAnsi="Arial"/>
          <w:sz w:val="14"/>
          <w:szCs w:val="14"/>
          <w:b w:val="1"/>
          <w:bCs w:val="1"/>
          <w:color w:val="181818"/>
        </w:rPr>
      </w:pPr>
    </w:p>
    <w:p>
      <w:pPr>
        <w:ind w:left="287" w:hanging="287"/>
        <w:spacing w:after="0"/>
        <w:tabs>
          <w:tab w:leader="none" w:pos="287" w:val="left"/>
        </w:tabs>
        <w:numPr>
          <w:ilvl w:val="0"/>
          <w:numId w:val="72"/>
        </w:numPr>
        <w:rPr>
          <w:rFonts w:ascii="Arial" w:cs="Arial" w:eastAsia="Arial" w:hAnsi="Arial"/>
          <w:sz w:val="14"/>
          <w:szCs w:val="14"/>
          <w:b w:val="1"/>
          <w:bCs w:val="1"/>
          <w:color w:val="181818"/>
        </w:rPr>
      </w:pPr>
      <w:r>
        <w:rPr>
          <w:rFonts w:ascii="Arial" w:cs="Arial" w:eastAsia="Arial" w:hAnsi="Arial"/>
          <w:sz w:val="14"/>
          <w:szCs w:val="14"/>
          <w:color w:val="auto"/>
        </w:rPr>
        <w:t>Audit-Related Fees: We did not incur any audit-related fees in Fiscal 2026 or Fiscal 2025.</w:t>
      </w:r>
    </w:p>
    <w:p>
      <w:pPr>
        <w:spacing w:after="0" w:line="82" w:lineRule="exact"/>
        <w:rPr>
          <w:rFonts w:ascii="Arial" w:cs="Arial" w:eastAsia="Arial" w:hAnsi="Arial"/>
          <w:sz w:val="14"/>
          <w:szCs w:val="14"/>
          <w:b w:val="1"/>
          <w:bCs w:val="1"/>
          <w:color w:val="181818"/>
        </w:rPr>
      </w:pPr>
    </w:p>
    <w:p>
      <w:pPr>
        <w:ind w:left="287" w:hanging="287"/>
        <w:spacing w:after="0"/>
        <w:tabs>
          <w:tab w:leader="none" w:pos="287" w:val="left"/>
        </w:tabs>
        <w:numPr>
          <w:ilvl w:val="0"/>
          <w:numId w:val="72"/>
        </w:numPr>
        <w:rPr>
          <w:rFonts w:ascii="Arial" w:cs="Arial" w:eastAsia="Arial" w:hAnsi="Arial"/>
          <w:sz w:val="14"/>
          <w:szCs w:val="14"/>
          <w:b w:val="1"/>
          <w:bCs w:val="1"/>
          <w:color w:val="181818"/>
        </w:rPr>
      </w:pPr>
      <w:r>
        <w:rPr>
          <w:rFonts w:ascii="Arial" w:cs="Arial" w:eastAsia="Arial" w:hAnsi="Arial"/>
          <w:sz w:val="14"/>
          <w:szCs w:val="14"/>
          <w:color w:val="auto"/>
        </w:rPr>
        <w:t>Tax Fees: We did not incur any tax fees in Fiscal 2026 or Fiscal 2025.</w:t>
      </w:r>
    </w:p>
    <w:p>
      <w:pPr>
        <w:spacing w:after="0" w:line="95" w:lineRule="exact"/>
        <w:rPr>
          <w:rFonts w:ascii="Arial" w:cs="Arial" w:eastAsia="Arial" w:hAnsi="Arial"/>
          <w:sz w:val="14"/>
          <w:szCs w:val="14"/>
          <w:b w:val="1"/>
          <w:bCs w:val="1"/>
          <w:color w:val="181818"/>
        </w:rPr>
      </w:pPr>
    </w:p>
    <w:p>
      <w:pPr>
        <w:ind w:left="287" w:hanging="287"/>
        <w:spacing w:after="0"/>
        <w:tabs>
          <w:tab w:leader="none" w:pos="287" w:val="left"/>
        </w:tabs>
        <w:numPr>
          <w:ilvl w:val="0"/>
          <w:numId w:val="72"/>
        </w:numPr>
        <w:rPr>
          <w:rFonts w:ascii="Arial" w:cs="Arial" w:eastAsia="Arial" w:hAnsi="Arial"/>
          <w:sz w:val="14"/>
          <w:szCs w:val="14"/>
          <w:b w:val="1"/>
          <w:bCs w:val="1"/>
          <w:color w:val="181818"/>
        </w:rPr>
      </w:pPr>
      <w:r>
        <w:rPr>
          <w:rFonts w:ascii="Arial" w:cs="Arial" w:eastAsia="Arial" w:hAnsi="Arial"/>
          <w:sz w:val="14"/>
          <w:szCs w:val="14"/>
          <w:color w:val="auto"/>
        </w:rPr>
        <w:t>All Other Fees: We did not incur any other fees in Fiscal 2026 or Fiscal 2025.</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Policy on Audit Committee Pre-Approval of Audit and Permitted Non-Audit Services of Independent Auditors</w:t>
      </w:r>
    </w:p>
    <w:p>
      <w:pPr>
        <w:spacing w:after="0" w:line="148" w:lineRule="exact"/>
        <w:rPr>
          <w:sz w:val="20"/>
          <w:szCs w:val="20"/>
          <w:color w:val="auto"/>
        </w:rPr>
      </w:pPr>
    </w:p>
    <w:p>
      <w:pPr>
        <w:jc w:val="both"/>
        <w:ind w:left="7"/>
        <w:spacing w:after="0" w:line="308" w:lineRule="auto"/>
        <w:rPr>
          <w:sz w:val="20"/>
          <w:szCs w:val="20"/>
          <w:color w:val="auto"/>
        </w:rPr>
      </w:pPr>
      <w:r>
        <w:rPr>
          <w:rFonts w:ascii="Arial" w:cs="Arial" w:eastAsia="Arial" w:hAnsi="Arial"/>
          <w:sz w:val="16"/>
          <w:szCs w:val="16"/>
          <w:color w:val="auto"/>
        </w:rPr>
        <w:t>The Audit Committee has determined that all services provided by Deloitte in Fiscal 2026 and Grant Thornton in Fiscal 2025 and 2026 are compatible with maintaining the independence of such audit firm. The Audit Committee charter requires advance approval of all auditing services and permitted non-audit services (including the fees and terms thereof) to be performed for us by our independent registered public accounting firm, subject to any exception permitted by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372110</wp:posOffset>
            </wp:positionV>
            <wp:extent cx="71577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Proposal 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 xml:space="preserve">Report of the Audit Committee </w:t>
      </w:r>
      <w:r>
        <w:rPr>
          <w:rFonts w:ascii="Arial" w:cs="Arial" w:eastAsia="Arial" w:hAnsi="Arial"/>
          <w:sz w:val="30"/>
          <w:szCs w:val="30"/>
          <w:b w:val="1"/>
          <w:bCs w:val="1"/>
          <w:color w:val="1B6F80"/>
          <w:vertAlign w:val="superscript"/>
        </w:rPr>
        <w:t>(1)</w:t>
      </w:r>
    </w:p>
    <w:p>
      <w:pPr>
        <w:spacing w:after="0" w:line="63"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The following is the report of our Audit Committee with respect to our audited financial statements included in our Annual Report on Form 10-K for Fiscal 2026, filed with the SEC on June 25, 2026.</w:t>
      </w:r>
    </w:p>
    <w:p>
      <w:pPr>
        <w:spacing w:after="0" w:line="5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Audit Committee currently consists of three directors, each of whom is an “independent director” as defined under the listing standards of Nasdaq and the rules and regulations of the SEC. The Board has determined that both Mark Fleischhauer and William Heard are ‘‘audit committee financial experts’’ within the meaning of rules adopted by the SEC. The Audit Committee acts pursuant to a written charter by our Board. A copy of the charter is available on our investor relations website, investors.anterix.com.</w:t>
      </w:r>
    </w:p>
    <w:p>
      <w:pPr>
        <w:spacing w:after="0" w:line="6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Our Audit Committee oversees our financial reporting process on behalf of our Board. Management is responsible for the financial statements and the reporting process, including internal control systems. Our independent registered public accounting firm for Fiscal 2026, Deloitte, was responsible for expressing an opinion on the conformity of our audited financial statements with accounting principles generally accepted in the United States of America.</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Review with Management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reviewed and discussed the audited financial statements with Company management.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Review and Discussions with Independent Accountants</w:t>
      </w:r>
    </w:p>
    <w:p>
      <w:pPr>
        <w:spacing w:after="0" w:line="1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Audit Committee met with Deloitte to review the financial statements included in the Annual Report. The Audit Committee discussed with a representative of Deloitte the matters required to be discussed under the rules adopted by the Public Company Accounting Oversight Board ("PCAOB"), including General Auditing Standards 1301, Communications with Audit Committees. In addition, the Audit Committee met with Deloitte, with and without management present, to discuss the overall scope of Deloitte’s audit, the results of its examinations and the overall quality of our financial reporting. The Audit Committee received the written disclosures and the letter from Deloitte required by Rule 3526 of the PCAOB, Communication with Audit Committee Concerning Independence, and has discussed with Deloitte its independence and satisfied itself as to the independence of Deloitte.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09314A"/>
        </w:rPr>
        <w:t>Conclusion</w:t>
      </w:r>
    </w:p>
    <w:p>
      <w:pPr>
        <w:spacing w:after="0" w:line="14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Based on the above review, discussions, and representations received, the Audit Committee recommended to the Board (and the Board subsequently approved) that the audited financial statements for Fiscal 2026, be included in our Annual Report for filing with the SEC and furnished to stockholders with this Notice and Proxy Statement.</w:t>
      </w:r>
    </w:p>
    <w:p>
      <w:pPr>
        <w:spacing w:after="0" w:line="45"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In addition, the Audit Committee selected Deloitte as our independent registered public accounting firm for Fiscal 2027. The Board recommends that our stockholders ratify and approve the selection of Deloitte as our independent registered public accounting firm for Fiscal 2027.</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of the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Mark A. Fleischhauer, Chair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William E. Heard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Mahvash Yazdi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967740</wp:posOffset>
            </wp:positionV>
            <wp:extent cx="294894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right="320" w:hanging="329"/>
        <w:spacing w:after="0" w:line="296" w:lineRule="auto"/>
        <w:tabs>
          <w:tab w:leader="none" w:pos="328" w:val="left"/>
        </w:tabs>
        <w:numPr>
          <w:ilvl w:val="0"/>
          <w:numId w:val="73"/>
        </w:numPr>
        <w:rPr>
          <w:rFonts w:ascii="Arial" w:cs="Arial" w:eastAsia="Arial" w:hAnsi="Arial"/>
          <w:sz w:val="14"/>
          <w:szCs w:val="14"/>
          <w:b w:val="1"/>
          <w:bCs w:val="1"/>
          <w:color w:val="181818"/>
        </w:rPr>
      </w:pPr>
      <w:r>
        <w:rPr>
          <w:rFonts w:ascii="Arial" w:cs="Arial" w:eastAsia="Arial" w:hAnsi="Arial"/>
          <w:sz w:val="14"/>
          <w:szCs w:val="14"/>
          <w:color w:val="auto"/>
        </w:rPr>
        <w:t>The information contained in this Audit Committee report shall not be deemed to be “soliciting material” or to be “filed” with the SEC, nor shall such information be incorporated by reference into any future filing under the Securities Act or the Exchange Act, except to the extent that we specifically incorporate it by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444500</wp:posOffset>
            </wp:positionV>
            <wp:extent cx="71577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70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74" w:name="page75"/>
    <w:bookmarkEnd w:id="74"/>
    <w:p>
      <w:pPr>
        <w:ind w:left="7"/>
        <w:spacing w:after="0"/>
        <w:rPr>
          <w:sz w:val="20"/>
          <w:szCs w:val="20"/>
          <w:color w:val="auto"/>
        </w:rPr>
      </w:pPr>
      <w:r>
        <w:rPr>
          <w:rFonts w:ascii="Arial" w:cs="Arial" w:eastAsia="Arial" w:hAnsi="Arial"/>
          <w:sz w:val="41"/>
          <w:szCs w:val="41"/>
          <w:b w:val="1"/>
          <w:bCs w:val="1"/>
          <w:color w:val="181818"/>
        </w:rPr>
        <w:t>Stock Ownership</w:t>
      </w:r>
    </w:p>
    <w:p>
      <w:pPr>
        <w:spacing w:after="0" w:line="230"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1B6F80"/>
        </w:rPr>
        <w:t>Security Ownership of Certain Beneficial Owners and Management</w:t>
      </w:r>
    </w:p>
    <w:p>
      <w:pPr>
        <w:spacing w:after="0" w:line="139" w:lineRule="exact"/>
        <w:rPr>
          <w:sz w:val="20"/>
          <w:szCs w:val="20"/>
          <w:color w:val="auto"/>
        </w:rPr>
      </w:pPr>
    </w:p>
    <w:p>
      <w:pPr>
        <w:jc w:val="both"/>
        <w:ind w:left="7"/>
        <w:spacing w:after="0" w:line="305" w:lineRule="auto"/>
        <w:rPr>
          <w:sz w:val="20"/>
          <w:szCs w:val="20"/>
          <w:color w:val="auto"/>
        </w:rPr>
      </w:pPr>
      <w:r>
        <w:rPr>
          <w:rFonts w:ascii="Arial" w:cs="Arial" w:eastAsia="Arial" w:hAnsi="Arial"/>
          <w:sz w:val="16"/>
          <w:szCs w:val="16"/>
          <w:i w:val="1"/>
          <w:iCs w:val="1"/>
          <w:color w:val="auto"/>
        </w:rPr>
        <w:t>The following table sets forth information about the beneficial ownership of our common stock by: (i) each of our directors and director nominees; (ii) each of our NEOs; (iii) all our directors and executive officers as a group; and (iv) each person or group known by us to own more than 5% of our common stock. The percentages reflect beneficial ownership, as determined in accordance with the SEC’s rules, as of June 11, 2026, and are based on 19,261,270 shares of common stock outstanding as of June 11, 2026. Except as noted below, the address for all beneficial owners in the table below is 3 Garret Mountain Plaza, Suite 401, Woodland Park, New Jersey 07424.</w:t>
      </w:r>
    </w:p>
    <w:p>
      <w:pPr>
        <w:spacing w:after="0" w:line="83" w:lineRule="exact"/>
        <w:rPr>
          <w:sz w:val="20"/>
          <w:szCs w:val="20"/>
          <w:color w:val="auto"/>
        </w:rPr>
      </w:pPr>
    </w:p>
    <w:tbl>
      <w:tblPr>
        <w:tblLayout w:type="fixed"/>
        <w:tblInd w:w="17" w:type="dxa"/>
        <w:tblCellMar>
          <w:top w:w="0" w:type="dxa"/>
          <w:left w:w="0" w:type="dxa"/>
          <w:bottom w:w="0" w:type="dxa"/>
          <w:right w:w="0" w:type="dxa"/>
        </w:tblCellMar>
      </w:tblPr>
      <w:tr>
        <w:trPr>
          <w:trHeight w:val="201"/>
        </w:trPr>
        <w:tc>
          <w:tcPr>
            <w:tcW w:w="6980" w:type="dxa"/>
            <w:vAlign w:val="bottom"/>
            <w:tcBorders>
              <w:top w:val="single" w:sz="8" w:color="181818"/>
              <w:left w:val="single" w:sz="8" w:color="181818"/>
            </w:tcBorders>
            <w:shd w:val="clear" w:color="auto" w:fill="1B6F80"/>
          </w:tcPr>
          <w:p>
            <w:pPr>
              <w:spacing w:after="0"/>
              <w:rPr>
                <w:sz w:val="17"/>
                <w:szCs w:val="17"/>
                <w:color w:val="auto"/>
              </w:rPr>
            </w:pPr>
          </w:p>
        </w:tc>
        <w:tc>
          <w:tcPr>
            <w:tcW w:w="2860" w:type="dxa"/>
            <w:vAlign w:val="bottom"/>
            <w:tcBorders>
              <w:top w:val="single" w:sz="8" w:color="181818"/>
            </w:tcBorders>
            <w:shd w:val="clear" w:color="auto" w:fill="1B6F80"/>
          </w:tcPr>
          <w:p>
            <w:pPr>
              <w:jc w:val="right"/>
              <w:ind w:right="530"/>
              <w:spacing w:after="0"/>
              <w:rPr>
                <w:sz w:val="20"/>
                <w:szCs w:val="20"/>
                <w:color w:val="auto"/>
              </w:rPr>
            </w:pPr>
            <w:r>
              <w:rPr>
                <w:rFonts w:ascii="Arial" w:cs="Arial" w:eastAsia="Arial" w:hAnsi="Arial"/>
                <w:sz w:val="14"/>
                <w:szCs w:val="14"/>
                <w:b w:val="1"/>
                <w:bCs w:val="1"/>
                <w:color w:val="FFFFFF"/>
              </w:rPr>
              <w:t>Amount and Nature of</w:t>
            </w:r>
          </w:p>
        </w:tc>
        <w:tc>
          <w:tcPr>
            <w:tcW w:w="1440" w:type="dxa"/>
            <w:vAlign w:val="bottom"/>
            <w:tcBorders>
              <w:top w:val="single" w:sz="8" w:color="181818"/>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Percent of</w:t>
            </w:r>
          </w:p>
        </w:tc>
      </w:tr>
      <w:tr>
        <w:trPr>
          <w:trHeight w:val="162"/>
        </w:trPr>
        <w:tc>
          <w:tcPr>
            <w:tcW w:w="6980" w:type="dxa"/>
            <w:vAlign w:val="bottom"/>
            <w:tcBorders>
              <w:left w:val="single" w:sz="8" w:color="181818"/>
            </w:tcBorders>
            <w:shd w:val="clear" w:color="auto" w:fill="1B6F80"/>
          </w:tcPr>
          <w:p>
            <w:pPr>
              <w:spacing w:after="0"/>
              <w:rPr>
                <w:sz w:val="14"/>
                <w:szCs w:val="14"/>
                <w:color w:val="auto"/>
              </w:rPr>
            </w:pPr>
          </w:p>
        </w:tc>
        <w:tc>
          <w:tcPr>
            <w:tcW w:w="2860" w:type="dxa"/>
            <w:vAlign w:val="bottom"/>
            <w:shd w:val="clear" w:color="auto" w:fill="1B6F80"/>
          </w:tcPr>
          <w:p>
            <w:pPr>
              <w:jc w:val="right"/>
              <w:ind w:right="530"/>
              <w:spacing w:after="0"/>
              <w:rPr>
                <w:sz w:val="20"/>
                <w:szCs w:val="20"/>
                <w:color w:val="auto"/>
              </w:rPr>
            </w:pPr>
            <w:r>
              <w:rPr>
                <w:rFonts w:ascii="Arial" w:cs="Arial" w:eastAsia="Arial" w:hAnsi="Arial"/>
                <w:sz w:val="14"/>
                <w:szCs w:val="14"/>
                <w:b w:val="1"/>
                <w:bCs w:val="1"/>
                <w:color w:val="FFFFFF"/>
              </w:rPr>
              <w:t>Beneficial Ownership</w:t>
            </w:r>
          </w:p>
        </w:tc>
        <w:tc>
          <w:tcPr>
            <w:tcW w:w="1440" w:type="dxa"/>
            <w:vAlign w:val="bottom"/>
            <w:tcBorders>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Class</w:t>
            </w:r>
          </w:p>
        </w:tc>
      </w:tr>
      <w:tr>
        <w:trPr>
          <w:trHeight w:val="252"/>
        </w:trPr>
        <w:tc>
          <w:tcPr>
            <w:tcW w:w="6980" w:type="dxa"/>
            <w:vAlign w:val="bottom"/>
            <w:tcBorders>
              <w:left w:val="single" w:sz="8" w:color="181818"/>
              <w:bottom w:val="single" w:sz="8" w:color="1B6F80"/>
            </w:tcBorders>
            <w:shd w:val="clear" w:color="auto" w:fill="1B6F80"/>
          </w:tcPr>
          <w:p>
            <w:pPr>
              <w:ind w:left="100"/>
              <w:spacing w:after="0"/>
              <w:rPr>
                <w:sz w:val="20"/>
                <w:szCs w:val="20"/>
                <w:color w:val="auto"/>
              </w:rPr>
            </w:pPr>
            <w:r>
              <w:rPr>
                <w:rFonts w:ascii="Arial" w:cs="Arial" w:eastAsia="Arial" w:hAnsi="Arial"/>
                <w:sz w:val="14"/>
                <w:szCs w:val="14"/>
                <w:b w:val="1"/>
                <w:bCs w:val="1"/>
                <w:color w:val="FFFFFF"/>
              </w:rPr>
              <w:t>Principal Stockholders</w:t>
            </w:r>
          </w:p>
        </w:tc>
        <w:tc>
          <w:tcPr>
            <w:tcW w:w="2860" w:type="dxa"/>
            <w:vAlign w:val="bottom"/>
            <w:tcBorders>
              <w:bottom w:val="single" w:sz="8" w:color="1B6F80"/>
            </w:tcBorders>
            <w:shd w:val="clear" w:color="auto" w:fill="1B6F80"/>
          </w:tcPr>
          <w:p>
            <w:pPr>
              <w:jc w:val="right"/>
              <w:ind w:right="530"/>
              <w:spacing w:after="0" w:line="217"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(1)</w:t>
            </w:r>
          </w:p>
        </w:tc>
        <w:tc>
          <w:tcPr>
            <w:tcW w:w="1440" w:type="dxa"/>
            <w:vAlign w:val="bottom"/>
            <w:tcBorders>
              <w:bottom w:val="single" w:sz="8" w:color="1B6F80"/>
              <w:right w:val="single" w:sz="8" w:color="181818"/>
            </w:tcBorders>
            <w:shd w:val="clear" w:color="auto" w:fill="1B6F80"/>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331"/>
        </w:trPr>
        <w:tc>
          <w:tcPr>
            <w:tcW w:w="698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color w:val="auto"/>
              </w:rPr>
              <w:t xml:space="preserve">Owl Creek Asset Management, L.P. </w:t>
            </w:r>
            <w:r>
              <w:rPr>
                <w:rFonts w:ascii="Arial" w:cs="Arial" w:eastAsia="Arial" w:hAnsi="Arial"/>
                <w:sz w:val="18"/>
                <w:szCs w:val="18"/>
                <w:color w:val="auto"/>
                <w:vertAlign w:val="superscript"/>
              </w:rPr>
              <w:t>(2)</w:t>
            </w:r>
          </w:p>
        </w:tc>
        <w:tc>
          <w:tcPr>
            <w:tcW w:w="2860" w:type="dxa"/>
            <w:vAlign w:val="bottom"/>
            <w:tcBorders>
              <w:bottom w:val="single" w:sz="8" w:color="181818"/>
            </w:tcBorders>
          </w:tcPr>
          <w:p>
            <w:pPr>
              <w:jc w:val="right"/>
              <w:ind w:right="530"/>
              <w:spacing w:after="0"/>
              <w:rPr>
                <w:sz w:val="20"/>
                <w:szCs w:val="20"/>
                <w:color w:val="auto"/>
              </w:rPr>
            </w:pPr>
            <w:r>
              <w:rPr>
                <w:rFonts w:ascii="Arial" w:cs="Arial" w:eastAsia="Arial" w:hAnsi="Arial"/>
                <w:sz w:val="14"/>
                <w:szCs w:val="14"/>
                <w:color w:val="auto"/>
              </w:rPr>
              <w:t>5,411,776</w:t>
            </w:r>
          </w:p>
        </w:tc>
        <w:tc>
          <w:tcPr>
            <w:tcW w:w="1440" w:type="dxa"/>
            <w:vAlign w:val="bottom"/>
            <w:tcBorders>
              <w:bottom w:val="single" w:sz="8" w:color="181818"/>
              <w:right w:val="single" w:sz="8" w:color="181818"/>
            </w:tcBorders>
          </w:tcPr>
          <w:p>
            <w:pPr>
              <w:jc w:val="right"/>
              <w:ind w:right="128"/>
              <w:spacing w:after="0"/>
              <w:rPr>
                <w:sz w:val="20"/>
                <w:szCs w:val="20"/>
                <w:color w:val="auto"/>
              </w:rPr>
            </w:pPr>
            <w:r>
              <w:rPr>
                <w:rFonts w:ascii="Arial" w:cs="Arial" w:eastAsia="Arial" w:hAnsi="Arial"/>
                <w:sz w:val="14"/>
                <w:szCs w:val="14"/>
                <w:color w:val="auto"/>
              </w:rPr>
              <w:t>28.10</w:t>
            </w:r>
          </w:p>
        </w:tc>
      </w:tr>
      <w:tr>
        <w:trPr>
          <w:trHeight w:val="328"/>
        </w:trPr>
        <w:tc>
          <w:tcPr>
            <w:tcW w:w="69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 xml:space="preserve">Heard Capital LLC </w:t>
            </w:r>
            <w:r>
              <w:rPr>
                <w:rFonts w:ascii="Arial" w:cs="Arial" w:eastAsia="Arial" w:hAnsi="Arial"/>
                <w:sz w:val="18"/>
                <w:szCs w:val="18"/>
                <w:color w:val="auto"/>
                <w:vertAlign w:val="superscript"/>
              </w:rPr>
              <w:t>(3)</w:t>
            </w:r>
          </w:p>
        </w:tc>
        <w:tc>
          <w:tcPr>
            <w:tcW w:w="2860" w:type="dxa"/>
            <w:vAlign w:val="bottom"/>
          </w:tcPr>
          <w:p>
            <w:pPr>
              <w:jc w:val="right"/>
              <w:ind w:right="530"/>
              <w:spacing w:after="0"/>
              <w:rPr>
                <w:sz w:val="20"/>
                <w:szCs w:val="20"/>
                <w:color w:val="auto"/>
              </w:rPr>
            </w:pPr>
            <w:r>
              <w:rPr>
                <w:rFonts w:ascii="Arial" w:cs="Arial" w:eastAsia="Arial" w:hAnsi="Arial"/>
                <w:sz w:val="14"/>
                <w:szCs w:val="14"/>
                <w:color w:val="auto"/>
              </w:rPr>
              <w:t>1,716,738</w:t>
            </w:r>
          </w:p>
        </w:tc>
        <w:tc>
          <w:tcPr>
            <w:tcW w:w="1440" w:type="dxa"/>
            <w:vAlign w:val="bottom"/>
            <w:tcBorders>
              <w:right w:val="single" w:sz="8" w:color="181818"/>
            </w:tcBorders>
          </w:tcPr>
          <w:p>
            <w:pPr>
              <w:jc w:val="right"/>
              <w:ind w:right="128"/>
              <w:spacing w:after="0"/>
              <w:rPr>
                <w:sz w:val="20"/>
                <w:szCs w:val="20"/>
                <w:color w:val="auto"/>
              </w:rPr>
            </w:pPr>
            <w:r>
              <w:rPr>
                <w:rFonts w:ascii="Arial" w:cs="Arial" w:eastAsia="Arial" w:hAnsi="Arial"/>
                <w:sz w:val="14"/>
                <w:szCs w:val="14"/>
                <w:color w:val="auto"/>
              </w:rPr>
              <w:t>8.91</w:t>
            </w:r>
          </w:p>
        </w:tc>
      </w:tr>
      <w:tr>
        <w:trPr>
          <w:trHeight w:val="277"/>
        </w:trPr>
        <w:tc>
          <w:tcPr>
            <w:tcW w:w="6980" w:type="dxa"/>
            <w:vAlign w:val="bottom"/>
            <w:tcBorders>
              <w:left w:val="single" w:sz="8" w:color="181818"/>
            </w:tcBorders>
            <w:shd w:val="clear" w:color="auto" w:fill="AED0C7"/>
          </w:tcPr>
          <w:p>
            <w:pPr>
              <w:ind w:left="100"/>
              <w:spacing w:after="0"/>
              <w:rPr>
                <w:sz w:val="20"/>
                <w:szCs w:val="20"/>
                <w:color w:val="auto"/>
              </w:rPr>
            </w:pPr>
            <w:r>
              <w:rPr>
                <w:rFonts w:ascii="Arial" w:cs="Arial" w:eastAsia="Arial" w:hAnsi="Arial"/>
                <w:sz w:val="14"/>
                <w:szCs w:val="14"/>
                <w:b w:val="1"/>
                <w:bCs w:val="1"/>
                <w:color w:val="181818"/>
              </w:rPr>
              <w:t>Name of Beneficial Owner Directors, Nominees and NEOs</w:t>
            </w:r>
          </w:p>
        </w:tc>
        <w:tc>
          <w:tcPr>
            <w:tcW w:w="2860" w:type="dxa"/>
            <w:vAlign w:val="bottom"/>
            <w:shd w:val="clear" w:color="auto" w:fill="AED0C7"/>
          </w:tcPr>
          <w:p>
            <w:pPr>
              <w:spacing w:after="0"/>
              <w:rPr>
                <w:sz w:val="24"/>
                <w:szCs w:val="24"/>
                <w:color w:val="auto"/>
              </w:rPr>
            </w:pPr>
          </w:p>
        </w:tc>
        <w:tc>
          <w:tcPr>
            <w:tcW w:w="1440" w:type="dxa"/>
            <w:vAlign w:val="bottom"/>
            <w:tcBorders>
              <w:right w:val="single" w:sz="8" w:color="181818"/>
            </w:tcBorders>
            <w:shd w:val="clear" w:color="auto" w:fill="AED0C7"/>
          </w:tcPr>
          <w:p>
            <w:pPr>
              <w:spacing w:after="0"/>
              <w:rPr>
                <w:sz w:val="24"/>
                <w:szCs w:val="24"/>
                <w:color w:val="auto"/>
              </w:rPr>
            </w:pPr>
          </w:p>
        </w:tc>
      </w:tr>
      <w:tr>
        <w:trPr>
          <w:trHeight w:val="69"/>
        </w:trPr>
        <w:tc>
          <w:tcPr>
            <w:tcW w:w="6980" w:type="dxa"/>
            <w:vAlign w:val="bottom"/>
            <w:tcBorders>
              <w:left w:val="single" w:sz="8" w:color="181818"/>
            </w:tcBorders>
            <w:shd w:val="clear" w:color="auto" w:fill="AED0C7"/>
          </w:tcPr>
          <w:p>
            <w:pPr>
              <w:spacing w:after="0"/>
              <w:rPr>
                <w:sz w:val="6"/>
                <w:szCs w:val="6"/>
                <w:color w:val="auto"/>
              </w:rPr>
            </w:pPr>
          </w:p>
        </w:tc>
        <w:tc>
          <w:tcPr>
            <w:tcW w:w="2860" w:type="dxa"/>
            <w:vAlign w:val="bottom"/>
            <w:shd w:val="clear" w:color="auto" w:fill="AED0C7"/>
          </w:tcPr>
          <w:p>
            <w:pPr>
              <w:spacing w:after="0"/>
              <w:rPr>
                <w:sz w:val="6"/>
                <w:szCs w:val="6"/>
                <w:color w:val="auto"/>
              </w:rPr>
            </w:pPr>
          </w:p>
        </w:tc>
        <w:tc>
          <w:tcPr>
            <w:tcW w:w="1440" w:type="dxa"/>
            <w:vAlign w:val="bottom"/>
            <w:tcBorders>
              <w:right w:val="single" w:sz="8" w:color="181818"/>
            </w:tcBorders>
            <w:shd w:val="clear" w:color="auto" w:fill="AED0C7"/>
          </w:tcPr>
          <w:p>
            <w:pPr>
              <w:spacing w:after="0"/>
              <w:rPr>
                <w:sz w:val="6"/>
                <w:szCs w:val="6"/>
                <w:color w:val="auto"/>
              </w:rPr>
            </w:pPr>
          </w:p>
        </w:tc>
      </w:tr>
      <w:tr>
        <w:trPr>
          <w:trHeight w:val="322"/>
        </w:trPr>
        <w:tc>
          <w:tcPr>
            <w:tcW w:w="698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color w:val="auto"/>
              </w:rPr>
              <w:t xml:space="preserve">Scott A. Lang </w:t>
            </w:r>
            <w:r>
              <w:rPr>
                <w:rFonts w:ascii="Arial" w:cs="Arial" w:eastAsia="Arial" w:hAnsi="Arial"/>
                <w:sz w:val="18"/>
                <w:szCs w:val="18"/>
                <w:color w:val="auto"/>
                <w:vertAlign w:val="superscript"/>
              </w:rPr>
              <w:t>(4)</w:t>
            </w:r>
          </w:p>
        </w:tc>
        <w:tc>
          <w:tcPr>
            <w:tcW w:w="2860" w:type="dxa"/>
            <w:vAlign w:val="bottom"/>
            <w:tcBorders>
              <w:bottom w:val="single" w:sz="8" w:color="181818"/>
            </w:tcBorders>
          </w:tcPr>
          <w:p>
            <w:pPr>
              <w:jc w:val="right"/>
              <w:ind w:right="530"/>
              <w:spacing w:after="0"/>
              <w:rPr>
                <w:sz w:val="20"/>
                <w:szCs w:val="20"/>
                <w:color w:val="auto"/>
              </w:rPr>
            </w:pPr>
            <w:r>
              <w:rPr>
                <w:rFonts w:ascii="Arial" w:cs="Arial" w:eastAsia="Arial" w:hAnsi="Arial"/>
                <w:sz w:val="14"/>
                <w:szCs w:val="14"/>
                <w:color w:val="auto"/>
              </w:rPr>
              <w:t>146,578</w:t>
            </w:r>
          </w:p>
        </w:tc>
        <w:tc>
          <w:tcPr>
            <w:tcW w:w="1440" w:type="dxa"/>
            <w:vAlign w:val="bottom"/>
            <w:tcBorders>
              <w:bottom w:val="single" w:sz="8" w:color="181818"/>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258"/>
        </w:trPr>
        <w:tc>
          <w:tcPr>
            <w:tcW w:w="69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 xml:space="preserve">Thomas R. Kuhn </w:t>
            </w:r>
            <w:r>
              <w:rPr>
                <w:rFonts w:ascii="Arial" w:cs="Arial" w:eastAsia="Arial" w:hAnsi="Arial"/>
                <w:sz w:val="9"/>
                <w:szCs w:val="9"/>
                <w:color w:val="auto"/>
              </w:rPr>
              <w:t>(5)</w:t>
            </w:r>
          </w:p>
        </w:tc>
        <w:tc>
          <w:tcPr>
            <w:tcW w:w="2860" w:type="dxa"/>
            <w:vAlign w:val="bottom"/>
          </w:tcPr>
          <w:p>
            <w:pPr>
              <w:jc w:val="right"/>
              <w:ind w:right="530"/>
              <w:spacing w:after="0"/>
              <w:rPr>
                <w:sz w:val="20"/>
                <w:szCs w:val="20"/>
                <w:color w:val="auto"/>
              </w:rPr>
            </w:pPr>
            <w:r>
              <w:rPr>
                <w:rFonts w:ascii="Arial" w:cs="Arial" w:eastAsia="Arial" w:hAnsi="Arial"/>
                <w:sz w:val="14"/>
                <w:szCs w:val="14"/>
                <w:color w:val="auto"/>
              </w:rPr>
              <w:t>55,926</w:t>
            </w:r>
          </w:p>
        </w:tc>
        <w:tc>
          <w:tcPr>
            <w:tcW w:w="144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76"/>
        </w:trPr>
        <w:tc>
          <w:tcPr>
            <w:tcW w:w="6980" w:type="dxa"/>
            <w:vAlign w:val="bottom"/>
            <w:tcBorders>
              <w:left w:val="single" w:sz="8" w:color="181818"/>
              <w:bottom w:val="single" w:sz="8" w:color="181818"/>
            </w:tcBorders>
          </w:tcPr>
          <w:p>
            <w:pPr>
              <w:spacing w:after="0"/>
              <w:rPr>
                <w:sz w:val="6"/>
                <w:szCs w:val="6"/>
                <w:color w:val="auto"/>
              </w:rPr>
            </w:pPr>
          </w:p>
        </w:tc>
        <w:tc>
          <w:tcPr>
            <w:tcW w:w="2860" w:type="dxa"/>
            <w:vAlign w:val="bottom"/>
            <w:tcBorders>
              <w:bottom w:val="single" w:sz="8" w:color="181818"/>
            </w:tcBorders>
          </w:tcPr>
          <w:p>
            <w:pPr>
              <w:spacing w:after="0"/>
              <w:rPr>
                <w:sz w:val="6"/>
                <w:szCs w:val="6"/>
                <w:color w:val="auto"/>
              </w:rPr>
            </w:pPr>
          </w:p>
        </w:tc>
        <w:tc>
          <w:tcPr>
            <w:tcW w:w="1440" w:type="dxa"/>
            <w:vAlign w:val="bottom"/>
            <w:tcBorders>
              <w:bottom w:val="single" w:sz="8" w:color="181818"/>
              <w:right w:val="single" w:sz="8" w:color="181818"/>
            </w:tcBorders>
          </w:tcPr>
          <w:p>
            <w:pPr>
              <w:spacing w:after="0"/>
              <w:rPr>
                <w:sz w:val="6"/>
                <w:szCs w:val="6"/>
                <w:color w:val="auto"/>
              </w:rPr>
            </w:pPr>
          </w:p>
        </w:tc>
      </w:tr>
      <w:tr>
        <w:trPr>
          <w:trHeight w:val="325"/>
        </w:trPr>
        <w:tc>
          <w:tcPr>
            <w:tcW w:w="698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color w:val="auto"/>
              </w:rPr>
              <w:t xml:space="preserve">Christopher Guttman-McCabe </w:t>
            </w:r>
            <w:r>
              <w:rPr>
                <w:rFonts w:ascii="Arial" w:cs="Arial" w:eastAsia="Arial" w:hAnsi="Arial"/>
                <w:sz w:val="18"/>
                <w:szCs w:val="18"/>
                <w:color w:val="auto"/>
                <w:vertAlign w:val="superscript"/>
              </w:rPr>
              <w:t>(6)</w:t>
            </w:r>
          </w:p>
        </w:tc>
        <w:tc>
          <w:tcPr>
            <w:tcW w:w="2860" w:type="dxa"/>
            <w:vAlign w:val="bottom"/>
            <w:tcBorders>
              <w:bottom w:val="single" w:sz="8" w:color="181818"/>
            </w:tcBorders>
          </w:tcPr>
          <w:p>
            <w:pPr>
              <w:jc w:val="right"/>
              <w:ind w:right="530"/>
              <w:spacing w:after="0"/>
              <w:rPr>
                <w:sz w:val="20"/>
                <w:szCs w:val="20"/>
                <w:color w:val="auto"/>
              </w:rPr>
            </w:pPr>
            <w:r>
              <w:rPr>
                <w:rFonts w:ascii="Arial" w:cs="Arial" w:eastAsia="Arial" w:hAnsi="Arial"/>
                <w:sz w:val="14"/>
                <w:szCs w:val="14"/>
                <w:color w:val="auto"/>
              </w:rPr>
              <w:t>256,370</w:t>
            </w:r>
          </w:p>
        </w:tc>
        <w:tc>
          <w:tcPr>
            <w:tcW w:w="1440" w:type="dxa"/>
            <w:vAlign w:val="bottom"/>
            <w:tcBorders>
              <w:bottom w:val="single" w:sz="8" w:color="181818"/>
              <w:right w:val="single" w:sz="8" w:color="181818"/>
            </w:tcBorders>
          </w:tcPr>
          <w:p>
            <w:pPr>
              <w:jc w:val="right"/>
              <w:ind w:right="128"/>
              <w:spacing w:after="0"/>
              <w:rPr>
                <w:sz w:val="20"/>
                <w:szCs w:val="20"/>
                <w:color w:val="auto"/>
              </w:rPr>
            </w:pPr>
            <w:r>
              <w:rPr>
                <w:rFonts w:ascii="Arial" w:cs="Arial" w:eastAsia="Arial" w:hAnsi="Arial"/>
                <w:sz w:val="14"/>
                <w:szCs w:val="14"/>
                <w:color w:val="auto"/>
              </w:rPr>
              <w:t>1.32</w:t>
            </w:r>
          </w:p>
        </w:tc>
      </w:tr>
      <w:tr>
        <w:trPr>
          <w:trHeight w:val="262"/>
        </w:trPr>
        <w:tc>
          <w:tcPr>
            <w:tcW w:w="69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Heather Martin</w:t>
            </w:r>
          </w:p>
        </w:tc>
        <w:tc>
          <w:tcPr>
            <w:tcW w:w="2860" w:type="dxa"/>
            <w:vAlign w:val="bottom"/>
          </w:tcPr>
          <w:p>
            <w:pPr>
              <w:jc w:val="right"/>
              <w:ind w:right="530"/>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76"/>
        </w:trPr>
        <w:tc>
          <w:tcPr>
            <w:tcW w:w="6980" w:type="dxa"/>
            <w:vAlign w:val="bottom"/>
            <w:tcBorders>
              <w:left w:val="single" w:sz="8" w:color="181818"/>
              <w:bottom w:val="single" w:sz="8" w:color="181818"/>
            </w:tcBorders>
          </w:tcPr>
          <w:p>
            <w:pPr>
              <w:spacing w:after="0"/>
              <w:rPr>
                <w:sz w:val="6"/>
                <w:szCs w:val="6"/>
                <w:color w:val="auto"/>
              </w:rPr>
            </w:pPr>
          </w:p>
        </w:tc>
        <w:tc>
          <w:tcPr>
            <w:tcW w:w="2860" w:type="dxa"/>
            <w:vAlign w:val="bottom"/>
            <w:tcBorders>
              <w:bottom w:val="single" w:sz="8" w:color="181818"/>
            </w:tcBorders>
          </w:tcPr>
          <w:p>
            <w:pPr>
              <w:spacing w:after="0"/>
              <w:rPr>
                <w:sz w:val="6"/>
                <w:szCs w:val="6"/>
                <w:color w:val="auto"/>
              </w:rPr>
            </w:pPr>
          </w:p>
        </w:tc>
        <w:tc>
          <w:tcPr>
            <w:tcW w:w="1440" w:type="dxa"/>
            <w:vAlign w:val="bottom"/>
            <w:tcBorders>
              <w:bottom w:val="single" w:sz="8" w:color="181818"/>
              <w:right w:val="single" w:sz="8" w:color="181818"/>
            </w:tcBorders>
          </w:tcPr>
          <w:p>
            <w:pPr>
              <w:spacing w:after="0"/>
              <w:rPr>
                <w:sz w:val="6"/>
                <w:szCs w:val="6"/>
                <w:color w:val="auto"/>
              </w:rPr>
            </w:pPr>
          </w:p>
        </w:tc>
      </w:tr>
      <w:tr>
        <w:trPr>
          <w:trHeight w:val="324"/>
        </w:trPr>
        <w:tc>
          <w:tcPr>
            <w:tcW w:w="698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color w:val="auto"/>
              </w:rPr>
              <w:t xml:space="preserve">Jeffrey A. Altman </w:t>
            </w:r>
            <w:r>
              <w:rPr>
                <w:rFonts w:ascii="Arial" w:cs="Arial" w:eastAsia="Arial" w:hAnsi="Arial"/>
                <w:sz w:val="18"/>
                <w:szCs w:val="18"/>
                <w:color w:val="auto"/>
                <w:vertAlign w:val="superscript"/>
              </w:rPr>
              <w:t>(2)(7)</w:t>
            </w:r>
          </w:p>
        </w:tc>
        <w:tc>
          <w:tcPr>
            <w:tcW w:w="2860" w:type="dxa"/>
            <w:vAlign w:val="bottom"/>
            <w:tcBorders>
              <w:bottom w:val="single" w:sz="8" w:color="181818"/>
            </w:tcBorders>
          </w:tcPr>
          <w:p>
            <w:pPr>
              <w:jc w:val="right"/>
              <w:ind w:right="530"/>
              <w:spacing w:after="0"/>
              <w:rPr>
                <w:sz w:val="20"/>
                <w:szCs w:val="20"/>
                <w:color w:val="auto"/>
              </w:rPr>
            </w:pPr>
            <w:r>
              <w:rPr>
                <w:rFonts w:ascii="Arial" w:cs="Arial" w:eastAsia="Arial" w:hAnsi="Arial"/>
                <w:sz w:val="14"/>
                <w:szCs w:val="14"/>
                <w:color w:val="auto"/>
              </w:rPr>
              <w:t>5,551,684</w:t>
            </w:r>
          </w:p>
        </w:tc>
        <w:tc>
          <w:tcPr>
            <w:tcW w:w="1440" w:type="dxa"/>
            <w:vAlign w:val="bottom"/>
            <w:tcBorders>
              <w:bottom w:val="single" w:sz="8" w:color="181818"/>
              <w:right w:val="single" w:sz="8" w:color="181818"/>
            </w:tcBorders>
          </w:tcPr>
          <w:p>
            <w:pPr>
              <w:jc w:val="right"/>
              <w:ind w:right="128"/>
              <w:spacing w:after="0"/>
              <w:rPr>
                <w:sz w:val="20"/>
                <w:szCs w:val="20"/>
                <w:color w:val="auto"/>
              </w:rPr>
            </w:pPr>
            <w:r>
              <w:rPr>
                <w:rFonts w:ascii="Arial" w:cs="Arial" w:eastAsia="Arial" w:hAnsi="Arial"/>
                <w:sz w:val="14"/>
                <w:szCs w:val="14"/>
                <w:color w:val="auto"/>
              </w:rPr>
              <w:t>28.82</w:t>
            </w:r>
          </w:p>
        </w:tc>
      </w:tr>
      <w:tr>
        <w:trPr>
          <w:trHeight w:val="322"/>
        </w:trPr>
        <w:tc>
          <w:tcPr>
            <w:tcW w:w="698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color w:val="auto"/>
              </w:rPr>
              <w:t xml:space="preserve">Leslie B. Daniels </w:t>
            </w:r>
            <w:r>
              <w:rPr>
                <w:rFonts w:ascii="Arial" w:cs="Arial" w:eastAsia="Arial" w:hAnsi="Arial"/>
                <w:sz w:val="18"/>
                <w:szCs w:val="18"/>
                <w:color w:val="auto"/>
                <w:vertAlign w:val="superscript"/>
              </w:rPr>
              <w:t>(8)</w:t>
            </w:r>
          </w:p>
        </w:tc>
        <w:tc>
          <w:tcPr>
            <w:tcW w:w="2860" w:type="dxa"/>
            <w:vAlign w:val="bottom"/>
            <w:tcBorders>
              <w:bottom w:val="single" w:sz="8" w:color="181818"/>
            </w:tcBorders>
          </w:tcPr>
          <w:p>
            <w:pPr>
              <w:jc w:val="right"/>
              <w:ind w:right="530"/>
              <w:spacing w:after="0"/>
              <w:rPr>
                <w:sz w:val="20"/>
                <w:szCs w:val="20"/>
                <w:color w:val="auto"/>
              </w:rPr>
            </w:pPr>
            <w:r>
              <w:rPr>
                <w:rFonts w:ascii="Arial" w:cs="Arial" w:eastAsia="Arial" w:hAnsi="Arial"/>
                <w:sz w:val="14"/>
                <w:szCs w:val="14"/>
                <w:color w:val="auto"/>
              </w:rPr>
              <w:t>61,479</w:t>
            </w:r>
          </w:p>
        </w:tc>
        <w:tc>
          <w:tcPr>
            <w:tcW w:w="1440" w:type="dxa"/>
            <w:vAlign w:val="bottom"/>
            <w:tcBorders>
              <w:bottom w:val="single" w:sz="8" w:color="181818"/>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258"/>
        </w:trPr>
        <w:tc>
          <w:tcPr>
            <w:tcW w:w="6980" w:type="dxa"/>
            <w:vAlign w:val="bottom"/>
            <w:tcBorders>
              <w:left w:val="single" w:sz="8" w:color="181818"/>
            </w:tcBorders>
          </w:tcPr>
          <w:p>
            <w:pPr>
              <w:ind w:left="100"/>
              <w:spacing w:after="0"/>
              <w:rPr>
                <w:sz w:val="20"/>
                <w:szCs w:val="20"/>
                <w:color w:val="auto"/>
              </w:rPr>
            </w:pPr>
            <w:r>
              <w:rPr>
                <w:rFonts w:ascii="Arial" w:cs="Arial" w:eastAsia="Arial" w:hAnsi="Arial"/>
                <w:sz w:val="14"/>
                <w:szCs w:val="14"/>
                <w:color w:val="auto"/>
              </w:rPr>
              <w:t xml:space="preserve">Mark A. Fleischhauer </w:t>
            </w:r>
            <w:r>
              <w:rPr>
                <w:rFonts w:ascii="Arial" w:cs="Arial" w:eastAsia="Arial" w:hAnsi="Arial"/>
                <w:sz w:val="9"/>
                <w:szCs w:val="9"/>
                <w:color w:val="auto"/>
              </w:rPr>
              <w:t>(8)</w:t>
            </w:r>
          </w:p>
        </w:tc>
        <w:tc>
          <w:tcPr>
            <w:tcW w:w="2860" w:type="dxa"/>
            <w:vAlign w:val="bottom"/>
          </w:tcPr>
          <w:p>
            <w:pPr>
              <w:jc w:val="right"/>
              <w:ind w:right="530"/>
              <w:spacing w:after="0"/>
              <w:rPr>
                <w:sz w:val="20"/>
                <w:szCs w:val="20"/>
                <w:color w:val="auto"/>
              </w:rPr>
            </w:pPr>
            <w:r>
              <w:rPr>
                <w:rFonts w:ascii="Arial" w:cs="Arial" w:eastAsia="Arial" w:hAnsi="Arial"/>
                <w:sz w:val="14"/>
                <w:szCs w:val="14"/>
                <w:color w:val="auto"/>
              </w:rPr>
              <w:t>16,269</w:t>
            </w:r>
          </w:p>
        </w:tc>
        <w:tc>
          <w:tcPr>
            <w:tcW w:w="1440" w:type="dxa"/>
            <w:vAlign w:val="bottom"/>
            <w:tcBorders>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76"/>
        </w:trPr>
        <w:tc>
          <w:tcPr>
            <w:tcW w:w="6980" w:type="dxa"/>
            <w:vAlign w:val="bottom"/>
            <w:tcBorders>
              <w:left w:val="single" w:sz="8" w:color="181818"/>
              <w:bottom w:val="single" w:sz="8" w:color="181818"/>
            </w:tcBorders>
          </w:tcPr>
          <w:p>
            <w:pPr>
              <w:spacing w:after="0"/>
              <w:rPr>
                <w:sz w:val="6"/>
                <w:szCs w:val="6"/>
                <w:color w:val="auto"/>
              </w:rPr>
            </w:pPr>
          </w:p>
        </w:tc>
        <w:tc>
          <w:tcPr>
            <w:tcW w:w="2860" w:type="dxa"/>
            <w:vAlign w:val="bottom"/>
            <w:tcBorders>
              <w:bottom w:val="single" w:sz="8" w:color="181818"/>
            </w:tcBorders>
          </w:tcPr>
          <w:p>
            <w:pPr>
              <w:spacing w:after="0"/>
              <w:rPr>
                <w:sz w:val="6"/>
                <w:szCs w:val="6"/>
                <w:color w:val="auto"/>
              </w:rPr>
            </w:pPr>
          </w:p>
        </w:tc>
        <w:tc>
          <w:tcPr>
            <w:tcW w:w="1440" w:type="dxa"/>
            <w:vAlign w:val="bottom"/>
            <w:tcBorders>
              <w:bottom w:val="single" w:sz="8" w:color="181818"/>
              <w:right w:val="single" w:sz="8" w:color="181818"/>
            </w:tcBorders>
          </w:tcPr>
          <w:p>
            <w:pPr>
              <w:spacing w:after="0"/>
              <w:rPr>
                <w:sz w:val="6"/>
                <w:szCs w:val="6"/>
                <w:color w:val="auto"/>
              </w:rPr>
            </w:pPr>
          </w:p>
        </w:tc>
      </w:tr>
      <w:tr>
        <w:trPr>
          <w:trHeight w:val="325"/>
        </w:trPr>
        <w:tc>
          <w:tcPr>
            <w:tcW w:w="698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color w:val="auto"/>
              </w:rPr>
              <w:t xml:space="preserve">William E. Heard </w:t>
            </w:r>
            <w:r>
              <w:rPr>
                <w:rFonts w:ascii="Arial" w:cs="Arial" w:eastAsia="Arial" w:hAnsi="Arial"/>
                <w:sz w:val="18"/>
                <w:szCs w:val="18"/>
                <w:color w:val="auto"/>
                <w:vertAlign w:val="superscript"/>
              </w:rPr>
              <w:t>(9)</w:t>
            </w:r>
          </w:p>
        </w:tc>
        <w:tc>
          <w:tcPr>
            <w:tcW w:w="2860" w:type="dxa"/>
            <w:vAlign w:val="bottom"/>
            <w:tcBorders>
              <w:bottom w:val="single" w:sz="8" w:color="181818"/>
            </w:tcBorders>
          </w:tcPr>
          <w:p>
            <w:pPr>
              <w:jc w:val="right"/>
              <w:ind w:right="530"/>
              <w:spacing w:after="0"/>
              <w:rPr>
                <w:sz w:val="20"/>
                <w:szCs w:val="20"/>
                <w:color w:val="auto"/>
              </w:rPr>
            </w:pPr>
            <w:r>
              <w:rPr>
                <w:rFonts w:ascii="Arial" w:cs="Arial" w:eastAsia="Arial" w:hAnsi="Arial"/>
                <w:sz w:val="14"/>
                <w:szCs w:val="14"/>
                <w:color w:val="auto"/>
              </w:rPr>
              <w:t>1,726,392</w:t>
            </w:r>
          </w:p>
        </w:tc>
        <w:tc>
          <w:tcPr>
            <w:tcW w:w="1440" w:type="dxa"/>
            <w:vAlign w:val="bottom"/>
            <w:tcBorders>
              <w:bottom w:val="single" w:sz="8" w:color="181818"/>
              <w:right w:val="single" w:sz="8" w:color="181818"/>
            </w:tcBorders>
          </w:tcPr>
          <w:p>
            <w:pPr>
              <w:jc w:val="right"/>
              <w:ind w:right="128"/>
              <w:spacing w:after="0"/>
              <w:rPr>
                <w:sz w:val="20"/>
                <w:szCs w:val="20"/>
                <w:color w:val="auto"/>
              </w:rPr>
            </w:pPr>
            <w:r>
              <w:rPr>
                <w:rFonts w:ascii="Arial" w:cs="Arial" w:eastAsia="Arial" w:hAnsi="Arial"/>
                <w:sz w:val="14"/>
                <w:szCs w:val="14"/>
                <w:color w:val="auto"/>
              </w:rPr>
              <w:t>8.96</w:t>
            </w:r>
          </w:p>
        </w:tc>
      </w:tr>
      <w:tr>
        <w:trPr>
          <w:trHeight w:val="331"/>
        </w:trPr>
        <w:tc>
          <w:tcPr>
            <w:tcW w:w="698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color w:val="auto"/>
              </w:rPr>
              <w:t xml:space="preserve">Mahvash Yazdi </w:t>
            </w:r>
            <w:r>
              <w:rPr>
                <w:rFonts w:ascii="Arial" w:cs="Arial" w:eastAsia="Arial" w:hAnsi="Arial"/>
                <w:sz w:val="18"/>
                <w:szCs w:val="18"/>
                <w:color w:val="auto"/>
                <w:vertAlign w:val="superscript"/>
              </w:rPr>
              <w:t>(8)</w:t>
            </w:r>
          </w:p>
        </w:tc>
        <w:tc>
          <w:tcPr>
            <w:tcW w:w="2860" w:type="dxa"/>
            <w:vAlign w:val="bottom"/>
            <w:tcBorders>
              <w:bottom w:val="single" w:sz="8" w:color="181818"/>
            </w:tcBorders>
          </w:tcPr>
          <w:p>
            <w:pPr>
              <w:jc w:val="right"/>
              <w:ind w:right="530"/>
              <w:spacing w:after="0"/>
              <w:rPr>
                <w:sz w:val="20"/>
                <w:szCs w:val="20"/>
                <w:color w:val="auto"/>
              </w:rPr>
            </w:pPr>
            <w:r>
              <w:rPr>
                <w:rFonts w:ascii="Arial" w:cs="Arial" w:eastAsia="Arial" w:hAnsi="Arial"/>
                <w:sz w:val="14"/>
                <w:szCs w:val="14"/>
                <w:color w:val="auto"/>
              </w:rPr>
              <w:t>26,407</w:t>
            </w:r>
          </w:p>
        </w:tc>
        <w:tc>
          <w:tcPr>
            <w:tcW w:w="1440" w:type="dxa"/>
            <w:vAlign w:val="bottom"/>
            <w:tcBorders>
              <w:bottom w:val="single" w:sz="8" w:color="181818"/>
              <w:right w:val="single" w:sz="8" w:color="181818"/>
            </w:tcBorders>
          </w:tcPr>
          <w:p>
            <w:pPr>
              <w:jc w:val="right"/>
              <w:ind w:right="68"/>
              <w:spacing w:after="0"/>
              <w:rPr>
                <w:sz w:val="20"/>
                <w:szCs w:val="20"/>
                <w:color w:val="auto"/>
              </w:rPr>
            </w:pPr>
            <w:r>
              <w:rPr>
                <w:rFonts w:ascii="Arial" w:cs="Arial" w:eastAsia="Arial" w:hAnsi="Arial"/>
                <w:sz w:val="14"/>
                <w:szCs w:val="14"/>
                <w:color w:val="auto"/>
              </w:rPr>
              <w:t>*</w:t>
            </w:r>
          </w:p>
        </w:tc>
      </w:tr>
      <w:tr>
        <w:trPr>
          <w:trHeight w:val="331"/>
        </w:trPr>
        <w:tc>
          <w:tcPr>
            <w:tcW w:w="6980" w:type="dxa"/>
            <w:vAlign w:val="bottom"/>
            <w:tcBorders>
              <w:left w:val="single" w:sz="8" w:color="181818"/>
              <w:bottom w:val="single" w:sz="8" w:color="181818"/>
            </w:tcBorders>
          </w:tcPr>
          <w:p>
            <w:pPr>
              <w:ind w:left="100"/>
              <w:spacing w:after="0"/>
              <w:rPr>
                <w:sz w:val="20"/>
                <w:szCs w:val="20"/>
                <w:color w:val="auto"/>
              </w:rPr>
            </w:pPr>
            <w:r>
              <w:rPr>
                <w:rFonts w:ascii="Arial" w:cs="Arial" w:eastAsia="Arial" w:hAnsi="Arial"/>
                <w:sz w:val="14"/>
                <w:szCs w:val="14"/>
                <w:b w:val="1"/>
                <w:bCs w:val="1"/>
                <w:color w:val="181818"/>
              </w:rPr>
              <w:t xml:space="preserve">All active directors and executive officers as a group (11 persons) </w:t>
            </w:r>
            <w:r>
              <w:rPr>
                <w:rFonts w:ascii="Arial" w:cs="Arial" w:eastAsia="Arial" w:hAnsi="Arial"/>
                <w:sz w:val="18"/>
                <w:szCs w:val="18"/>
                <w:b w:val="1"/>
                <w:bCs w:val="1"/>
                <w:color w:val="181818"/>
                <w:vertAlign w:val="superscript"/>
              </w:rPr>
              <w:t>(10)</w:t>
            </w:r>
          </w:p>
        </w:tc>
        <w:tc>
          <w:tcPr>
            <w:tcW w:w="2860" w:type="dxa"/>
            <w:vAlign w:val="bottom"/>
            <w:tcBorders>
              <w:bottom w:val="single" w:sz="8" w:color="181818"/>
            </w:tcBorders>
          </w:tcPr>
          <w:p>
            <w:pPr>
              <w:jc w:val="right"/>
              <w:ind w:right="530"/>
              <w:spacing w:after="0"/>
              <w:rPr>
                <w:sz w:val="20"/>
                <w:szCs w:val="20"/>
                <w:color w:val="auto"/>
              </w:rPr>
            </w:pPr>
            <w:r>
              <w:rPr>
                <w:rFonts w:ascii="Arial" w:cs="Arial" w:eastAsia="Arial" w:hAnsi="Arial"/>
                <w:sz w:val="14"/>
                <w:szCs w:val="14"/>
                <w:b w:val="1"/>
                <w:bCs w:val="1"/>
                <w:color w:val="181818"/>
              </w:rPr>
              <w:t>7,886,562</w:t>
            </w:r>
          </w:p>
        </w:tc>
        <w:tc>
          <w:tcPr>
            <w:tcW w:w="1440" w:type="dxa"/>
            <w:vAlign w:val="bottom"/>
            <w:tcBorders>
              <w:bottom w:val="single" w:sz="8" w:color="181818"/>
              <w:right w:val="single" w:sz="8" w:color="181818"/>
            </w:tcBorders>
          </w:tcPr>
          <w:p>
            <w:pPr>
              <w:jc w:val="right"/>
              <w:ind w:right="128"/>
              <w:spacing w:after="0"/>
              <w:rPr>
                <w:sz w:val="20"/>
                <w:szCs w:val="20"/>
                <w:color w:val="auto"/>
              </w:rPr>
            </w:pPr>
            <w:r>
              <w:rPr>
                <w:rFonts w:ascii="Arial" w:cs="Arial" w:eastAsia="Arial" w:hAnsi="Arial"/>
                <w:sz w:val="14"/>
                <w:szCs w:val="14"/>
                <w:b w:val="1"/>
                <w:bCs w:val="1"/>
                <w:color w:val="181818"/>
              </w:rPr>
              <w:t>40.05</w:t>
            </w:r>
          </w:p>
        </w:tc>
      </w:tr>
    </w:tbl>
    <w:p>
      <w:pPr>
        <w:spacing w:after="0" w:line="149" w:lineRule="exact"/>
        <w:rPr>
          <w:sz w:val="20"/>
          <w:szCs w:val="20"/>
          <w:color w:val="auto"/>
        </w:rPr>
      </w:pPr>
    </w:p>
    <w:p>
      <w:pPr>
        <w:ind w:left="307" w:hanging="307"/>
        <w:spacing w:after="0"/>
        <w:tabs>
          <w:tab w:leader="none" w:pos="307" w:val="left"/>
        </w:tabs>
        <w:numPr>
          <w:ilvl w:val="0"/>
          <w:numId w:val="74"/>
        </w:numPr>
        <w:rPr>
          <w:rFonts w:ascii="Arial" w:cs="Arial" w:eastAsia="Arial" w:hAnsi="Arial"/>
          <w:sz w:val="14"/>
          <w:szCs w:val="14"/>
          <w:b w:val="1"/>
          <w:bCs w:val="1"/>
          <w:color w:val="auto"/>
        </w:rPr>
      </w:pPr>
      <w:r>
        <w:rPr>
          <w:rFonts w:ascii="Arial" w:cs="Arial" w:eastAsia="Arial" w:hAnsi="Arial"/>
          <w:sz w:val="14"/>
          <w:szCs w:val="14"/>
          <w:color w:val="auto"/>
        </w:rPr>
        <w:t>Represents less than 1% of the number of shares of our common stock outstanding as of June 11, 2026.</w:t>
      </w:r>
    </w:p>
    <w:p>
      <w:pPr>
        <w:spacing w:after="0" w:line="82" w:lineRule="exact"/>
        <w:rPr>
          <w:sz w:val="20"/>
          <w:szCs w:val="20"/>
          <w:color w:val="auto"/>
        </w:rPr>
      </w:pPr>
    </w:p>
    <w:p>
      <w:pPr>
        <w:ind w:left="327" w:right="20" w:hanging="327"/>
        <w:spacing w:after="0" w:line="279" w:lineRule="auto"/>
        <w:tabs>
          <w:tab w:leader="none" w:pos="315" w:val="left"/>
        </w:tabs>
        <w:numPr>
          <w:ilvl w:val="0"/>
          <w:numId w:val="75"/>
        </w:numPr>
        <w:rPr>
          <w:rFonts w:ascii="Arial" w:cs="Arial" w:eastAsia="Arial" w:hAnsi="Arial"/>
          <w:sz w:val="14"/>
          <w:szCs w:val="14"/>
          <w:b w:val="1"/>
          <w:bCs w:val="1"/>
          <w:color w:val="181818"/>
        </w:rPr>
      </w:pPr>
      <w:r>
        <w:rPr>
          <w:rFonts w:ascii="Arial" w:cs="Arial" w:eastAsia="Arial" w:hAnsi="Arial"/>
          <w:sz w:val="14"/>
          <w:szCs w:val="14"/>
          <w:color w:val="auto"/>
        </w:rPr>
        <w:t>We determined the number of shares of common stock beneficially owned by each person under rules promulgated by the SEC based on information obtained from Company records and filings with the SEC. In calculating the number of shares beneficially owned by an individual or entity and the percentage ownership of that individual or entity, shares underlying options, warrants or restricted stock units held by that individual or entity that are either currently exercisable or exercisable or to be settled within 60 days from June 11, 2026, are deemed outstanding. However, these shares are not deemed outstanding for the purpose of computing the percentage ownership of any other individual or entity. Unless otherwise indicated and subject to community property laws where applicable, the individuals and entities named in the table above have sole voting and investment power with respect to all shares of our common stock shown as beneficially owned by them.</w:t>
      </w:r>
    </w:p>
    <w:p>
      <w:pPr>
        <w:spacing w:after="0" w:line="24" w:lineRule="exact"/>
        <w:rPr>
          <w:rFonts w:ascii="Arial" w:cs="Arial" w:eastAsia="Arial" w:hAnsi="Arial"/>
          <w:sz w:val="14"/>
          <w:szCs w:val="14"/>
          <w:b w:val="1"/>
          <w:bCs w:val="1"/>
          <w:color w:val="181818"/>
        </w:rPr>
      </w:pPr>
    </w:p>
    <w:p>
      <w:pPr>
        <w:ind w:left="327" w:right="20" w:hanging="327"/>
        <w:spacing w:after="0" w:line="273" w:lineRule="auto"/>
        <w:tabs>
          <w:tab w:leader="none" w:pos="295" w:val="left"/>
        </w:tabs>
        <w:numPr>
          <w:ilvl w:val="0"/>
          <w:numId w:val="75"/>
        </w:numPr>
        <w:rPr>
          <w:rFonts w:ascii="Arial" w:cs="Arial" w:eastAsia="Arial" w:hAnsi="Arial"/>
          <w:sz w:val="14"/>
          <w:szCs w:val="14"/>
          <w:b w:val="1"/>
          <w:bCs w:val="1"/>
          <w:color w:val="181818"/>
        </w:rPr>
      </w:pPr>
      <w:r>
        <w:rPr>
          <w:rFonts w:ascii="Arial" w:cs="Arial" w:eastAsia="Arial" w:hAnsi="Arial"/>
          <w:sz w:val="14"/>
          <w:szCs w:val="14"/>
          <w:color w:val="auto"/>
        </w:rPr>
        <w:t>The shares are held directly by Owl Creek I, L.P., a Delaware limited partnership (“Owl Creek I”), Owl Creek II, L.P., a Delaware limited partnership (“Owl Creek II”), Owl Creek Overseas Master Fund, Ltd., a Cayman Islands exempted company (“Owl Creek Overseas”), Owl Creek SRI Master Fund, Ltd., a Cayman Islands exempted company (“Owl Creek SRI”), Owl Creek Credit Opportunities Master Fund, L.P., a Cayman Islands exempted limited partnership (“Owl Creek Credit Fund”) and Owl Creek Special Situations Fund, L.P., a Delaware limited partnership (“Owl Creek Special Situations,” and together with Owl Creek I, Owl Creek II, Owl Creek Overseas, Owl Creek SRI and Owl Creek Credit Fund, the “Owl Creek Funds”), Owl Creek Advisors, LLC (“Owl Creek Advisors”) serves as the general partner of, and has the power to direct the affairs of, Owl Creek I, Owl Creek II, Owl Creek Credit Fund and Owl Creek Special Situations. Owl Creek Asset Management, L.P. (the “Investment Manager”) serves as the investment manager to, and has the power to direct the investment activities of, each of the Owl Creek Funds. Jeffrey A. Altman is the managing member of Owl Creek Advisors and the managing member of the general partner of the Investment Manager. Jeffrey A. Altman, Owl Creek Asset Management, L.P., and Owl Creek Advisors, LLC each disclaim any direct ownership of the shares held by the stockholders, except as to such extent of their respective pecuniary interest in the shares. The address for Owl Creek Asset Management, L.P. is 640 Fifth Avenue, 20th Floor, New York, NY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71577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7"/>
        <w:spacing w:after="0"/>
        <w:tabs>
          <w:tab w:leader="none" w:pos="9267"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1831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79" w:right="318" w:bottom="1440" w:gutter="0" w:footer="0" w:header="0"/>
        </w:sectPr>
      </w:pPr>
    </w:p>
    <w:bookmarkStart w:id="75" w:name="page76"/>
    <w:bookmarkEnd w:id="75"/>
    <w:p>
      <w:pPr>
        <w:ind w:left="7"/>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Stock Ownership</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7" w:right="480" w:hanging="327"/>
        <w:spacing w:after="0" w:line="320" w:lineRule="auto"/>
        <w:tabs>
          <w:tab w:leader="none" w:pos="290" w:val="left"/>
        </w:tabs>
        <w:numPr>
          <w:ilvl w:val="0"/>
          <w:numId w:val="76"/>
        </w:numPr>
        <w:rPr>
          <w:rFonts w:ascii="Arial" w:cs="Arial" w:eastAsia="Arial" w:hAnsi="Arial"/>
          <w:sz w:val="14"/>
          <w:szCs w:val="14"/>
          <w:b w:val="1"/>
          <w:bCs w:val="1"/>
          <w:color w:val="181818"/>
        </w:rPr>
      </w:pPr>
      <w:r>
        <w:rPr>
          <w:rFonts w:ascii="Arial" w:cs="Arial" w:eastAsia="Arial" w:hAnsi="Arial"/>
          <w:sz w:val="14"/>
          <w:szCs w:val="14"/>
          <w:color w:val="auto"/>
        </w:rPr>
        <w:t>The shares are held by Heard Capital LLC, a Delaware limited liability company. William E. Heard is the CEO and Chief Investment Officer of Heard Capital LLC. The address for Heard Capital LLC is 1 N. Wacker Drive, Suite 3650, Chicago, IL 60606.</w:t>
      </w:r>
    </w:p>
    <w:p>
      <w:pPr>
        <w:spacing w:after="0" w:line="2" w:lineRule="exact"/>
        <w:rPr>
          <w:rFonts w:ascii="Arial" w:cs="Arial" w:eastAsia="Arial" w:hAnsi="Arial"/>
          <w:sz w:val="14"/>
          <w:szCs w:val="14"/>
          <w:b w:val="1"/>
          <w:bCs w:val="1"/>
          <w:color w:val="181818"/>
        </w:rPr>
      </w:pPr>
    </w:p>
    <w:p>
      <w:pPr>
        <w:ind w:left="287" w:hanging="287"/>
        <w:spacing w:after="0"/>
        <w:tabs>
          <w:tab w:leader="none" w:pos="287" w:val="left"/>
        </w:tabs>
        <w:numPr>
          <w:ilvl w:val="0"/>
          <w:numId w:val="76"/>
        </w:numPr>
        <w:rPr>
          <w:rFonts w:ascii="Arial" w:cs="Arial" w:eastAsia="Arial" w:hAnsi="Arial"/>
          <w:sz w:val="14"/>
          <w:szCs w:val="14"/>
          <w:b w:val="1"/>
          <w:bCs w:val="1"/>
          <w:color w:val="181818"/>
        </w:rPr>
      </w:pPr>
      <w:r>
        <w:rPr>
          <w:rFonts w:ascii="Arial" w:cs="Arial" w:eastAsia="Arial" w:hAnsi="Arial"/>
          <w:sz w:val="14"/>
          <w:szCs w:val="14"/>
          <w:color w:val="auto"/>
        </w:rPr>
        <w:t>Consists of (i) 8,260 shares of common stock, and (ii) 138,318 shares of common stock underlying an option that are exercisable within 60 days of June 11, 2026.</w:t>
      </w:r>
    </w:p>
    <w:p>
      <w:pPr>
        <w:spacing w:after="0" w:line="95" w:lineRule="exact"/>
        <w:rPr>
          <w:rFonts w:ascii="Arial" w:cs="Arial" w:eastAsia="Arial" w:hAnsi="Arial"/>
          <w:sz w:val="14"/>
          <w:szCs w:val="14"/>
          <w:b w:val="1"/>
          <w:bCs w:val="1"/>
          <w:color w:val="181818"/>
        </w:rPr>
      </w:pPr>
    </w:p>
    <w:p>
      <w:pPr>
        <w:ind w:left="327" w:right="20" w:hanging="327"/>
        <w:spacing w:after="0" w:line="311" w:lineRule="auto"/>
        <w:tabs>
          <w:tab w:leader="none" w:pos="292" w:val="left"/>
        </w:tabs>
        <w:numPr>
          <w:ilvl w:val="0"/>
          <w:numId w:val="76"/>
        </w:numPr>
        <w:rPr>
          <w:rFonts w:ascii="Arial" w:cs="Arial" w:eastAsia="Arial" w:hAnsi="Arial"/>
          <w:sz w:val="14"/>
          <w:szCs w:val="14"/>
          <w:b w:val="1"/>
          <w:bCs w:val="1"/>
          <w:color w:val="181818"/>
        </w:rPr>
      </w:pPr>
      <w:r>
        <w:rPr>
          <w:rFonts w:ascii="Arial" w:cs="Arial" w:eastAsia="Arial" w:hAnsi="Arial"/>
          <w:sz w:val="14"/>
          <w:szCs w:val="14"/>
          <w:color w:val="auto"/>
        </w:rPr>
        <w:t>Consists of (i) 10,372 shares of common stock, and (ii) 39,332 shares of common stock underlying an option that are exercisable and (iii) 6,222 shares of restricted common stock that vests in full within 60 days of June 11, 2026.</w:t>
      </w:r>
    </w:p>
    <w:p>
      <w:pPr>
        <w:spacing w:after="0" w:line="14" w:lineRule="exact"/>
        <w:rPr>
          <w:rFonts w:ascii="Arial" w:cs="Arial" w:eastAsia="Arial" w:hAnsi="Arial"/>
          <w:sz w:val="14"/>
          <w:szCs w:val="14"/>
          <w:b w:val="1"/>
          <w:bCs w:val="1"/>
          <w:color w:val="181818"/>
        </w:rPr>
      </w:pPr>
    </w:p>
    <w:p>
      <w:pPr>
        <w:ind w:left="327" w:right="540" w:hanging="327"/>
        <w:spacing w:after="0" w:line="311" w:lineRule="auto"/>
        <w:tabs>
          <w:tab w:leader="none" w:pos="290" w:val="left"/>
        </w:tabs>
        <w:numPr>
          <w:ilvl w:val="0"/>
          <w:numId w:val="76"/>
        </w:numPr>
        <w:rPr>
          <w:rFonts w:ascii="Arial" w:cs="Arial" w:eastAsia="Arial" w:hAnsi="Arial"/>
          <w:sz w:val="14"/>
          <w:szCs w:val="14"/>
          <w:b w:val="1"/>
          <w:bCs w:val="1"/>
          <w:color w:val="181818"/>
        </w:rPr>
      </w:pPr>
      <w:r>
        <w:rPr>
          <w:rFonts w:ascii="Arial" w:cs="Arial" w:eastAsia="Arial" w:hAnsi="Arial"/>
          <w:sz w:val="14"/>
          <w:szCs w:val="14"/>
          <w:color w:val="auto"/>
        </w:rPr>
        <w:t>Consists of (i) 38,105 shares of common stock, and (ii) 214,904 shares of common stock underlying an option that are exercisable and (iii) 3,361 shares of restricted common stock that vests in full within 60 days of June 11, 2026.</w:t>
      </w:r>
    </w:p>
    <w:p>
      <w:pPr>
        <w:spacing w:after="0" w:line="14" w:lineRule="exact"/>
        <w:rPr>
          <w:rFonts w:ascii="Arial" w:cs="Arial" w:eastAsia="Arial" w:hAnsi="Arial"/>
          <w:sz w:val="14"/>
          <w:szCs w:val="14"/>
          <w:b w:val="1"/>
          <w:bCs w:val="1"/>
          <w:color w:val="181818"/>
        </w:rPr>
      </w:pPr>
    </w:p>
    <w:p>
      <w:pPr>
        <w:ind w:left="327" w:right="280" w:hanging="327"/>
        <w:spacing w:after="0" w:line="311" w:lineRule="auto"/>
        <w:tabs>
          <w:tab w:leader="none" w:pos="300" w:val="left"/>
        </w:tabs>
        <w:numPr>
          <w:ilvl w:val="0"/>
          <w:numId w:val="76"/>
        </w:numPr>
        <w:rPr>
          <w:rFonts w:ascii="Arial" w:cs="Arial" w:eastAsia="Arial" w:hAnsi="Arial"/>
          <w:sz w:val="14"/>
          <w:szCs w:val="14"/>
          <w:b w:val="1"/>
          <w:bCs w:val="1"/>
          <w:color w:val="181818"/>
        </w:rPr>
      </w:pPr>
      <w:r>
        <w:rPr>
          <w:rFonts w:ascii="Arial" w:cs="Arial" w:eastAsia="Arial" w:hAnsi="Arial"/>
          <w:sz w:val="14"/>
          <w:szCs w:val="14"/>
          <w:color w:val="auto"/>
        </w:rPr>
        <w:t>Consists of (i) 5,411,776 shares held by Owl Creek Asset Management, L.P., (ii) 132,141 shares of common stock, and (iii) 7,767 shares of restricted common stock that vests in full within 60 days of June 11, 2026.</w:t>
      </w:r>
    </w:p>
    <w:p>
      <w:pPr>
        <w:spacing w:after="0" w:line="14" w:lineRule="exact"/>
        <w:rPr>
          <w:rFonts w:ascii="Arial" w:cs="Arial" w:eastAsia="Arial" w:hAnsi="Arial"/>
          <w:sz w:val="14"/>
          <w:szCs w:val="14"/>
          <w:b w:val="1"/>
          <w:bCs w:val="1"/>
          <w:color w:val="181818"/>
        </w:rPr>
      </w:pPr>
    </w:p>
    <w:p>
      <w:pPr>
        <w:ind w:left="327" w:right="360" w:hanging="327"/>
        <w:spacing w:after="0" w:line="311" w:lineRule="auto"/>
        <w:tabs>
          <w:tab w:leader="none" w:pos="290" w:val="left"/>
        </w:tabs>
        <w:numPr>
          <w:ilvl w:val="0"/>
          <w:numId w:val="76"/>
        </w:numPr>
        <w:rPr>
          <w:rFonts w:ascii="Arial" w:cs="Arial" w:eastAsia="Arial" w:hAnsi="Arial"/>
          <w:sz w:val="14"/>
          <w:szCs w:val="14"/>
          <w:b w:val="1"/>
          <w:bCs w:val="1"/>
          <w:color w:val="181818"/>
        </w:rPr>
      </w:pPr>
      <w:r>
        <w:rPr>
          <w:rFonts w:ascii="Arial" w:cs="Arial" w:eastAsia="Arial" w:hAnsi="Arial"/>
          <w:sz w:val="14"/>
          <w:szCs w:val="14"/>
          <w:color w:val="auto"/>
        </w:rPr>
        <w:t>Consists of (i) 7,767 shares of restricted common stock that vests in full within 60 days of June 11, 2026, and (ii) shares of common stock as follows: Leslie B. Daniels - 53,712 shares, Mark A. Fleischhauer - 8,502 shares, and Mahvash Yazdi - 18,640 shares.</w:t>
      </w:r>
    </w:p>
    <w:p>
      <w:pPr>
        <w:spacing w:after="0" w:line="14" w:lineRule="exact"/>
        <w:rPr>
          <w:rFonts w:ascii="Arial" w:cs="Arial" w:eastAsia="Arial" w:hAnsi="Arial"/>
          <w:sz w:val="14"/>
          <w:szCs w:val="14"/>
          <w:b w:val="1"/>
          <w:bCs w:val="1"/>
          <w:color w:val="181818"/>
        </w:rPr>
      </w:pPr>
    </w:p>
    <w:p>
      <w:pPr>
        <w:ind w:left="327" w:right="120" w:hanging="327"/>
        <w:spacing w:after="0" w:line="311" w:lineRule="auto"/>
        <w:tabs>
          <w:tab w:leader="none" w:pos="290" w:val="left"/>
        </w:tabs>
        <w:numPr>
          <w:ilvl w:val="0"/>
          <w:numId w:val="76"/>
        </w:numPr>
        <w:rPr>
          <w:rFonts w:ascii="Arial" w:cs="Arial" w:eastAsia="Arial" w:hAnsi="Arial"/>
          <w:sz w:val="14"/>
          <w:szCs w:val="14"/>
          <w:b w:val="1"/>
          <w:bCs w:val="1"/>
          <w:color w:val="181818"/>
        </w:rPr>
      </w:pPr>
      <w:r>
        <w:rPr>
          <w:rFonts w:ascii="Arial" w:cs="Arial" w:eastAsia="Arial" w:hAnsi="Arial"/>
          <w:sz w:val="14"/>
          <w:szCs w:val="14"/>
          <w:color w:val="auto"/>
        </w:rPr>
        <w:t>Consists of (i) 1,716,738 shares held by Heard Capital LLC, and (ii) 1,887 shares of common stock and (iii) 7,767 shares of restricted common stock that vests in full within 60 days of June 11, 2026.</w:t>
      </w:r>
    </w:p>
    <w:p>
      <w:pPr>
        <w:spacing w:after="0" w:line="14" w:lineRule="exact"/>
        <w:rPr>
          <w:rFonts w:ascii="Arial" w:cs="Arial" w:eastAsia="Arial" w:hAnsi="Arial"/>
          <w:sz w:val="14"/>
          <w:szCs w:val="14"/>
          <w:b w:val="1"/>
          <w:bCs w:val="1"/>
          <w:color w:val="181818"/>
        </w:rPr>
      </w:pPr>
    </w:p>
    <w:p>
      <w:pPr>
        <w:ind w:left="287" w:hanging="287"/>
        <w:spacing w:after="0"/>
        <w:tabs>
          <w:tab w:leader="none" w:pos="287" w:val="left"/>
        </w:tabs>
        <w:numPr>
          <w:ilvl w:val="0"/>
          <w:numId w:val="76"/>
        </w:numPr>
        <w:rPr>
          <w:rFonts w:ascii="Arial" w:cs="Arial" w:eastAsia="Arial" w:hAnsi="Arial"/>
          <w:sz w:val="14"/>
          <w:szCs w:val="14"/>
          <w:b w:val="1"/>
          <w:bCs w:val="1"/>
          <w:color w:val="181818"/>
        </w:rPr>
      </w:pPr>
      <w:r>
        <w:rPr>
          <w:rFonts w:ascii="Arial" w:cs="Arial" w:eastAsia="Arial" w:hAnsi="Arial"/>
          <w:sz w:val="14"/>
          <w:szCs w:val="14"/>
          <w:color w:val="auto"/>
        </w:rPr>
        <w:t>Includes shares owned by our executive officers, current directors, and director nominees, including 49,090 shares vesting within 60 days of June 11, 2026.</w:t>
      </w:r>
    </w:p>
    <w:p>
      <w:pPr>
        <w:spacing w:after="0" w:line="237" w:lineRule="exact"/>
        <w:rPr>
          <w:sz w:val="20"/>
          <w:szCs w:val="20"/>
          <w:color w:val="auto"/>
        </w:rPr>
      </w:pPr>
    </w:p>
    <w:p>
      <w:pPr>
        <w:jc w:val="both"/>
        <w:ind w:left="7"/>
        <w:spacing w:after="0" w:line="306" w:lineRule="auto"/>
        <w:rPr>
          <w:sz w:val="20"/>
          <w:szCs w:val="20"/>
          <w:color w:val="auto"/>
        </w:rPr>
      </w:pPr>
      <w:r>
        <w:rPr>
          <w:rFonts w:ascii="Arial" w:cs="Arial" w:eastAsia="Arial" w:hAnsi="Arial"/>
          <w:sz w:val="16"/>
          <w:szCs w:val="16"/>
          <w:b w:val="1"/>
          <w:bCs w:val="1"/>
          <w:color w:val="181818"/>
        </w:rPr>
        <w:t xml:space="preserve">Stock Ownership Guidelines: </w:t>
      </w:r>
      <w:r>
        <w:rPr>
          <w:rFonts w:ascii="Arial" w:cs="Arial" w:eastAsia="Arial" w:hAnsi="Arial"/>
          <w:sz w:val="16"/>
          <w:szCs w:val="16"/>
          <w:color w:val="000000"/>
        </w:rPr>
        <w:t>Our executive officers and directors are subject to stock ownership guidelines approved by the Board. Our CEO must</w:t>
      </w:r>
      <w:r>
        <w:rPr>
          <w:rFonts w:ascii="Arial" w:cs="Arial" w:eastAsia="Arial" w:hAnsi="Arial"/>
          <w:sz w:val="16"/>
          <w:szCs w:val="16"/>
          <w:b w:val="1"/>
          <w:bCs w:val="1"/>
          <w:color w:val="181818"/>
        </w:rPr>
        <w:t xml:space="preserve"> </w:t>
      </w:r>
      <w:r>
        <w:rPr>
          <w:rFonts w:ascii="Arial" w:cs="Arial" w:eastAsia="Arial" w:hAnsi="Arial"/>
          <w:sz w:val="16"/>
          <w:szCs w:val="16"/>
          <w:color w:val="000000"/>
        </w:rPr>
        <w:t>beneficially own shares of our common stock with a value equal to five times his base salary. All other executive officers must beneficially own shares with a value equal to three times their base salary. Non-employee directors must beneficially own shares of our common stock with a value equal to three times their annual cash retainer. Our executives and directors have five years to achieve their respective stock ownership guideline levels from their appointment or promotion date. As of the end of Fiscal 2026, each executive officer and non-employee director is in compliance with the stock ownership guidelines.</w:t>
      </w:r>
    </w:p>
    <w:p>
      <w:pPr>
        <w:spacing w:after="0" w:line="69" w:lineRule="exact"/>
        <w:rPr>
          <w:sz w:val="20"/>
          <w:szCs w:val="20"/>
          <w:color w:val="auto"/>
        </w:rPr>
      </w:pPr>
    </w:p>
    <w:p>
      <w:pPr>
        <w:jc w:val="both"/>
        <w:ind w:left="7"/>
        <w:spacing w:after="0" w:line="347" w:lineRule="auto"/>
        <w:rPr>
          <w:sz w:val="20"/>
          <w:szCs w:val="20"/>
          <w:color w:val="auto"/>
        </w:rPr>
      </w:pPr>
      <w:r>
        <w:rPr>
          <w:rFonts w:ascii="Arial" w:cs="Arial" w:eastAsia="Arial" w:hAnsi="Arial"/>
          <w:sz w:val="16"/>
          <w:szCs w:val="16"/>
          <w:b w:val="1"/>
          <w:bCs w:val="1"/>
          <w:color w:val="181818"/>
        </w:rPr>
        <w:t xml:space="preserve">Changes in Control: </w:t>
      </w:r>
      <w:r>
        <w:rPr>
          <w:rFonts w:ascii="Arial" w:cs="Arial" w:eastAsia="Arial" w:hAnsi="Arial"/>
          <w:sz w:val="16"/>
          <w:szCs w:val="16"/>
          <w:color w:val="000000"/>
        </w:rPr>
        <w:t>We are not aware of any, nor are we a party to, arrangements, including any pledge by any person of our securities, the operation of</w:t>
      </w:r>
      <w:r>
        <w:rPr>
          <w:rFonts w:ascii="Arial" w:cs="Arial" w:eastAsia="Arial" w:hAnsi="Arial"/>
          <w:sz w:val="16"/>
          <w:szCs w:val="16"/>
          <w:b w:val="1"/>
          <w:bCs w:val="1"/>
          <w:color w:val="181818"/>
        </w:rPr>
        <w:t xml:space="preserve"> </w:t>
      </w:r>
      <w:r>
        <w:rPr>
          <w:rFonts w:ascii="Arial" w:cs="Arial" w:eastAsia="Arial" w:hAnsi="Arial"/>
          <w:sz w:val="16"/>
          <w:szCs w:val="16"/>
          <w:color w:val="000000"/>
        </w:rPr>
        <w:t>which may at a subsequent date result in a Change of Control.</w:t>
      </w:r>
    </w:p>
    <w:p>
      <w:pPr>
        <w:spacing w:after="0" w:line="64"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9314A"/>
        </w:rPr>
        <w:t>Delinquent Section 16(a) Reports</w:t>
      </w:r>
    </w:p>
    <w:p>
      <w:pPr>
        <w:spacing w:after="0" w:line="135" w:lineRule="exact"/>
        <w:rPr>
          <w:sz w:val="20"/>
          <w:szCs w:val="20"/>
          <w:color w:val="auto"/>
        </w:rPr>
      </w:pPr>
    </w:p>
    <w:p>
      <w:pPr>
        <w:jc w:val="both"/>
        <w:ind w:left="7"/>
        <w:spacing w:after="0" w:line="304" w:lineRule="auto"/>
        <w:rPr>
          <w:sz w:val="20"/>
          <w:szCs w:val="20"/>
          <w:color w:val="auto"/>
        </w:rPr>
      </w:pPr>
      <w:r>
        <w:rPr>
          <w:rFonts w:ascii="Arial" w:cs="Arial" w:eastAsia="Arial" w:hAnsi="Arial"/>
          <w:sz w:val="16"/>
          <w:szCs w:val="16"/>
          <w:color w:val="auto"/>
        </w:rPr>
        <w:t>Section 16(a) of the Exchange Act requires our directors, executive officers and persons who own more than 10% of our common stock (collectively, “Reporting Persons”) to file with the SEC initial reports of ownership and reports of changes in ownership of our common stock and any other equity securities. Based on a review of the copies of the reports furnished to us, the Reporting Persons complied with all applicable Section 16(a) filing requirements with the exception of a Form 3 report filed on behalf of each of Elena Marquez and Heather Martin that were filed late due to SEC processing delays resulting from administrative errors and a Form 4 report filed on behalf of each of Gena Ashe, Ryan Gerbrandt, Tim Gray, Chris Guttman-McCabe and Elena Marquez that were one day late due to administrative errors.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375285</wp:posOffset>
            </wp:positionV>
            <wp:extent cx="71577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7"/>
        <w:spacing w:after="0"/>
        <w:tabs>
          <w:tab w:leader="none" w:pos="10267" w:val="left"/>
        </w:tabs>
        <w:rPr>
          <w:sz w:val="20"/>
          <w:szCs w:val="20"/>
          <w:color w:val="auto"/>
        </w:rPr>
      </w:pPr>
      <w:r>
        <w:rPr>
          <w:rFonts w:ascii="Arial" w:cs="Arial" w:eastAsia="Arial" w:hAnsi="Arial"/>
          <w:sz w:val="14"/>
          <w:szCs w:val="14"/>
          <w:color w:val="09314A"/>
        </w:rPr>
        <w:t xml:space="preserve">72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1831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308" w:right="318" w:bottom="1440" w:gutter="0" w:footer="0" w:header="0"/>
        </w:sectPr>
      </w:pPr>
    </w:p>
    <w:bookmarkStart w:id="76" w:name="page77"/>
    <w:bookmarkEnd w:id="76"/>
    <w:p>
      <w:pPr>
        <w:spacing w:after="0"/>
        <w:rPr>
          <w:sz w:val="20"/>
          <w:szCs w:val="20"/>
          <w:color w:val="auto"/>
        </w:rPr>
      </w:pPr>
      <w:r>
        <w:rPr>
          <w:rFonts w:ascii="Arial" w:cs="Arial" w:eastAsia="Arial" w:hAnsi="Arial"/>
          <w:sz w:val="41"/>
          <w:szCs w:val="41"/>
          <w:b w:val="1"/>
          <w:bCs w:val="1"/>
          <w:color w:val="181818"/>
        </w:rPr>
        <w:t>Additional Information</w:t>
      </w:r>
    </w:p>
    <w:p>
      <w:pPr>
        <w:spacing w:after="0" w:line="17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These proxy materials are provided to you in connection with the solicitation by the Board of Anterix Inc. for proxies to be voted at the Annual Meeting to be held at 9:30 a.m., Eastern Daylight Time, on August 4, 2026, via the internet at www.virtualshareholdermeeting.com/atex2026 and at any adjournments or postponements thereof, for the purposes set forth in the accompanying Notice. References in this Proxy Statement to the “Company,” “we,” “our,” and “us” are to Anterix Inc. and its subsidiaries.</w:t>
      </w:r>
    </w:p>
    <w:p>
      <w:pPr>
        <w:spacing w:after="0" w:line="6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You may attend the Annual Meeting only if you were a stockholder of record as of the Record Date (June 11, 2026) or hold a valid proxy for the Annual Meeting. If you are entitled to attend the Annual Meeting, you may attend, vote, and submit questions during the Annual Meeting by visiting www.virtualshareholdermeeting.com/atex2026 using the 16-digit control number on your proxy card or on the instructions that accompanied your proxy materials to enter the Annual Meeting. If you are not a stockholder of record but hold shares as a beneficial owner in street name and you wish to vote your shares electronically at the Annual Meeting, you will need to first obtain a proxy issued in your name from your broker, bank, trustee, or other nominee.</w:t>
      </w:r>
    </w:p>
    <w:p>
      <w:pPr>
        <w:spacing w:after="0" w:line="69"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You should give yourself plenty of time to log into the virtual meeting platform and ensure you can hear the audio before the start of the Annual Meeting. If you encounter difficulties accessing the Annual Meeting during the check-in or meeting time, please call the technical support number posted on the virtual annual meeting page for assistance. Technical support will be available 15 minutes before the start of the Annual Meeting.</w:t>
      </w:r>
    </w:p>
    <w:p>
      <w:pPr>
        <w:spacing w:after="0" w:line="6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If you want to submit a question or comment during the Annual Meeting, log into the virtual meeting platform at www.virtualshareholdermeeting.com/atex2026, type your question or comment into the “Ask a Question” field, and click “Submit.” We will address questions and comments submitted via the virtual meeting platform pertinent to Annual Meeting matters during the meeting. Consistent with our approach at past Annual Meetings, questions or comments that are not related to the proposals under discussion, are about personal concerns not shared by stockholders generally, or use blatantly offensive language may be ruled out of order and will not be considered. If there are questions from multiple stockholders that address the same topic, such questions may be aggregated and answered at once.</w:t>
      </w:r>
    </w:p>
    <w:p>
      <w:pPr>
        <w:spacing w:after="0" w:line="131"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Record Date</w:t>
      </w:r>
    </w:p>
    <w:p>
      <w:pPr>
        <w:spacing w:after="0" w:line="123"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Holders of shares of our common stock, our only class of issued and outstanding voting securities, at the close of business on June 11, 2026, are entitled to vote on the proposals presented at the Annual Meeting. As of June 11, 2026, 19,261,270 shares of our common stock were issued and outstanding.</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Quorum</w:t>
      </w:r>
    </w:p>
    <w:p>
      <w:pPr>
        <w:spacing w:after="0" w:line="1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presence, either online or by proxy, of the holders of a majority of the issued and outstanding shares of common stock entitled to vote at the Annual Meeting is necessary to constitute a quorum for the transaction of business at the Annual Meeting. Votes for and against, abstentions, and “broker non-votes” will each be counted as present for purposes of determining the presence of a quorum.</w:t>
      </w:r>
    </w:p>
    <w:p>
      <w:pPr>
        <w:spacing w:after="0" w:line="58"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The Annual Meeting may be adjourned or postponed from time to time, and at any reconvened meeting, action with respect to the matters specified in this Proxy Statement may be taken without further notice to stockholders except as required by applicable law or our charter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362585</wp:posOffset>
            </wp:positionV>
            <wp:extent cx="71577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79" w:right="318"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211455</wp:posOffset>
            </wp:positionH>
            <wp:positionV relativeFrom="page">
              <wp:posOffset>85725</wp:posOffset>
            </wp:positionV>
            <wp:extent cx="1156970" cy="596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Additional Information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Stockholders of Record</w:t>
      </w:r>
    </w:p>
    <w:p>
      <w:pPr>
        <w:spacing w:after="0" w:line="1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You are a “stockholder of record” if your shares are registered directly in your name with our transfer agent, Continental Stock Transfer &amp; Trust Company. As a stockholder of record, you have the right to grant your voting proxy directly to the proxy holders listed on the proxy card, to vote electronically at the Annual Meeting, or by internet or by telephone, or, if you received paper copies of the proxy materials by mail, to vote by mail by following the instructions on the proxy card or voting instruction card. All shares represented by a proxy will be voted at the Annual Meeting, and where a stockholder specifies a choice with respect to any matter to be acted upon, the shares will be voted in accordance with the specification so made. If a stockholder does not indicate a choice on the proxy card, the shares will be voted in favor of the election of the nominees for director contained in this Proxy Statement, in favor of approving, on an advisory, non-binding basis, the compensation of our NEOs, in favor of approving , on an advisory, non-binding basis, Amendment No. 2 to the Anterix Inc. 2023 Stock Plan to increase the number of shares available for issuance under the plan, “one year” for the frequency of future advisory votes on the compensation of our NEOs, and in favor of ratifying Deloitte as our independent registered public accounting firm for the fiscal year ending March 31, 2027, and as the proxy holders determine in the exercise of their discretion on any other business or item as may be properly brought before the Annual Meeting or any adjournment or postponement thereof.</w:t>
      </w:r>
    </w:p>
    <w:p>
      <w:pPr>
        <w:spacing w:after="0" w:line="134"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Shares Held in Street Name</w:t>
      </w:r>
    </w:p>
    <w:p>
      <w:pPr>
        <w:spacing w:after="0" w:line="137"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You are deemed to beneficially own your shares in “street name” if your shares are held in an account at a brokerage firm, bank, broker-dealer, trust, or other similar organization. If this is the case, you will receive a separate voting instruction form with this Proxy Statement from that organization.</w:t>
      </w:r>
    </w:p>
    <w:p>
      <w:pPr>
        <w:spacing w:after="0" w:line="5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As the beneficial owner, you have the right to direct your broker, bank, trustee, or other nominee on how to vote your shares, and you are also invited to attend the Annual Meeting. Please note that if your shares are held of record by a broker, bank, trustee, or other nominee and you wish to vote your shares electronically at the Annual Meeting, you will not be permitted to do so during the Annual Meeting unless you first obtain a proxy issued in your name from your broker, bank, trustee, or other nominee.</w:t>
      </w:r>
    </w:p>
    <w:p>
      <w:pPr>
        <w:spacing w:after="0" w:line="5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If you hold your shares in street name and do not provide voting instructions to your broker, bank, trustee, or other nominee, your shares will not be voted on any proposals on which such party does not have discretionary authority to vote (a “broker non-vote”), as further described below under the heading “Broker Non-Votes.”</w:t>
      </w:r>
    </w:p>
    <w:p>
      <w:pPr>
        <w:spacing w:after="0" w:line="116"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Broker Non-Votes</w:t>
      </w:r>
    </w:p>
    <w:p>
      <w:pPr>
        <w:spacing w:after="0" w:line="1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 non-votes are shares held by brokers, banks, trustees, or other nominees who are present online or represented by proxy but which are not voted on a particular matter because the brokers, banks, trustees, or nominees do not have discretionary authority with respect to that proposal and they have not received voting instructions from the beneficial owner. Under the rules that govern brokers, banks, trustees, and other nominees, these entities have the discretion to vote on routine matters but not on non-routine matters. The only routine matter to be considered at the Annual Meeting is the ratification of the appointment of our independent registered public accounting firm. The remaining proposals are considered non-routine matters. As a result, if you do not provide your broker, bank, trustee, or other nominee with voting instructions on these non-routine matters, your shares will not be voted either for or against our director nominees, for or against the advisory approval of the compensation to our NEOs, for or against Amendment No. 2 to the Anterix Inc. 2023 Stock Plan to increase the number of shares available for issuance under the plan, or for the advisory approval of the frequency of future advisory votes on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368300</wp:posOffset>
            </wp:positionV>
            <wp:extent cx="71577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74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78" w:name="page79"/>
    <w:bookmarkEnd w:id="78"/>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Additional Information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Voting Matters</w:t>
      </w:r>
    </w:p>
    <w:p>
      <w:pPr>
        <w:spacing w:after="0" w:line="1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Stockholders are entitled to cast one vote per share of common stock on each matter presented at the Annual Meeting. For ten days preceding the Annual Meeting, a list of stockholders entitled to vote at the Annual Meeting will be available for examination by any stockholder for a purpose related to the Annual Meeting at 3 Garret Mountain Plaza, Suite 401, Woodland Park, New Jersey 07424. To the extent office access is impracticable due to our hybrid work model, you may email us at legal@anterix.com. The list of stockholders will also be available during the Annual Meeting through the meeting website at www.virtualshareholdermeeting.com/atex2026.</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181818"/>
        </w:rPr>
        <w:t>There are five proposals scheduled to be voted on at the Annual Meeting:</w:t>
      </w:r>
    </w:p>
    <w:p>
      <w:pPr>
        <w:spacing w:after="0" w:line="210" w:lineRule="exact"/>
        <w:rPr>
          <w:sz w:val="20"/>
          <w:szCs w:val="20"/>
          <w:color w:val="auto"/>
        </w:rPr>
      </w:pPr>
    </w:p>
    <w:p>
      <w:pPr>
        <w:ind w:left="1160" w:right="620" w:hanging="742"/>
        <w:spacing w:after="0" w:line="183" w:lineRule="auto"/>
        <w:tabs>
          <w:tab w:leader="none" w:pos="1160" w:val="left"/>
        </w:tabs>
        <w:numPr>
          <w:ilvl w:val="0"/>
          <w:numId w:val="77"/>
        </w:numPr>
        <w:rPr>
          <w:rFonts w:ascii="Arial" w:cs="Arial" w:eastAsia="Arial" w:hAnsi="Arial"/>
          <w:sz w:val="48"/>
          <w:szCs w:val="48"/>
          <w:b w:val="1"/>
          <w:bCs w:val="1"/>
          <w:color w:val="FFFFFF"/>
          <w:vertAlign w:val="subscript"/>
        </w:rPr>
      </w:pPr>
      <w:r>
        <w:rPr>
          <w:rFonts w:ascii="Arial" w:cs="Arial" w:eastAsia="Arial" w:hAnsi="Arial"/>
          <w:sz w:val="15"/>
          <w:szCs w:val="15"/>
          <w:color w:val="auto"/>
        </w:rPr>
        <w:t>To elect 7 directors to hold office until the 2027 Annual Meeting of Stockholders and until their respective successors are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7157720" cy="13119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1311910"/>
                    </a:xfrm>
                    <a:prstGeom prst="rect">
                      <a:avLst/>
                    </a:prstGeom>
                    <a:noFill/>
                  </pic:spPr>
                </pic:pic>
              </a:graphicData>
            </a:graphic>
          </wp:anchor>
        </w:drawing>
      </w:r>
    </w:p>
    <w:p>
      <w:pPr>
        <w:ind w:left="1160" w:hanging="742"/>
        <w:spacing w:after="0" w:line="229" w:lineRule="auto"/>
        <w:tabs>
          <w:tab w:leader="none" w:pos="1160" w:val="left"/>
        </w:tabs>
        <w:numPr>
          <w:ilvl w:val="0"/>
          <w:numId w:val="78"/>
        </w:numPr>
        <w:rPr>
          <w:rFonts w:ascii="Arial" w:cs="Arial" w:eastAsia="Arial" w:hAnsi="Arial"/>
          <w:sz w:val="27"/>
          <w:szCs w:val="27"/>
          <w:b w:val="1"/>
          <w:bCs w:val="1"/>
          <w:color w:val="FFFFFF"/>
        </w:rPr>
      </w:pPr>
      <w:r>
        <w:rPr>
          <w:rFonts w:ascii="Arial" w:cs="Arial" w:eastAsia="Arial" w:hAnsi="Arial"/>
          <w:sz w:val="16"/>
          <w:szCs w:val="16"/>
          <w:color w:val="auto"/>
        </w:rPr>
        <w:t>To approve, on an advisory (non-binding) basis, the compensation of our named executive officers</w:t>
      </w:r>
    </w:p>
    <w:p>
      <w:pPr>
        <w:spacing w:after="0" w:line="28" w:lineRule="exact"/>
        <w:rPr>
          <w:sz w:val="20"/>
          <w:szCs w:val="20"/>
          <w:color w:val="auto"/>
        </w:rPr>
      </w:pPr>
    </w:p>
    <w:p>
      <w:pPr>
        <w:ind w:left="1160" w:hanging="742"/>
        <w:spacing w:after="0"/>
        <w:tabs>
          <w:tab w:leader="none" w:pos="1160" w:val="left"/>
        </w:tabs>
        <w:numPr>
          <w:ilvl w:val="0"/>
          <w:numId w:val="79"/>
        </w:numPr>
        <w:rPr>
          <w:rFonts w:ascii="Arial" w:cs="Arial" w:eastAsia="Arial" w:hAnsi="Arial"/>
          <w:sz w:val="27"/>
          <w:szCs w:val="27"/>
          <w:b w:val="1"/>
          <w:bCs w:val="1"/>
          <w:color w:val="FFFFFF"/>
        </w:rPr>
      </w:pPr>
      <w:r>
        <w:rPr>
          <w:rFonts w:ascii="Arial" w:cs="Arial" w:eastAsia="Arial" w:hAnsi="Arial"/>
          <w:sz w:val="16"/>
          <w:szCs w:val="16"/>
          <w:color w:val="auto"/>
        </w:rPr>
        <w:t>To approve Amendment No. 2 to the Anterix Inc. 2023 Stock Plan to increase the number of shares available for issuance under the plan</w:t>
      </w:r>
    </w:p>
    <w:p>
      <w:pPr>
        <w:spacing w:after="0" w:line="88" w:lineRule="exact"/>
        <w:rPr>
          <w:sz w:val="20"/>
          <w:szCs w:val="20"/>
          <w:color w:val="auto"/>
        </w:rPr>
      </w:pPr>
    </w:p>
    <w:p>
      <w:pPr>
        <w:ind w:left="1160" w:right="660" w:hanging="742"/>
        <w:spacing w:after="0" w:line="180" w:lineRule="auto"/>
        <w:tabs>
          <w:tab w:leader="none" w:pos="1160" w:val="left"/>
        </w:tabs>
        <w:numPr>
          <w:ilvl w:val="0"/>
          <w:numId w:val="80"/>
        </w:numPr>
        <w:rPr>
          <w:rFonts w:ascii="Arial" w:cs="Arial" w:eastAsia="Arial" w:hAnsi="Arial"/>
          <w:sz w:val="46"/>
          <w:szCs w:val="46"/>
          <w:b w:val="1"/>
          <w:bCs w:val="1"/>
          <w:color w:val="FFFFFF"/>
          <w:vertAlign w:val="subscript"/>
        </w:rPr>
      </w:pPr>
      <w:r>
        <w:rPr>
          <w:rFonts w:ascii="Arial" w:cs="Arial" w:eastAsia="Arial" w:hAnsi="Arial"/>
          <w:sz w:val="15"/>
          <w:szCs w:val="15"/>
          <w:color w:val="auto"/>
        </w:rPr>
        <w:t>To approve, on an advisory (non-binding) basis, the frequency of future advisory votes on the compensation of our named executive officers</w:t>
      </w:r>
    </w:p>
    <w:p>
      <w:pPr>
        <w:spacing w:after="0" w:line="52" w:lineRule="exact"/>
        <w:rPr>
          <w:sz w:val="20"/>
          <w:szCs w:val="20"/>
          <w:color w:val="auto"/>
        </w:rPr>
      </w:pPr>
    </w:p>
    <w:p>
      <w:pPr>
        <w:ind w:left="1160" w:right="880" w:hanging="742"/>
        <w:spacing w:after="0" w:line="218" w:lineRule="auto"/>
        <w:tabs>
          <w:tab w:leader="none" w:pos="1160" w:val="left"/>
        </w:tabs>
        <w:numPr>
          <w:ilvl w:val="0"/>
          <w:numId w:val="81"/>
        </w:numPr>
        <w:rPr>
          <w:rFonts w:ascii="Arial" w:cs="Arial" w:eastAsia="Arial" w:hAnsi="Arial"/>
          <w:sz w:val="39"/>
          <w:szCs w:val="39"/>
          <w:b w:val="1"/>
          <w:bCs w:val="1"/>
          <w:color w:val="FFFFFF"/>
          <w:vertAlign w:val="subscript"/>
        </w:rPr>
      </w:pPr>
      <w:r>
        <w:rPr>
          <w:rFonts w:ascii="Arial" w:cs="Arial" w:eastAsia="Arial" w:hAnsi="Arial"/>
          <w:sz w:val="14"/>
          <w:szCs w:val="14"/>
          <w:color w:val="auto"/>
        </w:rPr>
        <w:t>To ratify the appointment of Deloitte &amp; Touche LLP as our independent registered public accounting firm for the fiscal year ending March 31, 2027</w:t>
      </w:r>
    </w:p>
    <w:p>
      <w:pPr>
        <w:spacing w:after="0" w:line="312"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Our Board Recommends a Vote “FOR” Each of the Proposals</w:t>
      </w:r>
    </w:p>
    <w:p>
      <w:pPr>
        <w:spacing w:after="0" w:line="137"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Nominees for the Board will be elected if more votes are cast in favor of the nominee than are cast against the nominee by the holders of shares present and voting or represented by proxy and entitled to vote at the Annual Meeting. Each other matter to be voted upon at the Annual Meeting requires the affirmative vote of a majority of the shares of common stock present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71577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79" w:name="page80"/>
    <w:bookmarkEnd w:id="79"/>
    <w:p>
      <w:pPr>
        <w:spacing w:after="0"/>
        <w:rPr>
          <w:sz w:val="20"/>
          <w:szCs w:val="20"/>
          <w:color w:val="auto"/>
        </w:rPr>
      </w:pPr>
      <w:r>
        <w:rPr>
          <w:rFonts w:ascii="Arial" w:cs="Arial" w:eastAsia="Arial" w:hAnsi="Arial"/>
          <w:sz w:val="41"/>
          <w:szCs w:val="41"/>
          <w:b w:val="1"/>
          <w:bCs w:val="1"/>
          <w:color w:val="181818"/>
        </w:rPr>
        <w:t>Other Matters</w:t>
      </w:r>
    </w:p>
    <w:p>
      <w:pPr>
        <w:spacing w:after="0" w:line="17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are unaware of any matters to be raised at the Annual Meeting other than those referred to in this Proxy Statement. If other matters are properly presented at the Annual Meeting for consideration and you are a stockholder of record and have submitted your proxy, the persons named in your proxy will have the discretion to vote on those matters for you, provided that they will not vote in the election of directors for any nominee(s) from whom authority to vote has been withheld.</w:t>
      </w:r>
    </w:p>
    <w:p>
      <w:pPr>
        <w:spacing w:after="0" w:line="121"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Proxy Solicitation</w:t>
      </w:r>
    </w:p>
    <w:p>
      <w:pPr>
        <w:spacing w:after="0" w:line="12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will bear the expenses of calling and holding the Annual Meeting and soliciting proxies. In addition to being mailed directly to stockholders, this Proxy Statement and the accompanying materials will be distributed through brokers, custodians, nominees, and other like parties to beneficial owners of shares of common stock. We will pay reasonable expenses incurred in forwarding the proxy materials to the beneficial owners of shares and in obtaining the written instructions of such beneficial owners. Our directors, officers, and employees may also solicit proxies by mail, telephone, and personal contact, but they will not receive any additional compensation for these activities.</w:t>
      </w:r>
    </w:p>
    <w:p>
      <w:pPr>
        <w:spacing w:after="0" w:line="127"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Stockholder Proposals for the 2027 Annual Meeting</w:t>
      </w:r>
    </w:p>
    <w:p>
      <w:pPr>
        <w:spacing w:after="0" w:line="12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Stockholders interested in submitting a proposal for consideration at our 2027 Annual Meeting must do so by sending the proposal to our Chief Legal Officer and Corporate Secretary at Anterix Inc., 3 Garret Mountain Plaza, Suite 401, Woodland Park, New Jersey 07424. Under SEC Rule 14a-8, the deadline for submitting proposals to be included in our proxy materials for the 2027 Annual Meeting is February 25, 2027. Accordingly, for a stockholder proposal to be considered for inclusion in our proxy materials for the 2026 Annual Meeting, any such stockholder proposal must be received by our Chief Legal Officer and Corporate Secretary on or before February 25, 2027, and comply with the procedures and requirements set forth in Rule 14a-8 under the Exchange Act, as well as the applicable requirements of our Amended and Restated Bylaws. Any stockholder proposal received after February 25, 2027, will be considered untimely and will not be included in our proxy materials. In addition, stockholders interested in submitting a proposal outside of Rule 14a-8 must properly submit such a proposal in accordance with our Amended and Restated Bylaws.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Amended and Restated Bylaws require advance notice of business to be brought before a stockholders’ meeting, including nominations of persons for election as directors. To be timely, notice to our Chief Legal Officer and Corporate Secretary must be received at our principal executive offices not less than 90 days but not more than 120 days prior to the one-year anniversary of the date of the 2026 Annual Meeting (i.e., August 4, 2026) and must contain specified information concerning the matters to be brought before such meeting and concerning the stockholder proposing such matters as required by our Amended and Restated Bylaws. Therefore, to be presented at our 2027 Annual Meeting, we must receive such a proposal on or after April 7, 2027, but no later than May 7, 2027. If the date of the 2027 Annual Meeting is advanced by more than 30 days, or delayed by more than 70 days, from the one-year anniversary of the 2026 Annual Meeting, notice must be received no earlier than the 120th day prior to such Annual Meeting and not later than the close of business on the later of (i) the 90th day prior to such Annual Meeting or (ii) if the first public announcement of the date of such annual meeting is less than 100 days before the date of such annual meeting, the 10th day following the day on which the public announcement of the date of such Annual Meeting is first made. Stockholders who intend to solicit proxies in support of director nominees other than our nominees must provide notice that sets forth the information required by Rule 14a-19 under the Exchange Act no later than June 16, 2027. If a proposal is received on time, the proxies that management solicits for the meeting may still exercise discretionary voting authority on the proposal under circumstances consistent with the proxy rules of the SEC. You are advised to review our Amended and Restated Bylaws, which contain additional requirements about advance notice of stockholder proposals and director nominations available on our investor relations website, investors.anterix.com.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381000</wp:posOffset>
            </wp:positionV>
            <wp:extent cx="71577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76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79" w:right="318" w:bottom="1440" w:gutter="0" w:footer="0" w:header="0"/>
        </w:sectPr>
      </w:pPr>
    </w:p>
    <w:bookmarkStart w:id="80" w:name="page81"/>
    <w:bookmarkEnd w:id="80"/>
    <w:p>
      <w:pPr>
        <w:jc w:val="right"/>
        <w:spacing w:after="0"/>
        <w:rPr>
          <w:sz w:val="20"/>
          <w:szCs w:val="20"/>
          <w:color w:val="auto"/>
        </w:rPr>
      </w:pPr>
      <w:r>
        <w:rPr>
          <w:rFonts w:ascii="Arial" w:cs="Arial" w:eastAsia="Arial" w:hAnsi="Arial"/>
          <w:sz w:val="14"/>
          <w:szCs w:val="14"/>
          <w:b w:val="1"/>
          <w:bCs w:val="1"/>
          <w:color w:val="09314A"/>
        </w:rPr>
        <w:drawing>
          <wp:anchor simplePos="0" relativeHeight="251657728" behindDoc="1" locked="0" layoutInCell="0" allowOverlap="1">
            <wp:simplePos x="0" y="0"/>
            <wp:positionH relativeFrom="page">
              <wp:posOffset>6212205</wp:posOffset>
            </wp:positionH>
            <wp:positionV relativeFrom="page">
              <wp:posOffset>85725</wp:posOffset>
            </wp:positionV>
            <wp:extent cx="1156970" cy="596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1156970" cy="59690"/>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Householding of Annual Meeting Materials</w:t>
      </w:r>
    </w:p>
    <w:p>
      <w:pPr>
        <w:spacing w:after="0" w:line="12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have adopted “householding,” a procedure approved by the SEC under which stockholders who share an address will receive a single copy of the Notice and Proxy Statement or a single set of our proxy material, as applicable. Each stockholder continues to receive a separate proxy card. This procedure reduces printing costs and mailing fees while also reducing the environmental impact of distributing documents related to the Annual Meeting. If you reside at the same address as another Anterix stockholder and wish to receive a separate copy of the Annual Meeting materials, you may do so by making a written or oral request to Anterix Inc., 3 Garret Mountain Plaza, Suite 401, Woodland Park, New Jersey 07424, Attn: Chief Legal Officer and Corporate Secretary, (973) 255-4945. Upon your request, we will deliver a separate copy to you.</w:t>
      </w:r>
    </w:p>
    <w:p>
      <w:pPr>
        <w:spacing w:after="0" w:line="7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please notify your broker directly. You may also write to Continental Stock Transfer &amp; Trust Company, 1 State Street, 30th Floor, New York, NY 10004, Attention: Compliance Department, and include your name, name of your broker or other nominee, and your account number(s). Any stockholders who share the same address and currently receive multiple copies of the Annual Report, Proxy Statement and Notice who wish to receive only one copy in the future may contact their bank, broker, or other holder of record, or Anterix Inc. at the contact information listed above, to request information about householding.</w:t>
      </w:r>
    </w:p>
    <w:p>
      <w:pPr>
        <w:spacing w:after="0" w:line="130"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Annual Report on Form 10-K</w:t>
      </w:r>
    </w:p>
    <w:p>
      <w:pPr>
        <w:spacing w:after="0" w:line="12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filed an Annual Report with the SEC, which is accessible free of charge on our investor website, investors.anterix.com. A copy of our Annual Report will also be made available (without exhibits) free of charge to interested stockholders upon written request to Anterix Inc., 3 Garret Mountain Plaza, Suite 401, Woodland Park, New Jersey 07424, Attention: Chief Legal Officer and Corporate Secretary. The Annual Report is not incorporated into this Proxy Statement and is not considered proxy-soliciting material.</w:t>
      </w:r>
    </w:p>
    <w:p>
      <w:pPr>
        <w:spacing w:after="0" w:line="126"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Forward-Looking Statements</w:t>
      </w:r>
    </w:p>
    <w:p>
      <w:pPr>
        <w:spacing w:after="0" w:line="13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Certain statements contained in this Proxy Statement and the accompanying letters, other than historical information, constitute forward-looking statements. Any such forward-looking statements are based on our management’s current expectations and are subject to many risks and uncertainties that could cause our actual results to differ materially from our management’s current expectations or those implied by the forward-looking statements. The risks and uncertainties that may affect our future results of operations are identified and described in our Annual Report. Accordingly, you should not rely upon forward-looking statements as predictions of future events. Except as required by applicable law, we undertake no obligation to update publicly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71577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9260" w:val="left"/>
        </w:tabs>
        <w:rPr>
          <w:sz w:val="20"/>
          <w:szCs w:val="20"/>
          <w:color w:val="auto"/>
        </w:rPr>
      </w:pPr>
      <w:r>
        <w:rPr>
          <w:rFonts w:ascii="Arial" w:cs="Arial" w:eastAsia="Arial" w:hAnsi="Arial"/>
          <w:sz w:val="14"/>
          <w:szCs w:val="14"/>
          <w:b w:val="1"/>
          <w:bCs w:val="1"/>
          <w:color w:val="09314A"/>
        </w:rPr>
        <w:t>ANTERIX INC.</w:t>
      </w:r>
      <w:r>
        <w:rPr>
          <w:sz w:val="20"/>
          <w:szCs w:val="20"/>
          <w:color w:val="auto"/>
        </w:rPr>
        <w:tab/>
      </w:r>
      <w:r>
        <w:rPr>
          <w:rFonts w:ascii="Arial" w:cs="Arial" w:eastAsia="Arial" w:hAnsi="Arial"/>
          <w:sz w:val="14"/>
          <w:szCs w:val="14"/>
          <w:b w:val="1"/>
          <w:bCs w:val="1"/>
          <w:color w:val="09314A"/>
        </w:rPr>
        <w:t xml:space="preserve">2026 PROXY STATEMENT </w:t>
      </w:r>
      <w:r>
        <w:rPr>
          <w:rFonts w:ascii="Arial" w:cs="Arial" w:eastAsia="Arial" w:hAnsi="Arial"/>
          <w:sz w:val="14"/>
          <w:szCs w:val="14"/>
          <w:color w:val="09314A"/>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1831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308" w:right="318" w:bottom="1440" w:gutter="0" w:footer="0" w:header="0"/>
        </w:sectPr>
      </w:pPr>
    </w:p>
    <w:bookmarkStart w:id="81" w:name="page82"/>
    <w:bookmarkEnd w:id="81"/>
    <w:p>
      <w:pPr>
        <w:spacing w:after="0"/>
        <w:rPr>
          <w:sz w:val="20"/>
          <w:szCs w:val="20"/>
          <w:color w:val="auto"/>
        </w:rPr>
      </w:pPr>
      <w:r>
        <w:rPr>
          <w:rFonts w:ascii="Arial" w:cs="Arial" w:eastAsia="Arial" w:hAnsi="Arial"/>
          <w:sz w:val="41"/>
          <w:szCs w:val="41"/>
          <w:b w:val="1"/>
          <w:bCs w:val="1"/>
          <w:color w:val="181818"/>
        </w:rPr>
        <w:t>APPENDIX A</w:t>
      </w:r>
    </w:p>
    <w:p>
      <w:pPr>
        <w:spacing w:after="0" w:line="230" w:lineRule="exact"/>
        <w:rPr>
          <w:sz w:val="20"/>
          <w:szCs w:val="20"/>
          <w:color w:val="auto"/>
        </w:rPr>
      </w:pPr>
    </w:p>
    <w:p>
      <w:pPr>
        <w:spacing w:after="0"/>
        <w:rPr>
          <w:sz w:val="20"/>
          <w:szCs w:val="20"/>
          <w:color w:val="auto"/>
        </w:rPr>
      </w:pPr>
      <w:r>
        <w:rPr>
          <w:rFonts w:ascii="Arial" w:cs="Arial" w:eastAsia="Arial" w:hAnsi="Arial"/>
          <w:sz w:val="23"/>
          <w:szCs w:val="23"/>
          <w:b w:val="1"/>
          <w:bCs w:val="1"/>
          <w:color w:val="1B6F80"/>
        </w:rPr>
        <w:t>Amendment No. 2 to the Anterix Inc. 2023 Stock Plan</w:t>
      </w:r>
    </w:p>
    <w:p>
      <w:pPr>
        <w:spacing w:after="0" w:line="137"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This Amendment No. 2 (the “Amendment”) to the Anterix Inc. 2023 Stock Plan (the “Plan”) was adopted by the Board of Directors (“Board”) of Anterix Inc., a Delaware corporation (the “Company”), on June 22, 2026. This Amendment will become effective upon approval by the Company’s stockholders at the Company’s 2026 Annual Meeting of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WHEREAS, the Plan was adopted upon receipt of approval by the Company’s stockholders, effective as of August 8, 2023;</w:t>
      </w:r>
    </w:p>
    <w:p>
      <w:pPr>
        <w:spacing w:after="0" w:line="154"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WHEREAS, the Plan was amended by Amendment No. 1, adopted by the Board on June 21, 2024, and approved by the Company’s stockholders at the 2024 Annual Meeting of Stockholders;</w:t>
      </w:r>
    </w:p>
    <w:p>
      <w:pPr>
        <w:spacing w:after="0" w:line="40"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WHEREAS, the Board desires to amend the Plan, subject to approval of the Company’s stockholders, to increase the number of shares of Company common stock available for issuance thereunder; and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WHEREAS, if the Company’s stockholders fail to approve this Amendment, the existing Plan shall continue in full force and effect.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Plan is hereby amended as follows:</w:t>
      </w:r>
    </w:p>
    <w:p>
      <w:pPr>
        <w:spacing w:after="0" w:line="154" w:lineRule="exact"/>
        <w:rPr>
          <w:sz w:val="20"/>
          <w:szCs w:val="20"/>
          <w:color w:val="auto"/>
        </w:rPr>
      </w:pPr>
    </w:p>
    <w:p>
      <w:pPr>
        <w:ind w:left="620" w:hanging="303"/>
        <w:spacing w:after="0"/>
        <w:tabs>
          <w:tab w:leader="none" w:pos="620" w:val="left"/>
        </w:tabs>
        <w:numPr>
          <w:ilvl w:val="0"/>
          <w:numId w:val="82"/>
        </w:numPr>
        <w:rPr>
          <w:rFonts w:ascii="Arial" w:cs="Arial" w:eastAsia="Arial" w:hAnsi="Arial"/>
          <w:sz w:val="16"/>
          <w:szCs w:val="16"/>
          <w:b w:val="1"/>
          <w:bCs w:val="1"/>
          <w:color w:val="1B6F80"/>
        </w:rPr>
      </w:pPr>
      <w:r>
        <w:rPr>
          <w:rFonts w:ascii="Arial" w:cs="Arial" w:eastAsia="Arial" w:hAnsi="Arial"/>
          <w:sz w:val="16"/>
          <w:szCs w:val="16"/>
          <w:color w:val="auto"/>
        </w:rPr>
        <w:t>Section 4.1 of the Plan is hereby deleted and replaced in its entirety with the following:</w:t>
      </w:r>
    </w:p>
    <w:p>
      <w:pPr>
        <w:spacing w:after="0" w:line="151" w:lineRule="exact"/>
        <w:rPr>
          <w:rFonts w:ascii="Arial" w:cs="Arial" w:eastAsia="Arial" w:hAnsi="Arial"/>
          <w:sz w:val="16"/>
          <w:szCs w:val="16"/>
          <w:b w:val="1"/>
          <w:bCs w:val="1"/>
          <w:color w:val="1B6F80"/>
        </w:rPr>
      </w:pPr>
    </w:p>
    <w:p>
      <w:pPr>
        <w:ind w:left="960" w:hanging="324"/>
        <w:spacing w:after="0" w:line="314" w:lineRule="auto"/>
        <w:rPr>
          <w:rFonts w:ascii="Arial" w:cs="Arial" w:eastAsia="Arial" w:hAnsi="Arial"/>
          <w:sz w:val="16"/>
          <w:szCs w:val="16"/>
          <w:b w:val="1"/>
          <w:bCs w:val="1"/>
          <w:color w:val="1B6F80"/>
        </w:rPr>
      </w:pPr>
      <w:r>
        <w:rPr>
          <w:rFonts w:ascii="Arial" w:cs="Arial" w:eastAsia="Arial" w:hAnsi="Arial"/>
          <w:sz w:val="16"/>
          <w:szCs w:val="16"/>
          <w:b w:val="1"/>
          <w:bCs w:val="1"/>
          <w:color w:val="181818"/>
        </w:rPr>
        <w:t xml:space="preserve">4.1 Maximum Number of Shares Issuable. </w:t>
      </w:r>
      <w:r>
        <w:rPr>
          <w:rFonts w:ascii="Arial" w:cs="Arial" w:eastAsia="Arial" w:hAnsi="Arial"/>
          <w:sz w:val="16"/>
          <w:szCs w:val="16"/>
          <w:color w:val="000000"/>
        </w:rPr>
        <w:t>Subject to adjustment as provided in Sections 4.2 and 4.3, the maximum aggregate number of</w:t>
      </w:r>
      <w:r>
        <w:rPr>
          <w:rFonts w:ascii="Arial" w:cs="Arial" w:eastAsia="Arial" w:hAnsi="Arial"/>
          <w:sz w:val="16"/>
          <w:szCs w:val="16"/>
          <w:b w:val="1"/>
          <w:bCs w:val="1"/>
          <w:color w:val="181818"/>
        </w:rPr>
        <w:t xml:space="preserve"> </w:t>
      </w:r>
      <w:r>
        <w:rPr>
          <w:rFonts w:ascii="Arial" w:cs="Arial" w:eastAsia="Arial" w:hAnsi="Arial"/>
          <w:sz w:val="16"/>
          <w:szCs w:val="16"/>
          <w:color w:val="000000"/>
        </w:rPr>
        <w:t>shares of Stock that may be issued under the Plan pursuant to Awards shall be equal to 2,350,000 plus Awards remaining for grant under the Prior Plan pursuant to Section 1.1(b)(iii) and shall consist of authorized but unissued, or reacquired shares of Stock or any combination thereof.</w:t>
      </w:r>
    </w:p>
    <w:p>
      <w:pPr>
        <w:spacing w:after="0" w:line="62" w:lineRule="exact"/>
        <w:rPr>
          <w:rFonts w:ascii="Arial" w:cs="Arial" w:eastAsia="Arial" w:hAnsi="Arial"/>
          <w:sz w:val="16"/>
          <w:szCs w:val="16"/>
          <w:b w:val="1"/>
          <w:bCs w:val="1"/>
          <w:color w:val="1B6F80"/>
        </w:rPr>
      </w:pPr>
    </w:p>
    <w:p>
      <w:pPr>
        <w:ind w:left="600" w:hanging="283"/>
        <w:spacing w:after="0"/>
        <w:tabs>
          <w:tab w:leader="none" w:pos="600" w:val="left"/>
        </w:tabs>
        <w:numPr>
          <w:ilvl w:val="0"/>
          <w:numId w:val="82"/>
        </w:numPr>
        <w:rPr>
          <w:rFonts w:ascii="Arial" w:cs="Arial" w:eastAsia="Arial" w:hAnsi="Arial"/>
          <w:sz w:val="16"/>
          <w:szCs w:val="16"/>
          <w:b w:val="1"/>
          <w:bCs w:val="1"/>
          <w:color w:val="1B6F80"/>
        </w:rPr>
      </w:pPr>
      <w:r>
        <w:rPr>
          <w:rFonts w:ascii="Arial" w:cs="Arial" w:eastAsia="Arial" w:hAnsi="Arial"/>
          <w:sz w:val="16"/>
          <w:szCs w:val="16"/>
          <w:color w:val="auto"/>
        </w:rPr>
        <w:t>Except as expressly set forth in this Amendment, all other terms and conditions of the Plan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572135</wp:posOffset>
            </wp:positionV>
            <wp:extent cx="71577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4"/>
          <w:szCs w:val="14"/>
          <w:color w:val="09314A"/>
        </w:rPr>
        <w:t xml:space="preserve">78 </w:t>
      </w:r>
      <w:r>
        <w:rPr>
          <w:rFonts w:ascii="Arial" w:cs="Arial" w:eastAsia="Arial" w:hAnsi="Arial"/>
          <w:sz w:val="14"/>
          <w:szCs w:val="14"/>
          <w:b w:val="1"/>
          <w:bCs w:val="1"/>
          <w:color w:val="09314A"/>
        </w:rPr>
        <w:t>2026 PROXY STATEMENT</w:t>
      </w:r>
      <w:r>
        <w:rPr>
          <w:sz w:val="20"/>
          <w:szCs w:val="20"/>
          <w:color w:val="auto"/>
        </w:rPr>
        <w:tab/>
      </w:r>
      <w:r>
        <w:rPr>
          <w:rFonts w:ascii="Arial" w:cs="Arial" w:eastAsia="Arial" w:hAnsi="Arial"/>
          <w:sz w:val="14"/>
          <w:szCs w:val="14"/>
          <w:b w:val="1"/>
          <w:bCs w:val="1"/>
          <w:color w:val="09314A"/>
        </w:rPr>
        <w:t>ANTERIX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143510</wp:posOffset>
            </wp:positionV>
            <wp:extent cx="71831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79" w:right="318"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240030</wp:posOffset>
            </wp:positionV>
            <wp:extent cx="7183120" cy="89363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83120" cy="893635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400050</wp:posOffset>
            </wp:positionH>
            <wp:positionV relativeFrom="page">
              <wp:posOffset>240030</wp:posOffset>
            </wp:positionV>
            <wp:extent cx="6789420" cy="8778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2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bullet"/>
      <w:start w:val="1"/>
    </w:lvl>
  </w:abstractNum>
  <w:abstractNum w:abstractNumId="5">
    <w:nsid w:val="725A06FB"/>
    <w:multiLevelType w:val="hybridMultilevel"/>
    <w:lvl w:ilvl="0">
      <w:lvlJc w:val="left"/>
      <w:lvlText w:val="2"/>
      <w:numFmt w:val="bullet"/>
      <w:start w:val="1"/>
    </w:lvl>
  </w:abstractNum>
  <w:abstractNum w:abstractNumId="6">
    <w:nsid w:val="2CD89A32"/>
    <w:multiLevelType w:val="hybridMultilevel"/>
    <w:lvl w:ilvl="0">
      <w:lvlJc w:val="left"/>
      <w:lvlText w:val="3"/>
      <w:numFmt w:val="bullet"/>
      <w:start w:val="1"/>
    </w:lvl>
  </w:abstractNum>
  <w:abstractNum w:abstractNumId="7">
    <w:nsid w:val="57E4CCAF"/>
    <w:multiLevelType w:val="hybridMultilevel"/>
    <w:lvl w:ilvl="0">
      <w:lvlJc w:val="left"/>
      <w:lvlText w:val="4"/>
      <w:numFmt w:val="bullet"/>
      <w:start w:val="1"/>
    </w:lvl>
  </w:abstractNum>
  <w:abstractNum w:abstractNumId="8">
    <w:nsid w:val="7A6D8D3C"/>
    <w:multiLevelType w:val="hybridMultilevel"/>
    <w:lvl w:ilvl="0">
      <w:lvlJc w:val="left"/>
      <w:lvlText w:val="5"/>
      <w:numFmt w:val="bullet"/>
      <w:start w:val="1"/>
    </w:lvl>
  </w:abstractNum>
  <w:abstractNum w:abstractNumId="9">
    <w:nsid w:val="4B588F54"/>
    <w:multiLevelType w:val="hybridMultilevel"/>
    <w:lvl w:ilvl="0">
      <w:lvlJc w:val="left"/>
      <w:lvlText w:val="6"/>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ü"/>
      <w:numFmt w:val="bullet"/>
      <w:start w:val="1"/>
    </w:lvl>
  </w:abstractNum>
  <w:abstractNum w:abstractNumId="12">
    <w:nsid w:val="38437FDB"/>
    <w:multiLevelType w:val="hybridMultilevel"/>
    <w:lvl w:ilvl="0">
      <w:lvlJc w:val="left"/>
      <w:lvlText w:val="û"/>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ü"/>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4"/>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ü"/>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1)"/>
      <w:numFmt w:val="lowerLetter"/>
      <w:start w:val="1"/>
    </w:lvl>
  </w:abstractNum>
  <w:abstractNum w:abstractNumId="31">
    <w:nsid w:val="1CF10FD8"/>
    <w:multiLevelType w:val="hybridMultilevel"/>
    <w:lvl w:ilvl="0">
      <w:lvlJc w:val="left"/>
      <w:lvlText w:val="(%1)"/>
      <w:numFmt w:val="lowerLetter"/>
      <w:start w:val="2"/>
    </w:lvl>
  </w:abstractNum>
  <w:abstractNum w:abstractNumId="32">
    <w:nsid w:val="180115BE"/>
    <w:multiLevelType w:val="hybridMultilevel"/>
    <w:lvl w:ilvl="0">
      <w:lvlJc w:val="left"/>
      <w:lvlText w:val="ü"/>
      <w:numFmt w:val="bullet"/>
      <w:start w:val="1"/>
    </w:lvl>
  </w:abstractNum>
  <w:abstractNum w:abstractNumId="33">
    <w:nsid w:val="235BA861"/>
    <w:multiLevelType w:val="hybridMultilevel"/>
    <w:lvl w:ilvl="0">
      <w:lvlJc w:val="left"/>
      <w:lvlText w:val="û"/>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6"/>
    </w:lvl>
  </w:abstractNum>
  <w:abstractNum w:abstractNumId="47">
    <w:nsid w:val="2F305DEF"/>
    <w:multiLevelType w:val="hybridMultilevel"/>
    <w:lvl w:ilvl="0">
      <w:lvlJc w:val="left"/>
      <w:lvlText w:val="(%1)"/>
      <w:numFmt w:val="decimal"/>
      <w:start w:val="7"/>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2"/>
    </w:lvl>
  </w:abstractNum>
  <w:abstractNum w:abstractNumId="53">
    <w:nsid w:val="5DB70AE5"/>
    <w:multiLevelType w:val="hybridMultilevel"/>
    <w:lvl w:ilvl="0">
      <w:lvlJc w:val="left"/>
      <w:lvlText w:val="(%1)"/>
      <w:numFmt w:val="decimal"/>
      <w:start w:val="2"/>
    </w:lvl>
  </w:abstractNum>
  <w:abstractNum w:abstractNumId="54">
    <w:nsid w:val="100F8FCA"/>
    <w:multiLevelType w:val="hybridMultilevel"/>
    <w:lvl w:ilvl="0">
      <w:lvlJc w:val="left"/>
      <w:lvlText w:val="(%1)"/>
      <w:numFmt w:val="lowerRoman"/>
      <w:start w:val="3"/>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1)"/>
      <w:numFmt w:val="decimal"/>
      <w:start w:val="4"/>
    </w:lvl>
  </w:abstractNum>
  <w:abstractNum w:abstractNumId="59">
    <w:nsid w:val="799D0247"/>
    <w:multiLevelType w:val="hybridMultilevel"/>
    <w:lvl w:ilvl="0">
      <w:lvlJc w:val="left"/>
      <w:lvlText w:val="(%1)"/>
      <w:numFmt w:val="decimal"/>
      <w:start w:val="6"/>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ü"/>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lvl w:ilvl="1">
      <w:lvlJc w:val="left"/>
      <w:lvlText w:val="(%2)"/>
      <w:numFmt w:val="decimal"/>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1)"/>
      <w:numFmt w:val="lowerLetter"/>
      <w:start w:val="3"/>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ü"/>
      <w:numFmt w:val="bullet"/>
      <w:start w:val="1"/>
    </w:lvl>
  </w:abstractNum>
  <w:abstractNum w:abstractNumId="70">
    <w:nsid w:val="BF72B14"/>
    <w:multiLevelType w:val="hybridMultilevel"/>
    <w:lvl w:ilvl="0">
      <w:lvlJc w:val="left"/>
      <w:lvlText w:val="ü"/>
      <w:numFmt w:val="bullet"/>
      <w:start w:val="1"/>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3"/>
    </w:lvl>
  </w:abstractNum>
  <w:abstractNum w:abstractNumId="76">
    <w:nsid w:val="3B0FD379"/>
    <w:multiLevelType w:val="hybridMultilevel"/>
    <w:lvl w:ilvl="0">
      <w:lvlJc w:val="left"/>
      <w:lvlText w:val="1"/>
      <w:numFmt w:val="bullet"/>
      <w:start w:val="1"/>
    </w:lvl>
  </w:abstractNum>
  <w:abstractNum w:abstractNumId="77">
    <w:nsid w:val="68EB2F63"/>
    <w:multiLevelType w:val="hybridMultilevel"/>
    <w:lvl w:ilvl="0">
      <w:lvlJc w:val="left"/>
      <w:lvlText w:val="2"/>
      <w:numFmt w:val="bullet"/>
      <w:start w:val="1"/>
    </w:lvl>
  </w:abstractNum>
  <w:abstractNum w:abstractNumId="78">
    <w:nsid w:val="4962813B"/>
    <w:multiLevelType w:val="hybridMultilevel"/>
    <w:lvl w:ilvl="0">
      <w:lvlJc w:val="left"/>
      <w:lvlText w:val="3"/>
      <w:numFmt w:val="bullet"/>
      <w:start w:val="1"/>
    </w:lvl>
  </w:abstractNum>
  <w:abstractNum w:abstractNumId="79">
    <w:nsid w:val="60B6DF70"/>
    <w:multiLevelType w:val="hybridMultilevel"/>
    <w:lvl w:ilvl="0">
      <w:lvlJc w:val="left"/>
      <w:lvlText w:val="4"/>
      <w:numFmt w:val="bullet"/>
      <w:start w:val="1"/>
    </w:lvl>
  </w:abstractNum>
  <w:abstractNum w:abstractNumId="80">
    <w:nsid w:val="6A5EE64"/>
    <w:multiLevelType w:val="hybridMultilevel"/>
    <w:lvl w:ilvl="0">
      <w:lvlJc w:val="left"/>
      <w:lvlText w:val="5"/>
      <w:numFmt w:val="bullet"/>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2026-06-25T16:02:13Z</dcterms:created>
  <dcterms:modified xsi:type="dcterms:W3CDTF">2026-06-25T16:02:13Z</dcterms:modified>
</cp:coreProperties>
</file>