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______________________________________________</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______________________________________________</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0" w:lineRule="exact"/>
        <w:rPr>
          <w:sz w:val="20"/>
          <w:szCs w:val="20"/>
          <w:color w:val="auto"/>
        </w:rPr>
      </w:pPr>
    </w:p>
    <w:p>
      <w:pPr>
        <w:spacing w:after="0" w:line="226" w:lineRule="exact"/>
        <w:rPr>
          <w:sz w:val="20"/>
          <w:szCs w:val="20"/>
          <w:color w:val="auto"/>
        </w:rPr>
      </w:pPr>
    </w:p>
    <w:p>
      <w:pPr>
        <w:ind w:left="440" w:right="500" w:hanging="377"/>
        <w:spacing w:after="0" w:line="243" w:lineRule="auto"/>
        <w:tabs>
          <w:tab w:leader="none" w:pos="44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fiscal year ended March 31, 2026</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00" w:lineRule="exact"/>
        <w:rPr>
          <w:sz w:val="20"/>
          <w:szCs w:val="20"/>
          <w:color w:val="auto"/>
        </w:rPr>
      </w:pPr>
    </w:p>
    <w:p>
      <w:pPr>
        <w:spacing w:after="0" w:line="263" w:lineRule="exact"/>
        <w:rPr>
          <w:sz w:val="20"/>
          <w:szCs w:val="20"/>
          <w:color w:val="auto"/>
        </w:rPr>
      </w:pPr>
    </w:p>
    <w:p>
      <w:pPr>
        <w:ind w:left="460" w:right="60" w:hanging="397"/>
        <w:spacing w:after="0" w:line="243" w:lineRule="auto"/>
        <w:tabs>
          <w:tab w:leader="none" w:pos="460" w:val="left"/>
        </w:tabs>
        <w:numPr>
          <w:ilvl w:val="0"/>
          <w:numId w:val="2"/>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6" w:lineRule="exact"/>
        <w:rPr>
          <w:sz w:val="20"/>
          <w:szCs w:val="20"/>
          <w:color w:val="auto"/>
        </w:rPr>
      </w:pPr>
    </w:p>
    <w:p>
      <w:pPr>
        <w:ind w:left="2580"/>
        <w:spacing w:after="0"/>
        <w:tabs>
          <w:tab w:leader="none" w:pos="600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3317875</wp:posOffset>
                </wp:positionH>
                <wp:positionV relativeFrom="paragraph">
                  <wp:posOffset>-2540</wp:posOffset>
                </wp:positionV>
                <wp:extent cx="4445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25pt,-0.1999pt" to="296.25pt,-0.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3963035</wp:posOffset>
                </wp:positionH>
                <wp:positionV relativeFrom="paragraph">
                  <wp:posOffset>-2540</wp:posOffset>
                </wp:positionV>
                <wp:extent cx="4445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05pt,-0.1999pt" to="347.05pt,-0.1999pt" o:allowincell="f" strokecolor="#000000" strokeweight="0.5pt"/>
            </w:pict>
          </mc:Fallback>
        </mc:AlternateConten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001-36827</w:t>
      </w:r>
    </w:p>
    <w:p>
      <w:pPr>
        <w:spacing w:after="0" w:line="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______________________________________________</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8"/>
          <w:szCs w:val="48"/>
          <w:b w:val="1"/>
          <w:bCs w:val="1"/>
          <w:color w:val="auto"/>
        </w:rPr>
        <w:t>Anterix Inc.</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4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______________________________________________</w:t>
      </w:r>
    </w:p>
    <w:p>
      <w:pPr>
        <w:spacing w:after="0" w:line="276"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3020" w:type="dxa"/>
            <w:vAlign w:val="bottom"/>
          </w:tcPr>
          <w:p>
            <w:pPr>
              <w:jc w:val="center"/>
              <w:ind w:right="29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33-0745043</w:t>
            </w:r>
          </w:p>
        </w:tc>
      </w:tr>
      <w:tr>
        <w:trPr>
          <w:trHeight w:val="207"/>
        </w:trPr>
        <w:tc>
          <w:tcPr>
            <w:tcW w:w="3020" w:type="dxa"/>
            <w:vAlign w:val="bottom"/>
          </w:tcPr>
          <w:p>
            <w:pPr>
              <w:jc w:val="center"/>
              <w:ind w:right="294"/>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4080" w:type="dxa"/>
            <w:vAlign w:val="bottom"/>
          </w:tcPr>
          <w:p>
            <w:pPr>
              <w:jc w:val="center"/>
              <w:ind w:left="2733"/>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1"/>
        </w:trPr>
        <w:tc>
          <w:tcPr>
            <w:tcW w:w="3020" w:type="dxa"/>
            <w:vAlign w:val="bottom"/>
          </w:tcPr>
          <w:p>
            <w:pPr>
              <w:jc w:val="center"/>
              <w:ind w:right="294"/>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4080" w:type="dxa"/>
            <w:vAlign w:val="bottom"/>
          </w:tcPr>
          <w:p>
            <w:pPr>
              <w:jc w:val="center"/>
              <w:ind w:left="273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569"/>
        </w:trPr>
        <w:tc>
          <w:tcPr>
            <w:tcW w:w="3020" w:type="dxa"/>
            <w:vAlign w:val="bottom"/>
          </w:tcPr>
          <w:p>
            <w:pPr>
              <w:jc w:val="center"/>
              <w:ind w:right="314"/>
              <w:spacing w:after="0"/>
              <w:rPr>
                <w:sz w:val="20"/>
                <w:szCs w:val="20"/>
                <w:color w:val="auto"/>
              </w:rPr>
            </w:pPr>
            <w:r>
              <w:rPr>
                <w:rFonts w:ascii="Times New Roman" w:cs="Times New Roman" w:eastAsia="Times New Roman" w:hAnsi="Times New Roman"/>
                <w:sz w:val="18"/>
                <w:szCs w:val="18"/>
                <w:b w:val="1"/>
                <w:bCs w:val="1"/>
                <w:color w:val="auto"/>
              </w:rPr>
              <w:t>3 Garret Mountain Plaza</w:t>
            </w:r>
          </w:p>
        </w:tc>
        <w:tc>
          <w:tcPr>
            <w:tcW w:w="4080" w:type="dxa"/>
            <w:vAlign w:val="bottom"/>
          </w:tcPr>
          <w:p>
            <w:pPr>
              <w:spacing w:after="0"/>
              <w:rPr>
                <w:sz w:val="24"/>
                <w:szCs w:val="24"/>
                <w:color w:val="auto"/>
              </w:rPr>
            </w:pPr>
          </w:p>
        </w:tc>
      </w:tr>
      <w:tr>
        <w:trPr>
          <w:trHeight w:val="285"/>
        </w:trPr>
        <w:tc>
          <w:tcPr>
            <w:tcW w:w="3020" w:type="dxa"/>
            <w:vAlign w:val="bottom"/>
          </w:tcPr>
          <w:p>
            <w:pPr>
              <w:jc w:val="center"/>
              <w:ind w:right="314"/>
              <w:spacing w:after="0"/>
              <w:rPr>
                <w:sz w:val="20"/>
                <w:szCs w:val="20"/>
                <w:color w:val="auto"/>
              </w:rPr>
            </w:pPr>
            <w:r>
              <w:rPr>
                <w:rFonts w:ascii="Times New Roman" w:cs="Times New Roman" w:eastAsia="Times New Roman" w:hAnsi="Times New Roman"/>
                <w:sz w:val="18"/>
                <w:szCs w:val="18"/>
                <w:b w:val="1"/>
                <w:bCs w:val="1"/>
                <w:color w:val="auto"/>
                <w:w w:val="99"/>
              </w:rPr>
              <w:t>Suite 401</w:t>
            </w:r>
          </w:p>
        </w:tc>
        <w:tc>
          <w:tcPr>
            <w:tcW w:w="4080" w:type="dxa"/>
            <w:vAlign w:val="bottom"/>
          </w:tcPr>
          <w:p>
            <w:pPr>
              <w:spacing w:after="0"/>
              <w:rPr>
                <w:sz w:val="24"/>
                <w:szCs w:val="24"/>
                <w:color w:val="auto"/>
              </w:rPr>
            </w:pPr>
          </w:p>
        </w:tc>
      </w:tr>
      <w:tr>
        <w:trPr>
          <w:trHeight w:val="285"/>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Woodland Park, New Jersey</w:t>
            </w:r>
          </w:p>
        </w:tc>
        <w:tc>
          <w:tcPr>
            <w:tcW w:w="4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07424</w:t>
            </w:r>
          </w:p>
        </w:tc>
      </w:tr>
      <w:tr>
        <w:trPr>
          <w:trHeight w:val="224"/>
        </w:trPr>
        <w:tc>
          <w:tcPr>
            <w:tcW w:w="3020" w:type="dxa"/>
            <w:vAlign w:val="bottom"/>
          </w:tcPr>
          <w:p>
            <w:pPr>
              <w:jc w:val="center"/>
              <w:ind w:right="294"/>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4080" w:type="dxa"/>
            <w:vAlign w:val="bottom"/>
          </w:tcPr>
          <w:p>
            <w:pPr>
              <w:jc w:val="center"/>
              <w:ind w:left="2733"/>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414"/>
        </w:trPr>
        <w:tc>
          <w:tcPr>
            <w:tcW w:w="3020" w:type="dxa"/>
            <w:vAlign w:val="bottom"/>
          </w:tcPr>
          <w:p>
            <w:pPr>
              <w:spacing w:after="0"/>
              <w:rPr>
                <w:sz w:val="24"/>
                <w:szCs w:val="24"/>
                <w:color w:val="auto"/>
              </w:rPr>
            </w:pPr>
          </w:p>
        </w:tc>
        <w:tc>
          <w:tcPr>
            <w:tcW w:w="4080" w:type="dxa"/>
            <w:vAlign w:val="bottom"/>
          </w:tcPr>
          <w:p>
            <w:pPr>
              <w:jc w:val="right"/>
              <w:ind w:right="2353"/>
              <w:spacing w:after="0"/>
              <w:rPr>
                <w:sz w:val="20"/>
                <w:szCs w:val="20"/>
                <w:color w:val="auto"/>
              </w:rPr>
            </w:pPr>
            <w:r>
              <w:rPr>
                <w:rFonts w:ascii="Times New Roman" w:cs="Times New Roman" w:eastAsia="Times New Roman" w:hAnsi="Times New Roman"/>
                <w:sz w:val="20"/>
                <w:szCs w:val="20"/>
                <w:b w:val="1"/>
                <w:bCs w:val="1"/>
                <w:color w:val="auto"/>
              </w:rPr>
              <w:t>(973) 771-0300</w:t>
            </w: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color w:val="auto"/>
        </w:rPr>
        <w:t>______________________________________________</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102235</wp:posOffset>
                </wp:positionV>
                <wp:extent cx="0" cy="48895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895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8.05pt" to="0.5pt,46.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2168525</wp:posOffset>
                </wp:positionH>
                <wp:positionV relativeFrom="paragraph">
                  <wp:posOffset>102235</wp:posOffset>
                </wp:positionV>
                <wp:extent cx="0" cy="48895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895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75pt,8.05pt" to="170.75pt,46.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4140200</wp:posOffset>
                </wp:positionH>
                <wp:positionV relativeFrom="paragraph">
                  <wp:posOffset>102235</wp:posOffset>
                </wp:positionV>
                <wp:extent cx="0" cy="48895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8950"/>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pt,8.05pt" to="326pt,46.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6511925</wp:posOffset>
                </wp:positionH>
                <wp:positionV relativeFrom="paragraph">
                  <wp:posOffset>102235</wp:posOffset>
                </wp:positionV>
                <wp:extent cx="0" cy="48895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8950"/>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75pt,8.05pt" to="512.75pt,46.55pt" o:allowincell="f" strokecolor="#000000" strokeweight="0pt"/>
            </w:pict>
          </mc:Fallback>
        </mc:AlternateConten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Name of each exchange on which registered</w:t>
            </w:r>
          </w:p>
        </w:tc>
      </w:tr>
      <w:tr>
        <w:trPr>
          <w:trHeight w:val="185"/>
        </w:trPr>
        <w:tc>
          <w:tcPr>
            <w:tcW w:w="3420" w:type="dxa"/>
            <w:vAlign w:val="bottom"/>
            <w:tcBorders>
              <w:left w:val="single" w:sz="8" w:color="auto"/>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20"/>
                <w:szCs w:val="20"/>
                <w:b w:val="1"/>
                <w:bCs w:val="1"/>
                <w:color w:val="auto"/>
                <w:w w:val="99"/>
              </w:rPr>
              <w:t>Common Stock, $0.0001 par value</w:t>
            </w:r>
          </w:p>
        </w:tc>
        <w:tc>
          <w:tcPr>
            <w:tcW w:w="312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20"/>
                <w:szCs w:val="20"/>
                <w:b w:val="1"/>
                <w:bCs w:val="1"/>
                <w:color w:val="auto"/>
              </w:rPr>
              <w:t>ATEX</w:t>
            </w:r>
          </w:p>
        </w:tc>
        <w:tc>
          <w:tcPr>
            <w:tcW w:w="372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20"/>
                <w:szCs w:val="20"/>
                <w:b w:val="1"/>
                <w:bCs w:val="1"/>
                <w:color w:val="auto"/>
                <w:w w:val="99"/>
              </w:rPr>
              <w:t>The Nasdaq Stock Market LLC</w:t>
            </w:r>
          </w:p>
        </w:tc>
      </w:tr>
      <w:tr>
        <w:trPr>
          <w:trHeight w:val="260"/>
        </w:trPr>
        <w:tc>
          <w:tcPr>
            <w:tcW w:w="3420" w:type="dxa"/>
            <w:vAlign w:val="bottom"/>
            <w:tcBorders>
              <w:left w:val="single" w:sz="8" w:color="auto"/>
              <w:bottom w:val="single" w:sz="8" w:color="auto"/>
              <w:right w:val="single" w:sz="8" w:color="auto"/>
            </w:tcBorders>
          </w:tcPr>
          <w:p>
            <w:pPr>
              <w:spacing w:after="0"/>
              <w:rPr>
                <w:sz w:val="22"/>
                <w:szCs w:val="22"/>
                <w:color w:val="auto"/>
              </w:rPr>
            </w:pPr>
          </w:p>
        </w:tc>
        <w:tc>
          <w:tcPr>
            <w:tcW w:w="3120" w:type="dxa"/>
            <w:vAlign w:val="bottom"/>
            <w:tcBorders>
              <w:bottom w:val="single" w:sz="8" w:color="auto"/>
              <w:right w:val="single" w:sz="8" w:color="auto"/>
            </w:tcBorders>
          </w:tcPr>
          <w:p>
            <w:pPr>
              <w:spacing w:after="0"/>
              <w:rPr>
                <w:sz w:val="22"/>
                <w:szCs w:val="22"/>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(Nasdaq Capital Market)</w:t>
            </w:r>
          </w:p>
        </w:tc>
      </w:tr>
    </w:tbl>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263" w:lineRule="exact"/>
        <w:rPr>
          <w:sz w:val="20"/>
          <w:szCs w:val="20"/>
          <w:color w:val="auto"/>
        </w:rPr>
      </w:pPr>
    </w:p>
    <w:p>
      <w:pPr>
        <w:ind w:left="20" w:right="320"/>
        <w:spacing w:after="0" w:line="36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Rule 405 of the Securities Act.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Indicate by check mark if the registrant is not required to file reports pursuant to Section 13 or Section 15(d) of the Act.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w:t>
      </w:r>
    </w:p>
    <w:p>
      <w:pPr>
        <w:spacing w:after="0" w:line="223" w:lineRule="exact"/>
        <w:rPr>
          <w:sz w:val="20"/>
          <w:szCs w:val="20"/>
          <w:color w:val="auto"/>
        </w:rPr>
      </w:pPr>
    </w:p>
    <w:p>
      <w:pPr>
        <w:jc w:val="both"/>
        <w:ind w:left="20" w:right="12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w:t>
      </w:r>
    </w:p>
    <w:p>
      <w:pPr>
        <w:spacing w:after="0" w:line="224" w:lineRule="exact"/>
        <w:rPr>
          <w:sz w:val="20"/>
          <w:szCs w:val="20"/>
          <w:color w:val="auto"/>
        </w:rPr>
      </w:pPr>
    </w:p>
    <w:p>
      <w:pPr>
        <w:ind w:left="20" w:right="26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w:t>
      </w:r>
    </w:p>
    <w:p>
      <w:pPr>
        <w:sectPr>
          <w:pgSz w:w="12240" w:h="15840" w:orient="portrait"/>
          <w:cols w:equalWidth="0" w:num="1">
            <w:col w:w="10260"/>
          </w:cols>
          <w:pgMar w:left="980" w:top="759" w:right="1000" w:bottom="717" w:gutter="0" w:footer="0" w:header="0"/>
        </w:sectPr>
      </w:pPr>
    </w:p>
    <w:bookmarkStart w:id="2" w:name="page3"/>
    <w:bookmarkEnd w:id="2"/>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120"/>
              <w:spacing w:after="0" w:line="181" w:lineRule="exact"/>
              <w:rPr>
                <w:sz w:val="20"/>
                <w:szCs w:val="20"/>
                <w:color w:val="auto"/>
              </w:rPr>
            </w:pPr>
            <w:r>
              <w:rPr>
                <w:rFonts w:ascii="MS PGothic" w:cs="MS PGothic" w:eastAsia="MS PGothic" w:hAnsi="MS PGothic"/>
                <w:sz w:val="18"/>
                <w:szCs w:val="18"/>
                <w:b w:val="1"/>
                <w:bCs w:val="1"/>
                <w:color w:val="auto"/>
              </w:rPr>
              <w:t>☐</w:t>
            </w:r>
          </w:p>
        </w:tc>
        <w:tc>
          <w:tcPr>
            <w:tcW w:w="46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8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25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b w:val="1"/>
                <w:bCs w:val="1"/>
                <w:color w:val="auto"/>
              </w:rPr>
              <w:t>☒</w:t>
            </w:r>
          </w:p>
        </w:tc>
        <w:tc>
          <w:tcPr>
            <w:tcW w:w="46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b w:val="1"/>
                <w:bCs w:val="1"/>
                <w:color w:val="auto"/>
                <w:w w:val="90"/>
              </w:rPr>
              <w:t>☒</w:t>
            </w:r>
          </w:p>
        </w:tc>
      </w:tr>
      <w:tr>
        <w:trPr>
          <w:trHeight w:val="29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700" w:type="dxa"/>
            <w:vAlign w:val="bottom"/>
          </w:tcPr>
          <w:p>
            <w:pPr>
              <w:ind w:left="120"/>
              <w:spacing w:after="0" w:line="181" w:lineRule="exact"/>
              <w:rPr>
                <w:sz w:val="20"/>
                <w:szCs w:val="20"/>
                <w:color w:val="auto"/>
              </w:rPr>
            </w:pPr>
            <w:r>
              <w:rPr>
                <w:rFonts w:ascii="MS PGothic" w:cs="MS PGothic" w:eastAsia="MS PGothic" w:hAnsi="MS PGothic"/>
                <w:sz w:val="18"/>
                <w:szCs w:val="18"/>
                <w:b w:val="1"/>
                <w:bCs w:val="1"/>
                <w:color w:val="auto"/>
              </w:rPr>
              <w:t>☐</w:t>
            </w: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63" w:lineRule="exact"/>
        <w:rPr>
          <w:sz w:val="20"/>
          <w:szCs w:val="20"/>
          <w:color w:val="auto"/>
        </w:rPr>
      </w:pPr>
    </w:p>
    <w:p>
      <w:pPr>
        <w:ind w:right="18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222" w:lineRule="exact"/>
        <w:rPr>
          <w:sz w:val="20"/>
          <w:szCs w:val="20"/>
          <w:color w:val="auto"/>
        </w:rPr>
      </w:pPr>
    </w:p>
    <w:p>
      <w:pPr>
        <w:ind w:right="18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spacing w:after="0" w:line="224" w:lineRule="exact"/>
        <w:rPr>
          <w:sz w:val="20"/>
          <w:szCs w:val="20"/>
          <w:color w:val="auto"/>
        </w:rPr>
      </w:pPr>
    </w:p>
    <w:p>
      <w:pPr>
        <w:ind w:right="440"/>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182" w:lineRule="exact"/>
        <w:rPr>
          <w:sz w:val="20"/>
          <w:szCs w:val="20"/>
          <w:color w:val="auto"/>
        </w:rPr>
      </w:pPr>
    </w:p>
    <w:p>
      <w:pPr>
        <w:ind w:right="60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pacing w:after="0" w:line="209" w:lineRule="exact"/>
        <w:rPr>
          <w:sz w:val="20"/>
          <w:szCs w:val="20"/>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b w:val="1"/>
          <w:bCs w:val="1"/>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b w:val="1"/>
          <w:bCs w:val="1"/>
          <w:color w:val="auto"/>
        </w:rPr>
        <w:t xml:space="preserve">  ☒ </w:t>
      </w:r>
      <w:r>
        <w:rPr>
          <w:rFonts w:ascii="Times New Roman" w:cs="Times New Roman" w:eastAsia="Times New Roman" w:hAnsi="Times New Roman"/>
          <w:sz w:val="18"/>
          <w:szCs w:val="18"/>
          <w:color w:val="auto"/>
        </w:rPr>
        <w:t>No</w:t>
      </w:r>
    </w:p>
    <w:p>
      <w:pPr>
        <w:spacing w:after="0" w:line="278"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registrant’s voting common and non-voting stock held by non-affiliates of the registrant based on the closing stock price of its common stock on the Nasdaq Capital Market on September 30, 2025 (the last business day of its most recently completed second fiscal quarter) was $241,938,984. For purposes of this computation only, all executive officers, directors and 10% or greater stockholders have been deemed affiliates of the 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19, 2026, 19,498,473 shares of the registrant’s common stock were outstanding.</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7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 xml:space="preserve">Portions of the registrant’s definitive proxy statement to be filed with the Securities and Exchange Commission pursuant to Regulation 14A in connection with the registrant’s </w:t>
      </w:r>
      <w:r>
        <w:rPr>
          <w:rFonts w:ascii="Times New Roman" w:cs="Times New Roman" w:eastAsia="Times New Roman" w:hAnsi="Times New Roman"/>
          <w:sz w:val="20"/>
          <w:szCs w:val="20"/>
          <w:color w:val="auto"/>
        </w:rPr>
        <w:t>2026</w:t>
      </w:r>
      <w:r>
        <w:rPr>
          <w:rFonts w:ascii="Times New Roman" w:cs="Times New Roman" w:eastAsia="Times New Roman" w:hAnsi="Times New Roman"/>
          <w:sz w:val="18"/>
          <w:szCs w:val="18"/>
          <w:color w:val="auto"/>
        </w:rPr>
        <w:t xml:space="preserve"> Annual Meeting of Stockholders, which will be filed subsequent to the date hereof, are incorporated by reference into Part III of this Form 10-K where indicated. Such definitive proxy statement will be filed with the Securities and Exchange Commission no later than 120 days following the end of the registrant’s fiscal year ended March 31, 2026.</w:t>
      </w:r>
    </w:p>
    <w:p>
      <w:pPr>
        <w:sectPr>
          <w:pgSz w:w="12240" w:h="15840" w:orient="portrait"/>
          <w:cols w:equalWidth="0" w:num="1">
            <w:col w:w="10240"/>
          </w:cols>
          <w:pgMar w:left="1000" w:top="799" w:right="1000" w:bottom="1440" w:gutter="0" w:footer="0" w:header="0"/>
        </w:sectPr>
      </w:pPr>
    </w:p>
    <w:bookmarkStart w:id="3" w:name="page4"/>
    <w:bookmarkEnd w:id="3"/>
    <w:p>
      <w:pPr>
        <w:jc w:val="center"/>
        <w:ind w:left="460"/>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3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20"/>
          <w:szCs w:val="20"/>
          <w:color w:val="auto"/>
        </w:rPr>
        <w:t>FORM 10-K</w:t>
      </w:r>
    </w:p>
    <w:p>
      <w:pPr>
        <w:spacing w:after="0" w:line="1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For the fiscal year ended March 31, 2026</w:t>
      </w:r>
    </w:p>
    <w:p>
      <w:pPr>
        <w:spacing w:after="0" w:line="2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-144145</wp:posOffset>
            </wp:positionV>
            <wp:extent cx="6521450" cy="512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6521450" cy="5121275"/>
                    </a:xfrm>
                    <a:prstGeom prst="rect">
                      <a:avLst/>
                    </a:prstGeom>
                    <a:noFill/>
                  </pic:spPr>
                </pic:pic>
              </a:graphicData>
            </a:graphic>
          </wp:anchor>
        </w:drawing>
      </w:r>
    </w:p>
    <w:p>
      <w:pPr>
        <w:spacing w:after="0" w:line="18"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Business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19"/>
          <w:szCs w:val="19"/>
          <w:color w:val="auto"/>
        </w:rPr>
        <w:t>Risk Factors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19"/>
          <w:szCs w:val="19"/>
          <w:color w:val="auto"/>
        </w:rPr>
        <w:t>Cybersecurity</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color w:val="auto"/>
        </w:rPr>
        <w:t>Properties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Legal Proceedings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Mine Safety Disclosures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ind w:left="1260"/>
        <w:spacing w:after="0"/>
        <w:rPr>
          <w:sz w:val="20"/>
          <w:szCs w:val="20"/>
          <w:color w:val="auto"/>
        </w:rPr>
      </w:pPr>
      <w:r>
        <w:rPr>
          <w:rFonts w:ascii="Times New Roman" w:cs="Times New Roman" w:eastAsia="Times New Roman" w:hAnsi="Times New Roman"/>
          <w:sz w:val="20"/>
          <w:szCs w:val="20"/>
          <w:color w:val="auto"/>
        </w:rPr>
        <w:t>Securities</w:t>
      </w:r>
    </w:p>
    <w:p>
      <w:pPr>
        <w:spacing w:after="0" w:line="28"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 Operations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19"/>
          <w:szCs w:val="19"/>
          <w:color w:val="auto"/>
        </w:rPr>
        <w:t>Quantitative and Qualitative Disclosures about Market Risk</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Financial Statements and Supplementary Data</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color w:val="auto"/>
        </w:rPr>
        <w:t>Controls and Procedures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color w:val="auto"/>
        </w:rPr>
        <w:t>Other Information</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19"/>
          <w:szCs w:val="19"/>
          <w:color w:val="auto"/>
        </w:rPr>
        <w:t>Disclosure Regarding Foreign Jurisdictions that Prevent Inspections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Directors, Executive Officers and Corporate Governance</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19"/>
          <w:szCs w:val="19"/>
          <w:color w:val="auto"/>
        </w:rPr>
        <w:t>Executive Compensation</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 Matters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color w:val="auto"/>
        </w:rPr>
        <w:t>Certain Relationships and Related Transactions, and Director Independence</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8"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color w:val="auto"/>
        </w:rPr>
        <w:t>Exhibit and Financial Statement Schedules</w:t>
      </w:r>
    </w:p>
    <w:p>
      <w:pPr>
        <w:spacing w:after="0" w:line="55"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color w:val="auto"/>
        </w:rPr>
        <w:t>Form 10-K Summary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2">
            <w:col w:w="9420" w:space="360"/>
            <w:col w:w="200"/>
          </w:cols>
          <w:pgMar w:left="1180" w:top="786" w:right="1080"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Glossary of Selected Terms</w:t>
      </w:r>
    </w:p>
    <w:p>
      <w:pPr>
        <w:spacing w:after="0" w:line="137"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Unless otherwise noted or indicated by context, the following selected terms used in this Annual Report on Form 10-K have the following meanings:</w:t>
      </w:r>
    </w:p>
    <w:p>
      <w:pPr>
        <w:spacing w:after="0" w:line="57" w:lineRule="exact"/>
        <w:rPr>
          <w:sz w:val="20"/>
          <w:szCs w:val="20"/>
          <w:color w:val="auto"/>
        </w:rPr>
      </w:pPr>
    </w:p>
    <w:p>
      <w:pPr>
        <w:ind w:right="40"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240 Channels: </w:t>
      </w:r>
      <w:r>
        <w:rPr>
          <w:rFonts w:ascii="Times New Roman" w:cs="Times New Roman" w:eastAsia="Times New Roman" w:hAnsi="Times New Roman"/>
          <w:sz w:val="20"/>
          <w:szCs w:val="20"/>
          <w:color w:val="auto"/>
        </w:rPr>
        <w:t>Equals 6 MHz of 900 MHz spectrum whether the individual 25 kHz channels are scattered throughout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5 x 5 or 10 MHz 900 MHz band or are contained within the contiguous 3 x 3 or 6 MHz broadband segment.</w:t>
      </w:r>
    </w:p>
    <w:p>
      <w:pPr>
        <w:spacing w:after="0" w:line="52" w:lineRule="exact"/>
        <w:rPr>
          <w:sz w:val="20"/>
          <w:szCs w:val="20"/>
          <w:color w:val="auto"/>
        </w:rPr>
      </w:pPr>
    </w:p>
    <w:p>
      <w:pPr>
        <w:ind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3 x 3 or 6 MHz: </w:t>
      </w:r>
      <w:r>
        <w:rPr>
          <w:rFonts w:ascii="Times New Roman" w:cs="Times New Roman" w:eastAsia="Times New Roman" w:hAnsi="Times New Roman"/>
          <w:sz w:val="20"/>
          <w:szCs w:val="20"/>
          <w:color w:val="auto"/>
        </w:rPr>
        <w:t>The broadband segment of the 900 MHz band (897.5 - 900.5 / 936.5 - 939.5 MHz) is authorized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total of 6 MHz of spectrum, with 3 MHz designated for uplink transmissions and 3 MHz for downlink transmissions.</w:t>
      </w:r>
    </w:p>
    <w:p>
      <w:pPr>
        <w:spacing w:after="0" w:line="52" w:lineRule="exact"/>
        <w:rPr>
          <w:sz w:val="20"/>
          <w:szCs w:val="20"/>
          <w:color w:val="auto"/>
        </w:rPr>
      </w:pPr>
    </w:p>
    <w:p>
      <w:pPr>
        <w:ind w:right="3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5 x 5 or 10 MHz: </w:t>
      </w:r>
      <w:r>
        <w:rPr>
          <w:rFonts w:ascii="Times New Roman" w:cs="Times New Roman" w:eastAsia="Times New Roman" w:hAnsi="Times New Roman"/>
          <w:sz w:val="20"/>
          <w:szCs w:val="20"/>
          <w:color w:val="auto"/>
        </w:rPr>
        <w:t>The narrowband and broadband segment of the 900 MHz band (896 - 901 / 935 - 940 MHz)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for a total of 10 MHz of spectrum, with 5 MHz designated for uplink transmissions and 5 MHz for downlink transmissions.</w:t>
      </w:r>
    </w:p>
    <w:p>
      <w:pPr>
        <w:spacing w:after="0" w:line="70" w:lineRule="exact"/>
        <w:rPr>
          <w:sz w:val="20"/>
          <w:szCs w:val="20"/>
          <w:color w:val="auto"/>
        </w:rPr>
      </w:pPr>
    </w:p>
    <w:p>
      <w:pPr>
        <w:jc w:val="both"/>
        <w:ind w:right="600" w:firstLine="720"/>
        <w:spacing w:after="0" w:line="313" w:lineRule="auto"/>
        <w:rPr>
          <w:sz w:val="20"/>
          <w:szCs w:val="20"/>
          <w:color w:val="auto"/>
        </w:rPr>
      </w:pPr>
      <w:r>
        <w:rPr>
          <w:rFonts w:ascii="Times New Roman" w:cs="Times New Roman" w:eastAsia="Times New Roman" w:hAnsi="Times New Roman"/>
          <w:sz w:val="19"/>
          <w:szCs w:val="19"/>
          <w:b w:val="1"/>
          <w:bCs w:val="1"/>
          <w:color w:val="auto"/>
        </w:rPr>
        <w:t>3GPP</w:t>
      </w:r>
      <w:r>
        <w:rPr>
          <w:rFonts w:ascii="Times New Roman" w:cs="Times New Roman" w:eastAsia="Times New Roman" w:hAnsi="Times New Roman"/>
          <w:sz w:val="19"/>
          <w:szCs w:val="19"/>
          <w:color w:val="auto"/>
        </w:rPr>
        <w:t>: The 3rd Generation Partnership Project is the standards organization that develops protocols for mobile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telecommunications, such as Radio Access Networks, Services and Systems Aspects, and Core Network and Terminals.</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4G: </w:t>
      </w:r>
      <w:r>
        <w:rPr>
          <w:rFonts w:ascii="Times New Roman" w:cs="Times New Roman" w:eastAsia="Times New Roman" w:hAnsi="Times New Roman"/>
          <w:sz w:val="20"/>
          <w:szCs w:val="20"/>
          <w:color w:val="auto"/>
        </w:rPr>
        <w:t>4th generation of radio system architecture.</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5G: </w:t>
      </w:r>
      <w:r>
        <w:rPr>
          <w:rFonts w:ascii="Times New Roman" w:cs="Times New Roman" w:eastAsia="Times New Roman" w:hAnsi="Times New Roman"/>
          <w:sz w:val="20"/>
          <w:szCs w:val="20"/>
          <w:color w:val="auto"/>
        </w:rPr>
        <w:t>5th generation of radio system architecture.</w:t>
      </w:r>
    </w:p>
    <w:p>
      <w:pPr>
        <w:spacing w:after="0" w:line="130" w:lineRule="exact"/>
        <w:rPr>
          <w:sz w:val="20"/>
          <w:szCs w:val="20"/>
          <w:color w:val="auto"/>
        </w:rPr>
      </w:pPr>
    </w:p>
    <w:p>
      <w:pPr>
        <w:ind w:right="12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600 MHz Auction: </w:t>
      </w:r>
      <w:r>
        <w:rPr>
          <w:rFonts w:ascii="Times New Roman" w:cs="Times New Roman" w:eastAsia="Times New Roman" w:hAnsi="Times New Roman"/>
          <w:sz w:val="20"/>
          <w:szCs w:val="20"/>
          <w:color w:val="auto"/>
        </w:rPr>
        <w:t>The Federal Communications Commission’s (the “FCC”) 2016 “incentive auction” in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licensees of television broadcast channels were incentivized to relinquish their spectrum for defined payments so the spectrum could be repurposed for licensed wireless services.</w:t>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900 MHz: </w:t>
      </w:r>
      <w:r>
        <w:rPr>
          <w:rFonts w:ascii="Times New Roman" w:cs="Times New Roman" w:eastAsia="Times New Roman" w:hAnsi="Times New Roman"/>
          <w:sz w:val="20"/>
          <w:szCs w:val="20"/>
          <w:color w:val="auto"/>
        </w:rPr>
        <w:t>The 900 MHz band frequency ranges between 896 - 901 / 935 - 940 MHz.</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900 MHz Broadband Spectrum or 900 MHz Broadband Segment: </w:t>
      </w:r>
      <w:r>
        <w:rPr>
          <w:rFonts w:ascii="Times New Roman" w:cs="Times New Roman" w:eastAsia="Times New Roman" w:hAnsi="Times New Roman"/>
          <w:sz w:val="20"/>
          <w:szCs w:val="20"/>
          <w:color w:val="auto"/>
        </w:rPr>
        <w:t>The 900 MHz band authorized for broadband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(897.5 - 900.5 / 936.5 - 939.5 MHz).</w:t>
      </w:r>
    </w:p>
    <w:p>
      <w:pPr>
        <w:spacing w:after="0" w:line="106"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Anti-Windfall Payment: </w:t>
      </w:r>
      <w:r>
        <w:rPr>
          <w:rFonts w:ascii="Times New Roman" w:cs="Times New Roman" w:eastAsia="Times New Roman" w:hAnsi="Times New Roman"/>
          <w:sz w:val="20"/>
          <w:szCs w:val="20"/>
          <w:color w:val="auto"/>
        </w:rPr>
        <w:t>A payment to the U.S. Treasury from a 900 MHz broadband applicant, if the applicant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relinquishes less than 6 MHz (or 240 channels) of spectrum for any full or fractional MHz less than 6 MHz for 3 x 3 applicants or less than 10 MHz (or 399 channels) of spectrum for any full or fractional MHz less than 10 MHz for 5 x 5 applicants. The payment is based on the 600 MHz Auction prices for the Partial Economic Area in which the county applied for by the broadband applicant is included.</w:t>
      </w:r>
    </w:p>
    <w:p>
      <w:pPr>
        <w:spacing w:after="0" w:line="79" w:lineRule="exact"/>
        <w:rPr>
          <w:sz w:val="20"/>
          <w:szCs w:val="20"/>
          <w:color w:val="auto"/>
        </w:rPr>
      </w:pPr>
    </w:p>
    <w:p>
      <w:pPr>
        <w:ind w:right="260"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Band 106 or n106: </w:t>
      </w:r>
      <w:r>
        <w:rPr>
          <w:rFonts w:ascii="Times New Roman" w:cs="Times New Roman" w:eastAsia="Times New Roman" w:hAnsi="Times New Roman"/>
          <w:sz w:val="20"/>
          <w:szCs w:val="20"/>
          <w:color w:val="auto"/>
        </w:rPr>
        <w:t>The broadband segment of the 900 MHz band (896 - 901 / 935 - 940 MHz), designated as LTE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Band 106 (B106) or n106 (5G designation), is seen as critical for utilities to modernize grid communication.</w:t>
      </w:r>
    </w:p>
    <w:p>
      <w:pPr>
        <w:spacing w:after="0" w:line="52" w:lineRule="exact"/>
        <w:rPr>
          <w:sz w:val="20"/>
          <w:szCs w:val="20"/>
          <w:color w:val="auto"/>
        </w:rPr>
      </w:pPr>
    </w:p>
    <w:p>
      <w:pPr>
        <w:ind w:right="420"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Band 8: </w:t>
      </w:r>
      <w:r>
        <w:rPr>
          <w:rFonts w:ascii="Times New Roman" w:cs="Times New Roman" w:eastAsia="Times New Roman" w:hAnsi="Times New Roman"/>
          <w:sz w:val="20"/>
          <w:szCs w:val="20"/>
          <w:color w:val="auto"/>
        </w:rPr>
        <w:t>LTE Band 8, also known as the 900 MHz band, is a frequency band used for both 2G GSM and 4G LTE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mobile communications.</w:t>
      </w:r>
    </w:p>
    <w:p>
      <w:pPr>
        <w:spacing w:after="0" w:line="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B/ILT: </w:t>
      </w:r>
      <w:r>
        <w:rPr>
          <w:rFonts w:ascii="Times New Roman" w:cs="Times New Roman" w:eastAsia="Times New Roman" w:hAnsi="Times New Roman"/>
          <w:sz w:val="20"/>
          <w:szCs w:val="20"/>
          <w:color w:val="auto"/>
        </w:rPr>
        <w:t>Systems operated by, or spectrum licensed for, private land mobile use by business users.</w:t>
      </w:r>
    </w:p>
    <w:p>
      <w:pPr>
        <w:spacing w:after="0" w:line="130" w:lineRule="exact"/>
        <w:rPr>
          <w:sz w:val="20"/>
          <w:szCs w:val="20"/>
          <w:color w:val="auto"/>
        </w:rPr>
      </w:pPr>
    </w:p>
    <w:p>
      <w:pPr>
        <w:ind w:right="280"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Complex System: </w:t>
      </w:r>
      <w:r>
        <w:rPr>
          <w:rFonts w:ascii="Times New Roman" w:cs="Times New Roman" w:eastAsia="Times New Roman" w:hAnsi="Times New Roman"/>
          <w:sz w:val="20"/>
          <w:szCs w:val="20"/>
          <w:color w:val="auto"/>
        </w:rPr>
        <w:t>As defined in the 2020 Report and Order, a Covered Incumbent’s system that consisted of 45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functionally integrated sites as of May 13, 2020.</w:t>
      </w:r>
    </w:p>
    <w:p>
      <w:pPr>
        <w:spacing w:after="0" w:line="52" w:lineRule="exact"/>
        <w:rPr>
          <w:sz w:val="20"/>
          <w:szCs w:val="20"/>
          <w:color w:val="auto"/>
        </w:rPr>
      </w:pPr>
    </w:p>
    <w:p>
      <w:pPr>
        <w:ind w:right="500"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Covered Incumbent: </w:t>
      </w:r>
      <w:r>
        <w:rPr>
          <w:rFonts w:ascii="Times New Roman" w:cs="Times New Roman" w:eastAsia="Times New Roman" w:hAnsi="Times New Roman"/>
          <w:sz w:val="20"/>
          <w:szCs w:val="20"/>
          <w:color w:val="auto"/>
        </w:rPr>
        <w:t>Any 900 MHz site-based licensee in the broadband segment that is required under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90.621(b) to be protected by a broadband licensee with a base station at any location within the county, or any 900 MHz geographic-based Specialized Mobile Radio (“SMR”) licensee in the 3 x 3 MHz broadband segment or 5 x 5 900 MHz frequency range whose license area completely or partially overlaps the county.</w:t>
      </w:r>
    </w:p>
    <w:p>
      <w:pPr>
        <w:spacing w:after="0" w:line="76" w:lineRule="exact"/>
        <w:rPr>
          <w:sz w:val="20"/>
          <w:szCs w:val="20"/>
          <w:color w:val="auto"/>
        </w:rPr>
      </w:pPr>
    </w:p>
    <w:p>
      <w:pPr>
        <w:ind w:right="20"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Eligibility Certification: </w:t>
      </w:r>
      <w:r>
        <w:rPr>
          <w:rFonts w:ascii="Times New Roman" w:cs="Times New Roman" w:eastAsia="Times New Roman" w:hAnsi="Times New Roman"/>
          <w:sz w:val="20"/>
          <w:szCs w:val="20"/>
          <w:color w:val="auto"/>
        </w:rPr>
        <w:t>A document submitted to the FCC as part of the broadband application that lists the licenses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applicant holds in the 900 MHz band to demonstrate that it holds the licenses for more than 50% of the total licensed 900 MHz spectrum for the relevant county, including credit for spectrum contained in a contract to acquire any covered incumbents filed on or after March 14, 2019 (i.e., the 50% Licensed Spectrum Test).</w:t>
      </w:r>
    </w:p>
    <w:p>
      <w:pPr>
        <w:spacing w:after="0" w:line="76" w:lineRule="exact"/>
        <w:rPr>
          <w:sz w:val="20"/>
          <w:szCs w:val="20"/>
          <w:color w:val="auto"/>
        </w:rPr>
      </w:pPr>
    </w:p>
    <w:p>
      <w:pPr>
        <w:ind w:right="140"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FCC: </w:t>
      </w:r>
      <w:r>
        <w:rPr>
          <w:rFonts w:ascii="Times New Roman" w:cs="Times New Roman" w:eastAsia="Times New Roman" w:hAnsi="Times New Roman"/>
          <w:sz w:val="20"/>
          <w:szCs w:val="20"/>
          <w:color w:val="auto"/>
        </w:rPr>
        <w:t>The Federal Communications Commission, an independent U.S. government agency overseen by Congress,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United States’ primary authority for communications law, regulation and technological innovation. The FCC regulates interstate and international communications by radio, television, wire, satellite and cable in all 50 states, the District of Columbia and U.S. territories.</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 xml:space="preserve">Integrated Platform: </w:t>
      </w:r>
      <w:r>
        <w:rPr>
          <w:rFonts w:ascii="Times New Roman" w:cs="Times New Roman" w:eastAsia="Times New Roman" w:hAnsi="Times New Roman"/>
          <w:sz w:val="20"/>
          <w:szCs w:val="20"/>
          <w:color w:val="auto"/>
        </w:rPr>
        <w:t>A cloud-based 4G/5G core, enabling greater resilience and enhanced services between</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participating networks, including mutual aid, cybersecurity, shared infrastructure, and integration of distributed energy sources.</w:t>
      </w:r>
    </w:p>
    <w:p>
      <w:pPr>
        <w:sectPr>
          <w:pgSz w:w="12240" w:h="15840" w:orient="portrait"/>
          <w:cols w:equalWidth="0" w:num="1">
            <w:col w:w="10200"/>
          </w:cols>
          <w:pgMar w:left="1000" w:top="786" w:right="1040" w:bottom="1163" w:gutter="0" w:footer="0" w:header="0"/>
        </w:sectPr>
      </w:pPr>
    </w:p>
    <w:bookmarkStart w:id="5" w:name="page6"/>
    <w:bookmarkEnd w:id="5"/>
    <w:p>
      <w:pPr>
        <w:ind w:right="120"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Licensed Channel: </w:t>
      </w:r>
      <w:r>
        <w:rPr>
          <w:rFonts w:ascii="Times New Roman" w:cs="Times New Roman" w:eastAsia="Times New Roman" w:hAnsi="Times New Roman"/>
          <w:sz w:val="20"/>
          <w:szCs w:val="20"/>
          <w:color w:val="auto"/>
        </w:rPr>
        <w:t>Any of the 399 12.5 kHz narrowband 900 MHz channels for which there is a current, active FCC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 to an existing entity. Not all 900 MHz channels are currently licensed as some channels are held in the FCC inventory. The FCC will provide credit to the broadband applicant for incumbent channels cancelled pursuant to a contract with the broadband applicant.</w:t>
      </w:r>
    </w:p>
    <w:p>
      <w:pPr>
        <w:spacing w:after="0" w:line="76"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Mandatory Retuning: </w:t>
      </w:r>
      <w:r>
        <w:rPr>
          <w:rFonts w:ascii="Times New Roman" w:cs="Times New Roman" w:eastAsia="Times New Roman" w:hAnsi="Times New Roman"/>
          <w:sz w:val="20"/>
          <w:szCs w:val="20"/>
          <w:color w:val="auto"/>
        </w:rPr>
        <w:t>A process by which a 900 MHz broadband licensee can mandatorily relocate a Covered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Incumbent to channels outside of the 900 MHz Broadband Segment if the replacement channels provide comparable facilities to the Covered Incumbent’s existing system and the broadband licensee pays all reasonable retuning costs.</w:t>
      </w:r>
    </w:p>
    <w:p>
      <w:pPr>
        <w:spacing w:after="0" w:line="70" w:lineRule="exact"/>
        <w:rPr>
          <w:sz w:val="20"/>
          <w:szCs w:val="20"/>
          <w:color w:val="auto"/>
        </w:rPr>
      </w:pPr>
    </w:p>
    <w:p>
      <w:pPr>
        <w:ind w:right="300"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MTA: </w:t>
      </w:r>
      <w:r>
        <w:rPr>
          <w:rFonts w:ascii="Times New Roman" w:cs="Times New Roman" w:eastAsia="Times New Roman" w:hAnsi="Times New Roman"/>
          <w:sz w:val="20"/>
          <w:szCs w:val="20"/>
          <w:color w:val="auto"/>
        </w:rPr>
        <w:t>Major Trading Area; service areas based on the Rand McNally 1992 Commercial Atlas &amp; Marketing Guide,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defines the original geography of the FCC auctioned 900 MHz SMR licenses.</w:t>
      </w:r>
    </w:p>
    <w:p>
      <w:pPr>
        <w:spacing w:after="0" w:line="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Narrowband Channel: </w:t>
      </w:r>
      <w:r>
        <w:rPr>
          <w:rFonts w:ascii="Times New Roman" w:cs="Times New Roman" w:eastAsia="Times New Roman" w:hAnsi="Times New Roman"/>
          <w:sz w:val="20"/>
          <w:szCs w:val="20"/>
          <w:color w:val="auto"/>
        </w:rPr>
        <w:t>A 900 MHz 25 kHz bandwidth channel.</w:t>
      </w:r>
    </w:p>
    <w:p>
      <w:pPr>
        <w:spacing w:after="0" w:line="130" w:lineRule="exact"/>
        <w:rPr>
          <w:sz w:val="20"/>
          <w:szCs w:val="20"/>
          <w:color w:val="auto"/>
        </w:rPr>
      </w:pPr>
    </w:p>
    <w:p>
      <w:pPr>
        <w:ind w:right="20"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PLTE: </w:t>
      </w:r>
      <w:r>
        <w:rPr>
          <w:rFonts w:ascii="Times New Roman" w:cs="Times New Roman" w:eastAsia="Times New Roman" w:hAnsi="Times New Roman"/>
          <w:sz w:val="20"/>
          <w:szCs w:val="20"/>
          <w:color w:val="auto"/>
        </w:rPr>
        <w:t>A private long-term evolution wireless network that is deployed and controlled specifically for the benefit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organization. Only users authorized by that organization have access to the network. The organization determines coverage, network performance, access and priority, the appropriate service level required for operations, specific cyber and physical security specifications and policies required for the network.</w:t>
      </w:r>
    </w:p>
    <w:p>
      <w:pPr>
        <w:spacing w:after="0" w:line="76" w:lineRule="exact"/>
        <w:rPr>
          <w:sz w:val="20"/>
          <w:szCs w:val="20"/>
          <w:color w:val="auto"/>
        </w:rPr>
      </w:pPr>
    </w:p>
    <w:p>
      <w:pPr>
        <w:ind w:right="340"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Retuning: </w:t>
      </w:r>
      <w:r>
        <w:rPr>
          <w:rFonts w:ascii="Times New Roman" w:cs="Times New Roman" w:eastAsia="Times New Roman" w:hAnsi="Times New Roman"/>
          <w:sz w:val="20"/>
          <w:szCs w:val="20"/>
          <w:color w:val="auto"/>
        </w:rPr>
        <w:t>Modifying an incumbent’s narrowband system to operate on channels outside the 900 MHZ Broadband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Segment established by the Report and Order.</w:t>
      </w:r>
    </w:p>
    <w:p>
      <w:pPr>
        <w:spacing w:after="0" w:line="52" w:lineRule="exact"/>
        <w:rPr>
          <w:sz w:val="20"/>
          <w:szCs w:val="20"/>
          <w:color w:val="auto"/>
        </w:rPr>
      </w:pPr>
    </w:p>
    <w:p>
      <w:pPr>
        <w:ind w:right="260"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Swapping: </w:t>
      </w:r>
      <w:r>
        <w:rPr>
          <w:rFonts w:ascii="Times New Roman" w:cs="Times New Roman" w:eastAsia="Times New Roman" w:hAnsi="Times New Roman"/>
          <w:sz w:val="20"/>
          <w:szCs w:val="20"/>
          <w:color w:val="auto"/>
        </w:rPr>
        <w:t>Exchanging narrowband channels outside the 900 MHz Broadband Segment for the broadband segment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channels held by a Covered Incumbent.</w:t>
      </w:r>
    </w:p>
    <w:p>
      <w:pPr>
        <w:spacing w:after="0" w:line="52" w:lineRule="exact"/>
        <w:rPr>
          <w:sz w:val="20"/>
          <w:szCs w:val="20"/>
          <w:color w:val="auto"/>
        </w:rPr>
      </w:pPr>
    </w:p>
    <w:p>
      <w:pPr>
        <w:ind w:right="140" w:firstLine="7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Transition Plan: </w:t>
      </w:r>
      <w:r>
        <w:rPr>
          <w:rFonts w:ascii="Times New Roman" w:cs="Times New Roman" w:eastAsia="Times New Roman" w:hAnsi="Times New Roman"/>
          <w:sz w:val="20"/>
          <w:szCs w:val="20"/>
          <w:color w:val="auto"/>
        </w:rPr>
        <w:t>A document filed as part of the broadband application that demonstrates that the broadband license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applicant holds, or has agreements to acquire, cancel, relocate or protect, at least 90% of the licensed channels in the 900 MHz Broadband Segment of Covered Incumbents in or within 70 miles of the county (i.e., the 90% Broadband Segment Test). The 2026 Report and Order require the broadband application to demonstrate that the broadband license applicant holds, or has agreements to acquire, cancel, relocate or protect, 100% of the licensed channels in the 900 MHz Broadband Segment of Covered Incumbents in or within 70 miles of the county for a 5 x 5 MHz Broadband License.</w:t>
      </w:r>
    </w:p>
    <w:p>
      <w:pPr>
        <w:sectPr>
          <w:pgSz w:w="12240" w:h="15840" w:orient="portrait"/>
          <w:cols w:equalWidth="0" w:num="1">
            <w:col w:w="10240"/>
          </w:cols>
          <w:pgMar w:left="1000" w:top="789" w:right="100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STATEMENTS</w:t>
      </w:r>
    </w:p>
    <w:p>
      <w:pPr>
        <w:spacing w:after="0" w:line="137"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auto"/>
        </w:rPr>
        <w:t>Various statements contained in this Annual Report on Form 10-K (the “Annual Report”), including those that express a belief, expectation, or intention, as well as those that are not statements of historical fact, are forward-looking statements. Our forward-looking statements are generally, but not always, accompanied by words such as, but not limited to, “aim,” “anticipate,” “believe,” “can,” “continue,” “could,” “estimate,” “expect,” “goal,” “intend,” “may,” “might,” “ongoing,” “plan,” “possible,” “potential,” “predict,” “project,” “seek,” “should,” “strategy,” “target,” “will,” “would” and similar expressions or phrases, or the negative of those expressions or phrases, or other words that convey the uncertainty of future events or outcomes, which are intended to identify forward-looking statements, although not all forward-looking statements contain these words. We have based these forward-looking statements on our current expectations, guidance and projections and related assumptions about future events and financial trends. While our management considers these expectations, guidance, projections and assumptions to be reasonable, they are inherently subject to significant business, economic, competitive, regulatory and other risks, contingencies and uncertainties, most of which are difficult to predict and many of which are beyond our control. There can be no assurance that actual developments will be as we anticipate. Actual results may differ materially from those expressed or implied in these statements as a result of significant risks and uncertainties, including, but not limited to:</w:t>
      </w:r>
    </w:p>
    <w:p>
      <w:pPr>
        <w:spacing w:after="0" w:line="13" w:lineRule="exact"/>
        <w:rPr>
          <w:sz w:val="20"/>
          <w:szCs w:val="20"/>
          <w:color w:val="auto"/>
        </w:rPr>
      </w:pPr>
    </w:p>
    <w:p>
      <w:pPr>
        <w:ind w:left="900" w:right="22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commercialize our spectrum assets to our targeted utility and critical infrastructure customers on a timely basis, and on commercially favorable terms, including our ability to monetize our spectrum on financial terms consistent with our business plan and assumptions;</w:t>
      </w:r>
    </w:p>
    <w:p>
      <w:pPr>
        <w:spacing w:after="0" w:line="1" w:lineRule="exact"/>
        <w:rPr>
          <w:rFonts w:ascii="Times New Roman" w:cs="Times New Roman" w:eastAsia="Times New Roman" w:hAnsi="Times New Roman"/>
          <w:sz w:val="20"/>
          <w:szCs w:val="20"/>
          <w:color w:val="auto"/>
        </w:rPr>
      </w:pPr>
    </w:p>
    <w:p>
      <w:pPr>
        <w:ind w:left="900" w:right="40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our obligations, including the delivery of cleared spectrum and broadband licenses, and the other contingencies required by our commercial agreements with our customers on a timely basis and on commercially reasonable terms;</w:t>
      </w:r>
    </w:p>
    <w:p>
      <w:pPr>
        <w:spacing w:after="0" w:line="1" w:lineRule="exact"/>
        <w:rPr>
          <w:rFonts w:ascii="Times New Roman" w:cs="Times New Roman" w:eastAsia="Times New Roman" w:hAnsi="Times New Roman"/>
          <w:sz w:val="20"/>
          <w:szCs w:val="20"/>
          <w:color w:val="auto"/>
        </w:rPr>
      </w:pPr>
    </w:p>
    <w:p>
      <w:pPr>
        <w:ind w:left="900" w:right="16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market and sell and deliver new products and services offerings, in addition to our spectrum assets, to our targeted and critical infrastructure customers;</w:t>
      </w:r>
    </w:p>
    <w:p>
      <w:pPr>
        <w:ind w:left="900" w:right="56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compete against third parties who offer spectrum and communication technologies, products and solutions to our targeted customers;</w:t>
      </w:r>
    </w:p>
    <w:p>
      <w:pPr>
        <w:ind w:left="900" w:right="32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manage our business in light of macroeconomic pressures, including but not limited to inflation, regulatory and policy changes, and geopolitical matters;</w:t>
      </w:r>
    </w:p>
    <w:p>
      <w:pPr>
        <w:ind w:left="900" w:hanging="370"/>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correctly estimate our cash receipts, revenues and operating expenses and our future financial needs;</w:t>
      </w:r>
    </w:p>
    <w:p>
      <w:pPr>
        <w:spacing w:after="0" w:line="1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our operating and financial projections and guidance;</w:t>
      </w:r>
    </w:p>
    <w:p>
      <w:pPr>
        <w:spacing w:after="0" w:line="10" w:lineRule="exact"/>
        <w:rPr>
          <w:rFonts w:ascii="Times New Roman" w:cs="Times New Roman" w:eastAsia="Times New Roman" w:hAnsi="Times New Roman"/>
          <w:sz w:val="20"/>
          <w:szCs w:val="20"/>
          <w:color w:val="auto"/>
        </w:rPr>
      </w:pPr>
    </w:p>
    <w:p>
      <w:pPr>
        <w:ind w:left="900" w:right="36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support our future operations and business plans and return capital to our stockholders through our share repurchase program with our existing cash resources and the proceeds we generate from our commercial operations without raising additional capital through the issuance of stock or debt securities;</w:t>
      </w:r>
    </w:p>
    <w:p>
      <w:pPr>
        <w:spacing w:after="0" w:line="1" w:lineRule="exact"/>
        <w:rPr>
          <w:rFonts w:ascii="Times New Roman" w:cs="Times New Roman" w:eastAsia="Times New Roman" w:hAnsi="Times New Roman"/>
          <w:sz w:val="20"/>
          <w:szCs w:val="20"/>
          <w:color w:val="auto"/>
        </w:rPr>
      </w:pPr>
    </w:p>
    <w:p>
      <w:pPr>
        <w:ind w:left="90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qualify for and obtain broadband licenses in a timely manner or at all from the FCC in accordance with the requirements of the Report and Order approved by the FCC on May 13, 2020 (the “2020 Report and Order”) and the Report and Order approved by the FCC on February 18, 2026 (the “2026 Report and Order”, collectively, the “Report and Order”);</w:t>
      </w:r>
    </w:p>
    <w:p>
      <w:pPr>
        <w:spacing w:after="0" w:line="1" w:lineRule="exact"/>
        <w:rPr>
          <w:rFonts w:ascii="Times New Roman" w:cs="Times New Roman" w:eastAsia="Times New Roman" w:hAnsi="Times New Roman"/>
          <w:sz w:val="20"/>
          <w:szCs w:val="20"/>
          <w:color w:val="auto"/>
        </w:rPr>
      </w:pPr>
    </w:p>
    <w:p>
      <w:pPr>
        <w:ind w:left="900" w:right="60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retune, protect, cancel or acquire Covered Incumbent narrowband channels, including Complex Systems, in a timely manner and on commercially reasonable terms, or at all;</w:t>
      </w:r>
    </w:p>
    <w:p>
      <w:pPr>
        <w:ind w:left="900" w:right="10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with respect to our efforts to encourage federal and state agencies and commissions supporting the deployment of broadband networks and services by our targeted customers;</w:t>
      </w:r>
    </w:p>
    <w:p>
      <w:pPr>
        <w:ind w:left="900" w:hanging="370"/>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any narrowband and broadband licenses that we own, acquire and/or obtain;</w:t>
      </w:r>
    </w:p>
    <w:p>
      <w:pPr>
        <w:spacing w:after="0" w:line="10" w:lineRule="exact"/>
        <w:rPr>
          <w:rFonts w:ascii="Times New Roman" w:cs="Times New Roman" w:eastAsia="Times New Roman" w:hAnsi="Times New Roman"/>
          <w:sz w:val="20"/>
          <w:szCs w:val="20"/>
          <w:color w:val="auto"/>
        </w:rPr>
      </w:pPr>
    </w:p>
    <w:p>
      <w:pPr>
        <w:ind w:left="900" w:right="4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respond to changes in government regulations or actions and the impact of such changes on our business prospects, liquidity and results of operations, including any changes by the FCC to the Report and Order or to the FCC rules and regulations governing the 900 MHz band;</w:t>
      </w:r>
    </w:p>
    <w:p>
      <w:pPr>
        <w:spacing w:after="0" w:line="1" w:lineRule="exact"/>
        <w:rPr>
          <w:rFonts w:ascii="Times New Roman" w:cs="Times New Roman" w:eastAsia="Times New Roman" w:hAnsi="Times New Roman"/>
          <w:sz w:val="20"/>
          <w:szCs w:val="20"/>
          <w:color w:val="auto"/>
        </w:rPr>
      </w:pPr>
    </w:p>
    <w:p>
      <w:pPr>
        <w:ind w:left="900" w:right="340" w:hanging="370"/>
        <w:spacing w:after="0" w:line="25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timing, the amount of repurchases and the related impact to our common stock relating to our share repurchase program;</w:t>
      </w:r>
    </w:p>
    <w:p>
      <w:pPr>
        <w:ind w:left="900" w:hanging="370"/>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maintain an effective system of internal controls; and</w:t>
      </w:r>
    </w:p>
    <w:p>
      <w:pPr>
        <w:spacing w:after="0" w:line="1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statements regarding the factors that may impact our financial results and stock price.</w:t>
      </w:r>
    </w:p>
    <w:p>
      <w:pPr>
        <w:spacing w:after="0" w:line="110"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These and other important factors, including those discussed under “Item 1. Business,” “Item 1A. Risk Factors” and “Item 7. Management’s Discussion and Analysis of Financial Condition and Results of Operations” within this Annual Report may cause our actual results, performance or achievements to differ materially from any future results, performance or achievements expressed or implied by these forward-looking statements. Therefore, you are cautioned not to place undue reliance on such statements. Further, any forward-looking statement speaks only as of the date on which it is made, and except to the extent required by applicable law, we undertake no obligation to update any forward-looking statement to reflect events or circumstances after the date on which the statement is made or to reflect the occurrence of unanticipated events, whether as a result of new information, future events or otherwise.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424815</wp:posOffset>
                </wp:positionV>
                <wp:extent cx="65049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3.45pt" to="512.1pt,33.45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9"/>
          <w:szCs w:val="19"/>
          <w:color w:val="auto"/>
        </w:rPr>
        <w:t>Page 1</w:t>
      </w:r>
    </w:p>
    <w:p>
      <w:pPr>
        <w:sectPr>
          <w:pgSz w:w="12240" w:h="15840" w:orient="portrait"/>
          <w:cols w:equalWidth="0" w:num="1">
            <w:col w:w="10220"/>
          </w:cols>
          <w:pgMar w:left="1000" w:top="201" w:right="102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3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We have prepared the following summary of the principal risks to our business and the risks associated with ownership of our common stock. This summary does not address all of the risks that we face. We encourage you to carefully review the full risk factors contained in this Annual Report in their entirety for additional information regarding the material factors that make an investment in our securities speculative or risky. These risks and uncertainties include, but are not limited to, the following:</w:t>
      </w:r>
    </w:p>
    <w:p>
      <w:pPr>
        <w:spacing w:after="0" w:line="3" w:lineRule="exact"/>
        <w:rPr>
          <w:sz w:val="20"/>
          <w:szCs w:val="20"/>
          <w:color w:val="auto"/>
        </w:rPr>
      </w:pPr>
    </w:p>
    <w:p>
      <w:pPr>
        <w:jc w:val="both"/>
        <w:ind w:left="900" w:right="24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commercializing our spectrum assets to our targeted utility and critical infrastructure customers on a timely basis, and on commercially favorable terms, including our ability to monetize our spectrum on financial terms consistent with our business plan and assumptions;</w:t>
      </w:r>
    </w:p>
    <w:p>
      <w:pPr>
        <w:spacing w:after="0" w:line="1" w:lineRule="exact"/>
        <w:rPr>
          <w:rFonts w:ascii="Times New Roman" w:cs="Times New Roman" w:eastAsia="Times New Roman" w:hAnsi="Times New Roman"/>
          <w:sz w:val="20"/>
          <w:szCs w:val="20"/>
          <w:color w:val="auto"/>
        </w:rPr>
      </w:pPr>
    </w:p>
    <w:p>
      <w:pPr>
        <w:ind w:left="900" w:right="2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commercial agreements with our customers are subject to contingencies and obligations, including the delivery of cleared spectrum and broadband licenses on a timely basis, and as a result, there is no assurance that we will receive payments from such customers in the amounts and on the timeline we currently expect, or that any payments we have received to date will not be subject to repayment, or that we will not be subject to contract claims, including rights of termination;</w:t>
      </w:r>
    </w:p>
    <w:p>
      <w:pPr>
        <w:spacing w:after="0" w:line="2" w:lineRule="exact"/>
        <w:rPr>
          <w:rFonts w:ascii="Times New Roman" w:cs="Times New Roman" w:eastAsia="Times New Roman" w:hAnsi="Times New Roman"/>
          <w:sz w:val="20"/>
          <w:szCs w:val="20"/>
          <w:color w:val="auto"/>
        </w:rPr>
      </w:pPr>
    </w:p>
    <w:p>
      <w:pPr>
        <w:ind w:left="900" w:right="30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developing, marketing, selling and delivering new products and services offerings to our targeted utility and critical infrastructure customers;</w:t>
      </w:r>
    </w:p>
    <w:p>
      <w:pPr>
        <w:ind w:left="900" w:right="4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competing against other spectrum holders who offer spectrum to our target customers, including the buyer of T-Mobile’s 800 MHz spectrum. In addition, many of the third parties who offer spectrum and communication technologies, products, services and solutions to our targeted customers have existing long-term relationships with these targeted customers and have significantly more resources and greater political and regulatory influence than we do, and we may not be able to successfully compete with these third parties;</w:t>
      </w:r>
    </w:p>
    <w:p>
      <w:pPr>
        <w:spacing w:after="0" w:line="2" w:lineRule="exact"/>
        <w:rPr>
          <w:rFonts w:ascii="Times New Roman" w:cs="Times New Roman" w:eastAsia="Times New Roman" w:hAnsi="Times New Roman"/>
          <w:sz w:val="20"/>
          <w:szCs w:val="20"/>
          <w:color w:val="auto"/>
        </w:rPr>
      </w:pPr>
    </w:p>
    <w:p>
      <w:pPr>
        <w:ind w:left="900" w:right="26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conditions, including as the result of tariffs and inflation, may adversely affect our business or the businesses of our target customers, which could have an adverse effect on our commercialization efforts;</w:t>
      </w:r>
    </w:p>
    <w:p>
      <w:pPr>
        <w:ind w:left="900" w:right="8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generate funds through our commercialization operations as planned or correctly estimate our operating expenses, future cash proceeds or future revenues, which could lead to cash shortfalls, and may prevent us from returning capital to our stockholders and require us to secure additional financing;</w:t>
      </w:r>
    </w:p>
    <w:p>
      <w:pPr>
        <w:spacing w:after="0" w:line="1"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unique business model, and our business activities, strategic approaches and plans may not be successful;</w:t>
      </w:r>
    </w:p>
    <w:p>
      <w:pPr>
        <w:spacing w:after="0" w:line="1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had net losses most years since our inception and may not achieve or maintain profitability in the future;</w:t>
      </w:r>
    </w:p>
    <w:p>
      <w:pPr>
        <w:spacing w:after="0" w:line="10" w:lineRule="exact"/>
        <w:rPr>
          <w:rFonts w:ascii="Times New Roman" w:cs="Times New Roman" w:eastAsia="Times New Roman" w:hAnsi="Times New Roman"/>
          <w:sz w:val="20"/>
          <w:szCs w:val="20"/>
          <w:color w:val="auto"/>
        </w:rPr>
      </w:pPr>
    </w:p>
    <w:p>
      <w:pPr>
        <w:ind w:left="900" w:right="26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our spectrum assets may fluctuate significantly based on supply and demand, as well as technical and regulatory changes;</w:t>
      </w:r>
    </w:p>
    <w:p>
      <w:pPr>
        <w:ind w:left="900" w:right="6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commercialize our 900 MHz spectrum assets depend on our ability to continue to qualify for and obtain broadband licenses from the FCC in accordance with the requirements of the Report and Order, including the enhanced standards required to qualify for the 5 x 5 MHz broadband licenses under the 2026 Report and Order;</w:t>
      </w:r>
    </w:p>
    <w:p>
      <w:pPr>
        <w:spacing w:after="0" w:line="1" w:lineRule="exact"/>
        <w:rPr>
          <w:rFonts w:ascii="Times New Roman" w:cs="Times New Roman" w:eastAsia="Times New Roman" w:hAnsi="Times New Roman"/>
          <w:sz w:val="20"/>
          <w:szCs w:val="20"/>
          <w:color w:val="auto"/>
        </w:rPr>
      </w:pPr>
    </w:p>
    <w:p>
      <w:pPr>
        <w:ind w:left="90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voluntary exchange process established by the FCC in the Report and Order may not allow us to clear or relocate incumbents in certain counties in a timely manner and on commercially reasonable terms, or at all;</w:t>
      </w:r>
    </w:p>
    <w:p>
      <w:pPr>
        <w:ind w:left="900" w:right="40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clearing process established by the FCC in the Report and Order, which exempts Complex Systems from mandatory retuning, may not allow us to retune or relocate incumbents in a timely manner and on commercially reasonable terms, or at all;</w:t>
      </w:r>
    </w:p>
    <w:p>
      <w:pPr>
        <w:spacing w:after="0" w:line="1" w:lineRule="exact"/>
        <w:rPr>
          <w:rFonts w:ascii="Times New Roman" w:cs="Times New Roman" w:eastAsia="Times New Roman" w:hAnsi="Times New Roman"/>
          <w:sz w:val="20"/>
          <w:szCs w:val="20"/>
          <w:color w:val="auto"/>
        </w:rPr>
      </w:pPr>
    </w:p>
    <w:p>
      <w:pPr>
        <w:ind w:left="900" w:right="6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initiatives with the federal and state agencies and commissions that regulate electric utilities may not be successful, which may impact our commercialization efforts;</w:t>
      </w: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maintain any narrowband and broadband licenses that we own and/or obtain from the FCC;</w:t>
      </w:r>
    </w:p>
    <w:p>
      <w:pPr>
        <w:spacing w:after="0" w:line="10" w:lineRule="exact"/>
        <w:rPr>
          <w:rFonts w:ascii="Times New Roman" w:cs="Times New Roman" w:eastAsia="Times New Roman" w:hAnsi="Times New Roman"/>
          <w:sz w:val="20"/>
          <w:szCs w:val="20"/>
          <w:color w:val="auto"/>
        </w:rPr>
      </w:pPr>
    </w:p>
    <w:p>
      <w:pPr>
        <w:ind w:left="900" w:right="28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regulations or actions taken by governmental bodies could adversely affect our business prospects, liquidity and results of operations, including any changes by the FCC to the Report and Order or to the FCC rules and regulations governing the 900 MHz band;</w:t>
      </w:r>
    </w:p>
    <w:p>
      <w:pPr>
        <w:spacing w:after="0" w:line="1" w:lineRule="exact"/>
        <w:rPr>
          <w:rFonts w:ascii="Times New Roman" w:cs="Times New Roman" w:eastAsia="Times New Roman" w:hAnsi="Times New Roman"/>
          <w:sz w:val="20"/>
          <w:szCs w:val="20"/>
          <w:color w:val="auto"/>
        </w:rPr>
      </w:pPr>
    </w:p>
    <w:p>
      <w:pPr>
        <w:ind w:left="900" w:right="44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government shutdowns could affect our ability to obtain broadband licenses from the FCC, which could adversely impact our ability to comply with our contractual obligations and to commercialize our 900 MHz spectrum assets;</w:t>
      </w:r>
    </w:p>
    <w:p>
      <w:pPr>
        <w:spacing w:after="0" w:line="1" w:lineRule="exact"/>
        <w:rPr>
          <w:rFonts w:ascii="Times New Roman" w:cs="Times New Roman" w:eastAsia="Times New Roman" w:hAnsi="Times New Roman"/>
          <w:sz w:val="20"/>
          <w:szCs w:val="20"/>
          <w:color w:val="auto"/>
        </w:rPr>
      </w:pPr>
    </w:p>
    <w:p>
      <w:pPr>
        <w:ind w:left="900" w:right="80" w:hanging="370"/>
        <w:spacing w:after="0" w:line="25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success depends on our ability to retain our executive officers and key personnel and to attract, retain and motivate qualified personnel;</w:t>
      </w: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concentration of ownership will limit our stockholders’ ability to influence corporate matters; and</w:t>
      </w:r>
    </w:p>
    <w:p>
      <w:pPr>
        <w:spacing w:after="0" w:line="10" w:lineRule="exact"/>
        <w:rPr>
          <w:rFonts w:ascii="Times New Roman" w:cs="Times New Roman" w:eastAsia="Times New Roman" w:hAnsi="Times New Roman"/>
          <w:sz w:val="20"/>
          <w:szCs w:val="20"/>
          <w:color w:val="auto"/>
        </w:rPr>
      </w:pPr>
    </w:p>
    <w:p>
      <w:pPr>
        <w:ind w:left="900" w:right="780" w:hanging="370"/>
        <w:spacing w:after="0" w:line="260"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utilize the full value of the share repurchase program approved by our stockholders as expected, or at 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1103630</wp:posOffset>
                </wp:positionV>
                <wp:extent cx="65049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86.9pt" to="512.1pt,86.9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9"/>
          <w:szCs w:val="19"/>
          <w:color w:val="auto"/>
        </w:rPr>
        <w:t>Page 2</w:t>
      </w:r>
    </w:p>
    <w:p>
      <w:pPr>
        <w:sectPr>
          <w:pgSz w:w="12240" w:h="15840" w:orient="portrait"/>
          <w:cols w:equalWidth="0" w:num="1">
            <w:col w:w="10240"/>
          </w:cols>
          <w:pgMar w:left="1000" w:top="201" w:right="10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Anterix Inc. (“Anterix,” “we,” “our,” or the “Company”) is the nation’s largest holder of licensed 900 MHz spectrum (896-901/935-940 MHz) with coverage spanning the contiguous United States, Hawaii, Alaska, and Puerto Rico. Our mission is to transform critical infrastructure connectivity, commercialize our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spacing w:after="0" w:line="88"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During fiscal 2026, we evolved our business strategy. Building on our foundational 900 MHz spectrum position, we transitioned from a model focused predominantly on long-term spectrum leasing to a broader operating model. In the ordinary course of business, we now secure and expand our spectrum position, clear and retune spectrum, monetize spectrum through both sales and long-term leases, and develop a growing portfolio of products and services offerings around our spectrum that are designed to generate recurring revenue. Together, these activities form the foundation of how we generate revenue today and how we expect to generate revenue over time. Our new brand and visual identity, introduced during the fourth quarter, reflects this evolution.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2026 Highlights and Accomplishments</w:t>
      </w:r>
    </w:p>
    <w:p>
      <w:pPr>
        <w:spacing w:after="0" w:line="34" w:lineRule="exact"/>
        <w:rPr>
          <w:sz w:val="20"/>
          <w:szCs w:val="20"/>
          <w:color w:val="auto"/>
        </w:rPr>
      </w:pPr>
    </w:p>
    <w:p>
      <w:pPr>
        <w:ind w:left="900" w:right="420" w:hanging="370"/>
        <w:spacing w:after="0" w:line="252"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new spectrum sale agreements with CPS Energy (“CPS”), Texas-New Mexico Power (“TNMP”), and NorthWestern Energy (“NWE”).</w:t>
      </w:r>
    </w:p>
    <w:p>
      <w:pPr>
        <w:ind w:left="900" w:hanging="370"/>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to year end, in April 2026, we entered into a new spectrum sale agreement with Benton PUD.</w:t>
      </w:r>
    </w:p>
    <w:p>
      <w:pPr>
        <w:spacing w:after="0" w:line="10" w:lineRule="exact"/>
        <w:rPr>
          <w:rFonts w:ascii="Times New Roman" w:cs="Times New Roman" w:eastAsia="Times New Roman" w:hAnsi="Times New Roman"/>
          <w:sz w:val="20"/>
          <w:szCs w:val="20"/>
          <w:color w:val="auto"/>
        </w:rPr>
      </w:pPr>
    </w:p>
    <w:p>
      <w:pPr>
        <w:ind w:left="900" w:right="380" w:hanging="370"/>
        <w:spacing w:after="0" w:line="250"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February 18, 2026, the FCC adopted the 2026 Report and Order to expand the 900 MHz broadband segment from 6 MHz to 10 MHz.</w:t>
      </w:r>
    </w:p>
    <w:p>
      <w:pPr>
        <w:ind w:left="900" w:right="980" w:hanging="370"/>
        <w:spacing w:after="0" w:line="250"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$127.0 million of contracted proceeds from customers with $50 million of contracted proceeds outstanding.</w:t>
      </w:r>
    </w:p>
    <w:p>
      <w:pPr>
        <w:ind w:left="900" w:hanging="370"/>
        <w:spacing w:after="0" w:line="194"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Launched TowerX</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a tower site access service, and CatalyX®, a turnkey connectivity management solution</w:t>
      </w:r>
    </w:p>
    <w:p>
      <w:pPr>
        <w:ind w:left="900" w:right="780" w:hanging="370"/>
        <w:spacing w:after="0" w:line="249"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broadband licenses to customers in 155 counties and recorded a $34.8 million gain on the sale of intangible assets.</w:t>
      </w:r>
    </w:p>
    <w:p>
      <w:pPr>
        <w:ind w:left="900" w:hanging="370"/>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Exchanged narrowband for broadband licenses in 219 counties and recorded a $105.4 million gain.</w:t>
      </w:r>
    </w:p>
    <w:p>
      <w:pPr>
        <w:spacing w:after="0" w:line="1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43,175 shares of Anterix stock to return capital to our stockholders for a total of $1.0 million.</w:t>
      </w:r>
    </w:p>
    <w:p>
      <w:pPr>
        <w:spacing w:after="0" w:line="10" w:lineRule="exact"/>
        <w:rPr>
          <w:rFonts w:ascii="Times New Roman" w:cs="Times New Roman" w:eastAsia="Times New Roman" w:hAnsi="Times New Roman"/>
          <w:sz w:val="20"/>
          <w:szCs w:val="20"/>
          <w:color w:val="auto"/>
        </w:rPr>
      </w:pPr>
    </w:p>
    <w:p>
      <w:pPr>
        <w:ind w:left="900" w:right="60" w:hanging="370"/>
        <w:spacing w:after="0" w:line="255"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Evolved our business strategy from a predominantly lease-based model to a broader operating model under which we acquire, clear, sell and lease spectrum and develop products and services offerings around it, and unveiled a new brand and visual identity reflecting this evolution.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Strategy</w:t>
      </w:r>
    </w:p>
    <w:p>
      <w:pPr>
        <w:spacing w:after="0" w:line="137"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Our strategy positions our 900 MHz spectrum as the linchpin of an integrated, end-to-end operating model. In the ordinary course of business, we (i) secure and expand our spectrum position, (ii) clear and retune spectrum to convert our nationwide narrowband holdings into broadband, (iii) monetize that spectrum through sales or long-term leases and (iv) develop and deliver a growing suite of products, services offerings and ecosystem solutions, including TowerX, CatalyX and the Anterix Active Ecosystem, that are designed to generate recurring revenue as customer networks are deployed and operated. Each of these activities is a recurring part of how we operate and generate revenue today and expect to generate in the future, and together they are designed to capture the full value of our spectrum across its lifecycle. We serve utility and critical infrastructure enterprises tackling the defining challenges of grid modernization, operational resilience, cybersecurity, remote automation, real-time monitoring, and AI-enabled edge applications. Our solutions are purpose-built to support digital transformation and infrastructure modernization at scale, providing the security, performance, and reliability the modern grid demands.</w:t>
      </w:r>
    </w:p>
    <w:p>
      <w:pPr>
        <w:spacing w:after="0" w:line="89"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auto"/>
        </w:rPr>
        <w:t>Our value proposition increasingly extends beyond spectrum. Through TowerX, CatalyX, and the Anterix Active Ecosystem, which includes more than 150 technology innovators, we provide customers with a complete and integrated, pathway from spectrum acquisition to network deployment and operation. These offerings are designed to reduce implementation complexity, support more efficient deployment timelines, and enable scalable solutions that align with customers’ evolving operational requirements. As customers deploy and operate their networks, these offerings are designed to generate recurring revenue that extends our customer relationships beyond the initial spectrum sale or lease.</w:t>
      </w:r>
    </w:p>
    <w:p>
      <w:pPr>
        <w:spacing w:after="0" w:line="88" w:lineRule="exact"/>
        <w:rPr>
          <w:sz w:val="20"/>
          <w:szCs w:val="20"/>
          <w:color w:val="auto"/>
        </w:rPr>
      </w:pPr>
    </w:p>
    <w:p>
      <w:pPr>
        <w:ind w:right="360" w:firstLine="720"/>
        <w:spacing w:after="0" w:line="260" w:lineRule="auto"/>
        <w:rPr>
          <w:sz w:val="20"/>
          <w:szCs w:val="20"/>
          <w:color w:val="auto"/>
        </w:rPr>
      </w:pPr>
      <w:r>
        <w:rPr>
          <w:rFonts w:ascii="Times New Roman" w:cs="Times New Roman" w:eastAsia="Times New Roman" w:hAnsi="Times New Roman"/>
          <w:sz w:val="20"/>
          <w:szCs w:val="20"/>
          <w:color w:val="auto"/>
        </w:rPr>
        <w:t>As previously noted, in February 2026 the FCC unanimously adopted its 2026 Report and Order, “Maximizing the Potential of the 900 MHz Band,” enabling broadband deployment across the full 10 megahertz of the band. This action enhances the utility and capacity of our spectrum holdings and supports the continued development of our platform and ecosystem.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160020</wp:posOffset>
                </wp:positionV>
                <wp:extent cx="650494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6pt" to="512.1pt,12.6pt" o:allowincell="f" strokecolor="#000000" strokeweight="1pt"/>
            </w:pict>
          </mc:Fallback>
        </mc:AlternateContent>
      </w:r>
    </w:p>
    <w:p>
      <w:pPr>
        <w:spacing w:after="0" w:line="259"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20"/>
          <w:szCs w:val="20"/>
          <w:color w:val="auto"/>
        </w:rPr>
        <w:t>Page 3</w:t>
      </w:r>
    </w:p>
    <w:p>
      <w:pPr>
        <w:sectPr>
          <w:pgSz w:w="12240" w:h="15840" w:orient="portrait"/>
          <w:cols w:equalWidth="0" w:num="1">
            <w:col w:w="10240"/>
          </w:cols>
          <w:pgMar w:left="1000" w:top="201" w:right="1000"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Evolution of Our Operating Model</w:t>
      </w:r>
    </w:p>
    <w:p>
      <w:pPr>
        <w:spacing w:after="0" w:line="13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Today, acquiring, clearing, selling, leasing and developing products and services offerings around our spectrum are all undertaken in the ordinary course of business. This represents a change from our historical approach, under which we monetized spectrum predominantly through long-term leases and sold spectrum assets only to utilities operating within Complex Systems on a case-by-case basis. During fiscal 2026, as the market matured and utilities increasingly focused on selecting the ownership structure (sale or lease) that best aligned with their operational, regulatory and financial objectives, we evolved our commercial approach to meet customers through either structure. As a result of this change in strategy, spectrum sale agreements entered into after December 31, 2025 are entered into in the ordinary course of business, and the related revenue and cost of sales are recognized on a gross basis in accordance with ASC 606. The products and services offerings we develop around our spectrum are designed to generate recurring revenue as customer networks are deployed and operated, supporting revenue generation on an ongoing basis. For the discussion of the change in our spectrum sale agreement accounting and presentation, refer to Note 2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b w:val="1"/>
          <w:bCs w:val="1"/>
          <w:i w:val="1"/>
          <w:iCs w:val="1"/>
          <w:color w:val="auto"/>
        </w:rPr>
        <w:t>ummary of Significant Accounting Policies</w:t>
      </w:r>
      <w:r>
        <w:rPr>
          <w:rFonts w:ascii="Times New Roman" w:cs="Times New Roman" w:eastAsia="Times New Roman" w:hAnsi="Times New Roman"/>
          <w:sz w:val="20"/>
          <w:szCs w:val="20"/>
          <w:color w:val="auto"/>
        </w:rPr>
        <w:t xml:space="preserve"> in the Notes to the Consolidated Financial Statements contained within this Annual Report.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Spectrum Assets</w:t>
      </w:r>
    </w:p>
    <w:p>
      <w:pPr>
        <w:spacing w:after="0" w:line="13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Our spectrum is our most valuable owned asset. We acquired the majority of our 900 MHz spectrum, along with certain related equipment, from Sprint in September 2014. In the 900 MHz band, the FCC historically allocated approximately 10 MHz of spectrum, sub-divided into 40 10-channel blocks (for a total of 399 contiguous channels) alternating between blocks designated for the operation of SMR commercial systems and blocks designated for B/ILT, with the FCC’s rules also enabling B/ILT licenses to be converted to SMR use. Subsequently, the FCC conducted overlay auctions on the SMR designated blocks that awarded geographic-based licenses on an MTA basis while affording operational protection to incumbent, site-based licensees in those areas. Certain MTA licenses have been returned to the FCC. In addition, the FCC never auctioned the 20 blocks of B/ILT spectrum in the United States. The licensees acquired site-based licenses utilizing this spectrum through the initial application and coordination procedure, which has been frozen since 2017. As a result, the FCC is currently holding over 28% of 900 MHz narrowband spectrum in its inventory throughout the United States. We hold, or have held, licenses nationwide that cover over 59% of MHz Population (“MHzPop”) in the 900 MHz band in the United States.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Broadband Licenses</w:t>
      </w:r>
    </w:p>
    <w:p>
      <w:pPr>
        <w:spacing w:after="0" w:line="134"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As of March 31, 2026, we were cumulatively granted by the FCC broadband licenses for 419 counties, inclusive of 159 licenses transferred to customers. As a result, we relinquished to the FCC our narrowband licenses and if necessary, made the Anti-Windfall Payments for the same 419 counties, as required by the Report and Order.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Converting our Nationwide Narrowband 900 MHz Spectrum Position to Broadband</w:t>
      </w:r>
    </w:p>
    <w:p>
      <w:pPr>
        <w:spacing w:after="0" w:line="159"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conversion of our spectrum holdings from narrowband to broadband licenses on a nationwide basis is a foundational element of our two-pronged strategy and supports the execution of our broader business objectives. To achieve this conversion, we are focused on clearing incumbents out of the broadband license segment and obtaining broadband licenses in counties (i) in which we have customer contracts, (ii) where we believe we have near-term commercial prospects, or (iii) that we consider strategically advantageous to optimize the cost of broadband licensing over time.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Secure Broadband Licenses</w:t>
      </w:r>
    </w:p>
    <w:p>
      <w:pPr>
        <w:spacing w:after="0" w:line="154" w:lineRule="exact"/>
        <w:rPr>
          <w:sz w:val="20"/>
          <w:szCs w:val="20"/>
          <w:color w:val="auto"/>
        </w:rPr>
      </w:pPr>
    </w:p>
    <w:p>
      <w:pPr>
        <w:jc w:val="both"/>
        <w:ind w:right="100" w:firstLine="720"/>
        <w:spacing w:after="0" w:line="266" w:lineRule="auto"/>
        <w:rPr>
          <w:sz w:val="20"/>
          <w:szCs w:val="20"/>
          <w:color w:val="auto"/>
        </w:rPr>
      </w:pPr>
      <w:r>
        <w:rPr>
          <w:rFonts w:ascii="Times New Roman" w:cs="Times New Roman" w:eastAsia="Times New Roman" w:hAnsi="Times New Roman"/>
          <w:sz w:val="20"/>
          <w:szCs w:val="20"/>
          <w:color w:val="auto"/>
        </w:rPr>
        <w:t>In the Report and Order, the FCC chose to make counties the “base unit of measure” for calculating whether an entity is eligible to hold a broadband license. As a result of this decision and our extensive accumulated spectrum holdings, Anterix, and only Anterix, is an essential party in every one of the nation’s 3,233 counties.</w:t>
      </w:r>
    </w:p>
    <w:p>
      <w:pPr>
        <w:spacing w:after="0" w:line="95"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While we intend to prioritize our spectrum transactions in areas where we have identified customer opportunities, we also plan to pursue spectrum transactions opportunistically to generate returns on our investment in spectrum clearing costs. We have taken a proactive approach to these efforts and have completed and expect to continue pursuing spectrum transactions to support our efforts to satisfy the broadband license eligibility requirements.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Clear Covered Incumbents</w:t>
      </w:r>
    </w:p>
    <w:p>
      <w:pPr>
        <w:spacing w:after="0" w:line="154"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auto"/>
        </w:rPr>
        <w:t>We have been proactive in our spectrum clearing efforts in anticipation of the broadband licensing process. Our dedicated clearing team is focused on negotiating agreements to transition Covered Incumbents from the 3 x 3 MHz broadband segment of the 900 MHz spectrum band into segments designated for continued narrowband operations within the 900 MHz band or, where appropriate, out of 900 MHz band entirely. To date, we have successfully negotiated and executed agreements representing approximately 87% of the transactions required to clear the licensed 900 MHz Broadband segment channels, including six Complex Systems.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497840</wp:posOffset>
                </wp:positionV>
                <wp:extent cx="650494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9.2pt" to="512.1pt,39.2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9"/>
          <w:szCs w:val="19"/>
          <w:color w:val="auto"/>
        </w:rPr>
        <w:t>Page 4</w:t>
      </w:r>
    </w:p>
    <w:p>
      <w:pPr>
        <w:sectPr>
          <w:pgSz w:w="12240" w:h="15840" w:orient="portrait"/>
          <w:cols w:equalWidth="0" w:num="1">
            <w:col w:w="10220"/>
          </w:cols>
          <w:pgMar w:left="1000" w:top="201" w:right="10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Deploying our Commercial and Product Business Offering</w:t>
      </w:r>
    </w:p>
    <w:p>
      <w:pPr>
        <w:spacing w:after="0" w:line="15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Following the completion of the 2020 Report and Order and the subsequent work to advance deployment of broadband in the 900 MHz band, we have entered the second key prong of our strategy: establishing our commercial position and accelerating adoption of our primary commercial offering. We are implementing this strategy through a coordinated set of initiatives including:</w:t>
      </w:r>
    </w:p>
    <w:p>
      <w:pPr>
        <w:spacing w:after="0" w:line="3" w:lineRule="exact"/>
        <w:rPr>
          <w:sz w:val="20"/>
          <w:szCs w:val="20"/>
          <w:color w:val="auto"/>
        </w:rPr>
      </w:pPr>
    </w:p>
    <w:p>
      <w:pPr>
        <w:ind w:left="720" w:right="220" w:hanging="370"/>
        <w:spacing w:after="0" w:line="250" w:lineRule="auto"/>
        <w:tabs>
          <w:tab w:leader="none" w:pos="720" w:val="left"/>
        </w:tabs>
        <w:numPr>
          <w:ilvl w:val="0"/>
          <w:numId w:val="6"/>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targeted outreach and education by our sales, marketing, business development, commercial operations and industry government affairs teams;</w:t>
      </w:r>
    </w:p>
    <w:p>
      <w:pPr>
        <w:spacing w:after="0" w:line="1" w:lineRule="exact"/>
        <w:rPr>
          <w:rFonts w:ascii="Arial" w:cs="Arial" w:eastAsia="Arial" w:hAnsi="Arial"/>
          <w:sz w:val="20"/>
          <w:szCs w:val="20"/>
          <w:b w:val="1"/>
          <w:bCs w:val="1"/>
          <w:color w:val="auto"/>
        </w:rPr>
      </w:pPr>
    </w:p>
    <w:p>
      <w:pPr>
        <w:ind w:left="720" w:right="580" w:hanging="370"/>
        <w:spacing w:after="0" w:line="249"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the Utilities Broadband Alliance (“UBBA”), other industry associations and at relevant industry events;</w:t>
      </w: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with vendors to expand the Anterix Active Ecosystem (“AAE”);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advancement or our Utility Strategic Advisory Board (“USAB”);</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provision of connectivity and SIM management through CatalyX; and</w:t>
      </w:r>
    </w:p>
    <w:p>
      <w:pPr>
        <w:spacing w:after="0" w:line="17"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deployment of tower access and optimization services through TowerX.</w:t>
      </w:r>
    </w:p>
    <w:p>
      <w:pPr>
        <w:spacing w:after="0" w:line="120" w:lineRule="exact"/>
        <w:rPr>
          <w:sz w:val="20"/>
          <w:szCs w:val="20"/>
          <w:color w:val="auto"/>
        </w:rPr>
      </w:pPr>
    </w:p>
    <w:p>
      <w:pPr>
        <w:ind w:right="180" w:firstLine="720"/>
        <w:spacing w:after="0" w:line="254" w:lineRule="auto"/>
        <w:rPr>
          <w:sz w:val="20"/>
          <w:szCs w:val="20"/>
          <w:color w:val="auto"/>
        </w:rPr>
      </w:pPr>
      <w:r>
        <w:rPr>
          <w:rFonts w:ascii="Times New Roman" w:cs="Times New Roman" w:eastAsia="Times New Roman" w:hAnsi="Times New Roman"/>
          <w:sz w:val="20"/>
          <w:szCs w:val="20"/>
          <w:color w:val="auto"/>
        </w:rPr>
        <w:t>The primary objective of our business is to monetize the broadband licenses we secure to customers. Based on our analysis and discussions with current and prospective customers to date, we are observing strong and growing indications of demand for PLTE networks using 900 MHz spectrum. Under our model, we are responsible for the costs associated with securing the broadband licenses from the FCC, including clearing costs and satisfying broadband eligibility requirements. In contrast, we expect that our customers will fund the deployment and ongoing operation of their private broadband networks, technologies and related solutions. In addition, we continue to evaluate additional opportunities to provide value-added solutions and services to utilities and other critical infrastructure industries in support of network deployment, operations, and grid modernization initiatives.</w:t>
      </w:r>
    </w:p>
    <w:p>
      <w:pPr>
        <w:spacing w:after="0" w:line="113" w:lineRule="exact"/>
        <w:rPr>
          <w:sz w:val="20"/>
          <w:szCs w:val="20"/>
          <w:color w:val="auto"/>
        </w:rPr>
      </w:pPr>
    </w:p>
    <w:p>
      <w:pPr>
        <w:ind w:right="300" w:firstLine="720"/>
        <w:spacing w:after="0" w:line="269" w:lineRule="auto"/>
        <w:rPr>
          <w:sz w:val="20"/>
          <w:szCs w:val="20"/>
          <w:color w:val="auto"/>
        </w:rPr>
      </w:pPr>
      <w:r>
        <w:rPr>
          <w:rFonts w:ascii="Times New Roman" w:cs="Times New Roman" w:eastAsia="Times New Roman" w:hAnsi="Times New Roman"/>
          <w:sz w:val="19"/>
          <w:szCs w:val="19"/>
          <w:color w:val="auto"/>
        </w:rPr>
        <w:t>Accordingly, our approach to advancing this strategy includes: 1) progressing prospective customers through the pipeline by supporting their evaluation and decision making process related to private wireless networks; 2) engaging with federal and state agencies to encourage policies that support the investment in and deployment of PLTE solutions in the 900 MHz band; 3) participating in demonstrations and testing with organizations such as the National Renewable Energy Lab (“NREL”), Pacific Northwest National Lab and National Institute of Standards and Technology (“NIST”) to validate PLTE benefits; 4) developing expanded value-added product and services offerings; 5) enabling and scaling the AAE; 6) engaging through UBBA and other relevant industry associations to promote our solution; 7) enhancing product and deployment execution to connect and secure devices that measure, monitor, or control the flow of power; and 8) continuously evaluating opportunities to expand use cases for private wireless broadband networks built on 900 MHz broadband spectrum.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 to Build the Customer Pipeline</w:t>
      </w:r>
    </w:p>
    <w:p>
      <w:pPr>
        <w:spacing w:after="0" w:line="154"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auto"/>
        </w:rPr>
        <w:t>Our sales and support teams are actively working in coordination with representatives from our target customers, LTE infrastructure vendors, end-user device manufacturers, system integrators and other technology companies in addition to responding to Requests for Information (“RFI”), Requests for Proposals (“RFP”) and requests to support technology trials related to using our 900 MHz spectrum for broadband services. Currently, there is one experimental license granted to noncustomer utilities and four experimental licenses granted to other vendors and labs to showcase and promote the use of 900 MHz Broadband Spectrum.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Build Support with Federal and State Agencies</w:t>
      </w:r>
    </w:p>
    <w:p>
      <w:pPr>
        <w:spacing w:after="0" w:line="154" w:lineRule="exact"/>
        <w:rPr>
          <w:sz w:val="20"/>
          <w:szCs w:val="20"/>
          <w:color w:val="auto"/>
        </w:rPr>
      </w:pPr>
    </w:p>
    <w:p>
      <w:pPr>
        <w:ind w:right="20" w:firstLine="720"/>
        <w:spacing w:after="0" w:line="267" w:lineRule="auto"/>
        <w:rPr>
          <w:sz w:val="20"/>
          <w:szCs w:val="20"/>
          <w:color w:val="auto"/>
        </w:rPr>
      </w:pPr>
      <w:r>
        <w:rPr>
          <w:rFonts w:ascii="Times New Roman" w:cs="Times New Roman" w:eastAsia="Times New Roman" w:hAnsi="Times New Roman"/>
          <w:sz w:val="19"/>
          <w:szCs w:val="19"/>
          <w:color w:val="auto"/>
        </w:rPr>
        <w:t>The vast majority of our targeted critical infrastructure customers are highly regulated by both federal and state agencies. Electric utilities, for example, may be regulated by the Federal Energy Regulatory Commission, the Public Utilities Commissions within the states they serve and/or other state and municipal governance and regulatory bodies. Other agencies that guide utility regulations include the Department of Energy, the Department of Homeland Security, and NIST, as well as regional transmission organizations and independent system operators. We are working with each of these agencies to educate them about the security, reliability and priority access benefits that private broadband wireless networks, technologies and solutions can offer to utilities. We are also working with a number of state agencies and commissions that regulate electric utilities and have a strong influence over electric utility investment decisions. Our goal with these stakeholders is to ensure they have the appropriate information and are properly educated on the substantial benefits of utility-scale private wireless broadband networks for end-use customers so they can confidently approve investments made by utilities including the costs of procuring our spectrum assets and deploying private broadband LTE networks, technologies and solutions into their respective rate making filings. Their understanding and appreciation that utility control of communications for grid modernization programs enhances the utilities’ ability to provide safe, secure, reliable and resilient electricity for ratepayers is essential. When included in rate bases, utilities are permitted to recover costs and earn a customary rate of return on these prudent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554355</wp:posOffset>
                </wp:positionV>
                <wp:extent cx="650494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3.65pt" to="512.1pt,43.65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9"/>
          <w:szCs w:val="19"/>
          <w:color w:val="auto"/>
        </w:rPr>
        <w:t>Page 5</w:t>
      </w:r>
    </w:p>
    <w:p>
      <w:pPr>
        <w:sectPr>
          <w:pgSz w:w="12240" w:h="15840" w:orient="portrait"/>
          <w:cols w:equalWidth="0" w:num="1">
            <w:col w:w="10220"/>
          </w:cols>
          <w:pgMar w:left="1000" w:top="201" w:right="102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Engagement in UBBA and Industry Associations</w:t>
      </w:r>
    </w:p>
    <w:p>
      <w:pPr>
        <w:spacing w:after="0" w:line="154" w:lineRule="exact"/>
        <w:rPr>
          <w:sz w:val="20"/>
          <w:szCs w:val="20"/>
          <w:color w:val="auto"/>
        </w:rPr>
      </w:pPr>
    </w:p>
    <w:p>
      <w:pPr>
        <w:ind w:right="200" w:firstLine="720"/>
        <w:spacing w:after="0" w:line="243" w:lineRule="auto"/>
        <w:rPr>
          <w:sz w:val="20"/>
          <w:szCs w:val="20"/>
          <w:color w:val="auto"/>
        </w:rPr>
      </w:pPr>
      <w:r>
        <w:rPr>
          <w:rFonts w:ascii="Times New Roman" w:cs="Times New Roman" w:eastAsia="Times New Roman" w:hAnsi="Times New Roman"/>
          <w:sz w:val="20"/>
          <w:szCs w:val="20"/>
          <w:color w:val="auto"/>
        </w:rPr>
        <w:t>To further support pipeline development and accelerate ecosystem adoption, we continue to expand our engagement through industry alliances and advisory initiatives. The UBBA membership currently includes 38 electric utilities and subsidiaries among its more than 100 members. The AAE targets the Nation’s electric grid innovators and includes participation of over 150 innovative technology companies that provide deployment and application solutions for private broadband networks. We launched the AAE to foster, strengthen, and expand the landscape of 900 MHz devices, services offerings and solutions. Participation from the broad range of technology innovators is intended to bring significant value to utilities and other critical infrastructure providers who deploy PLTE. Our USAB is composed of executives from both current and prospective utility customers, offering strategic guidance on issues where we can harness collective action to benefit their respective organizations, especially through the AAE, and other strategic initiatives.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 a Roadmap for Expanded Services</w:t>
      </w:r>
    </w:p>
    <w:p>
      <w:pPr>
        <w:spacing w:after="0" w:line="154"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Through our day-to-day interactions with prospective utility and critical infrastructure customers, and our responses and subsequent discussions related to RFIs and RFPs, we have identified additional areas of opportunity to support our current and prospective customers in the implementation and operation of PLTE networks. We are actively evaluating solutions to address these customer needs, including using our internal expertise, collaborating with industry partners and working with specific service providers.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Identify and Evaluate New Opportunities for Our Spectrum</w:t>
      </w:r>
    </w:p>
    <w:p>
      <w:pPr>
        <w:spacing w:after="0" w:line="154"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19"/>
          <w:szCs w:val="19"/>
          <w:color w:val="auto"/>
        </w:rPr>
        <w:t>The wireless communications industry is highly competitive and subject to rapid regulatory, technological and market changes. A key part of our business strategy is to continually monitor changes in the wireless industry and to evaluate how these changes could enable us to maximize the value of our spectrum assets. Additionally, although we are initially focusing on the electric utility industry, we have identified other customer groups, including ports, railroads, water, oil and gas facilities, and mining operations, where we believe there is both customer demand and a good fit for the private wireless broadband networks, technologies, and solutions that our spectrum assets could support. Additionally, Lynk Global, Inc. recently requested experimental authority from the FCC to use 900 MHz spectrum to communicate with our mobile and fixed wireless devices at certain test locations. This test is consistent with the new generation of commercial satellite providers enabling Direct-to-Device services using low-band spectrum. Another example of the demand for low-band spectrum are several pending acquisitions of 600 MHz broadband spectrum licenses for a significant premium to the price for these licenses at FCC auction.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CatalyX</w:t>
      </w:r>
    </w:p>
    <w:p>
      <w:pPr>
        <w:spacing w:after="0" w:line="134"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auto"/>
        </w:rPr>
        <w:t>CatalyX is the first AAE commercial service on our integrated platform. CatalyX is a turnkey connectivity management solution that helps utilities realize the benefits of private broadband networks, while leveraging commercial broadband networks. CatalyX simplifies connectivity management by integrating state-of-the-art SIM technology, device SIM management, and private to public roaming to deliver the flexibility and security that utilities require.</w:t>
      </w:r>
    </w:p>
    <w:p>
      <w:pPr>
        <w:spacing w:after="0" w:line="203"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Utilities can now efficiently and securely deploy and manage smart grid devices on a private network while optimizing broadband coverage in their service territories. CatalyX provides control and visibility of devices, whether they are connected to the private or public radio access network. With CatalyX, utilities can manage each device SIM remotely, which can reduce operational costs and risks. Through a single dashboard, all aspects of device connectivity can be monitored and managed including connecting to both public and private networks. Utilities can achieve enhanced coverage at various service locations, by connecting to their PLTE network, or roaming on multiple carrier commercial networks.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TowerX</w:t>
      </w:r>
    </w:p>
    <w:p>
      <w:pPr>
        <w:spacing w:after="0" w:line="154" w:lineRule="exact"/>
        <w:rPr>
          <w:sz w:val="20"/>
          <w:szCs w:val="20"/>
          <w:color w:val="auto"/>
        </w:rPr>
      </w:pPr>
    </w:p>
    <w:p>
      <w:pPr>
        <w:ind w:right="180" w:firstLine="720"/>
        <w:spacing w:after="0" w:line="254" w:lineRule="auto"/>
        <w:rPr>
          <w:sz w:val="20"/>
          <w:szCs w:val="20"/>
          <w:color w:val="auto"/>
        </w:rPr>
      </w:pPr>
      <w:r>
        <w:rPr>
          <w:rFonts w:ascii="Times New Roman" w:cs="Times New Roman" w:eastAsia="Times New Roman" w:hAnsi="Times New Roman"/>
          <w:sz w:val="20"/>
          <w:szCs w:val="20"/>
          <w:color w:val="auto"/>
        </w:rPr>
        <w:t>We partnered with Crown Castle, one of the nation’s largest tower companies, to deliver Anterix TowerX, a turnkey, streamlined path to 900 MHz private wireless network deployments, combining a portfolio of qualified tower sites with comprehensive site development. TowerX standardizes processes, leverages collective experience, and delivers measurable benefits helping utilities control costs, reduce project delays, and ensure tower assets are optimized for long-term operational needs. Utilities participating in TowerX will have access to a broad network of tower infrastructure across the U.S. including Crown Castle’s 40,000 plus sites enabling faster deployment of 900 MHz private wireless networks. This collaborative approach enables a more efficient path to connect critical assets, strengthen operational resilience, and enable grid modernization at scale.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Enable the Anterix Active Ecosystem with U.S. Band 8 and Band 106</w:t>
      </w:r>
    </w:p>
    <w:p>
      <w:pPr>
        <w:spacing w:after="0" w:line="134"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19"/>
          <w:szCs w:val="19"/>
          <w:color w:val="auto"/>
        </w:rPr>
        <w:t>Our spectrum assets are located in the international 3GPP global standard Band 8 channel which is a frequency division duplex pair assigned to the 880 - 915 / 925 - 960 MHz spectrum bands. This pairing is aligned for use with both 4G and 5G technologies and is currently being utilized with commercial LTE and 5G broadband networks globally in Asia, Europe, and other parts of the world. Our efforts are ongoing to facilitate continued adoption of 900 MHz Band 8 radio access network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123190</wp:posOffset>
                </wp:positionV>
                <wp:extent cx="650494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9.7pt" to="512.1pt,9.7pt" o:allowincell="f" strokecolor="#000000" strokeweight="1pt"/>
            </w:pict>
          </mc:Fallback>
        </mc:AlternateContent>
      </w:r>
    </w:p>
    <w:p>
      <w:pPr>
        <w:spacing w:after="0" w:line="20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20"/>
          <w:szCs w:val="20"/>
          <w:color w:val="auto"/>
        </w:rPr>
        <w:t>Page 6</w:t>
      </w:r>
    </w:p>
    <w:p>
      <w:pPr>
        <w:sectPr>
          <w:pgSz w:w="12240" w:h="15840" w:orient="portrait"/>
          <w:cols w:equalWidth="0" w:num="1">
            <w:col w:w="10240"/>
          </w:cols>
          <w:pgMar w:left="1000" w:top="201" w:right="1000"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equipment and end-user devices in the U.S. by working with chipmakers and module and device vendors to help ensure that customers who deploy 900 MHz for private wireless networks have timely access to 3GPP standards-compliant Band 8 devices that meet the technical operating specifications established in the FCC’s Report and Order. We also worked with an FCC certification testing lab to develop testing protocols to enable more efficient and streamlined certification of devices for use in the United States. The benefit of working with a global standard is that many existing devices, network components, and solutions are well suited for the operating environment of our targeted critical infrastructure and enterprise customers. Global standards also provide a long-term path for technology evolution, ensuring forward and backward compatibility, all these benefits therefore extend to Anterix customers. Additionally, we successfully led and completed initiatives in 3GPP to secure enhancements to the US 900 MHz spectrum to benefit our customers, including the designation of a new band, both for LTE and 5G, which received worldwide wireless industry support. We are also working within 3GPP to develop technical specifications for 6G. 3GPP has approved and incorporated Band 106 and n106 in its specifications, designated for LTE and 5G respectively, as a subset of Band 8 in the 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Broadband Market Opportunity</w:t>
      </w:r>
    </w:p>
    <w:p>
      <w:pPr>
        <w:spacing w:after="0" w:line="157" w:lineRule="exact"/>
        <w:rPr>
          <w:sz w:val="20"/>
          <w:szCs w:val="20"/>
          <w:color w:val="auto"/>
        </w:rPr>
      </w:pPr>
    </w:p>
    <w:p>
      <w:pPr>
        <w:ind w:firstLine="720"/>
        <w:spacing w:after="0" w:line="275" w:lineRule="auto"/>
        <w:rPr>
          <w:sz w:val="20"/>
          <w:szCs w:val="20"/>
          <w:color w:val="auto"/>
        </w:rPr>
      </w:pPr>
      <w:r>
        <w:rPr>
          <w:rFonts w:ascii="Times New Roman" w:cs="Times New Roman" w:eastAsia="Times New Roman" w:hAnsi="Times New Roman"/>
          <w:sz w:val="19"/>
          <w:szCs w:val="19"/>
          <w:color w:val="auto"/>
        </w:rPr>
        <w:t>We have currently identified utility and critical infrastructure enterprises as the primary customers for our current and future broadband spectrum assets. We have further identified the electric utility industry as our primary target customer group. We believe that security, priority access, low latency, redundancy, private ownership, control and unique coverage requirements are among the reasons utility and critical infrastructure enterprises would be interested in obtaining rights to deploy private wireless broadband networks, technologies and solutions that can be enabled through use of our licensed spectrum.</w:t>
      </w:r>
    </w:p>
    <w:p>
      <w:pPr>
        <w:spacing w:after="0" w:line="88"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The electric utility industry is undergoing a fundamental transformation. Grid modernization efforts and the drive to reduce carbon emissions have changed the need for utilities to build new large-scale, centralized facilities. Today, power is generated by smaller, more geographically distributed facilities that can switch from a power producer to a recipient of power generated by a variety of other disparate sources, including wind and solar installations. Grid architecture must now accommodate end-users that are both generators and consumers, converting back and forth rapidly and carrying power in both directions, something the existing grid was not originally designed to handle. Technological advancements have produced sensors and smart devices to enable the emerging two-way grid and offer operators the ability to control and run the grid efficiently, safely and reliably. The legacy communications systems utilized by many utilities have increasing levels of interference and/or higher cyber threats, are not designed to handle this new data load, are inefficient and costly to maintain, and, in many cases, have associated equipment that is approaching end of life. The 900 MHz private wireless network allows utilities to have full control of the design, construction, and operation of their network. Utility mission-critical applications are prioritized, even in situations when other networks become overloaded or experience disruptions. Such control fosters heightened efficiency, resiliency, security, and responsiveness. This is more relevant than ever in light of recent extreme weather events.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and Product Developments</w:t>
      </w:r>
    </w:p>
    <w:p>
      <w:pPr>
        <w:spacing w:after="0" w:line="13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We have invested in building our business development, sales, marketing and other support teams, which include both external and internal resources, to help foster our evolving customer relationships in furtherance of growing and maturing our pipeline. Since the FCC’s issuance of the 2020 Report and Order, our sales and marketing efforts have been focused on pursuing spectrum lease and sale arrangements, implementing creative spectrum solutions in markets where Complex Systems exist and introducing our integrated platform solutions to our targeted utility and critical infrastructure customers.</w:t>
      </w:r>
    </w:p>
    <w:p>
      <w:pPr>
        <w:spacing w:after="0" w:line="104"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Our business development, sales and marketing organizations employ the following three key methods to grow and mature our pipeline: (i) direct account-based sales and marketing efforts directed to our targeted customers; (ii) regulatory outreach and engagement; and (iii) collaboration with industry trade organizations. These efforts are enhanced through sales and marketing partnerships with a variety of third parties, such as integrators and technology and equipment vendors, with whom we will seek active promotion of our broadband spectrum assets and support deployment of our spectrum-enabled solutions, technologies, and services. Additionally, our senior executives and our engineering, technology, commercial operations and marketing teams support our sales efforts through presentations, branded participation through sponsorships and speaking engagements at major trade events, associations and organizations, customer meetings, collateral, and product demonstrations to expand our reach and brand awareness.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1451610</wp:posOffset>
                </wp:positionV>
                <wp:extent cx="650494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14.3pt" to="512.1pt,114.3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9"/>
          <w:szCs w:val="19"/>
          <w:color w:val="auto"/>
        </w:rPr>
        <w:t>Page 7</w:t>
      </w:r>
    </w:p>
    <w:p>
      <w:pPr>
        <w:sectPr>
          <w:pgSz w:w="12240" w:h="15840" w:orient="portrait"/>
          <w:cols w:equalWidth="0" w:num="1">
            <w:col w:w="10240"/>
          </w:cols>
          <w:pgMar w:left="1000" w:top="201" w:right="1000" w:bottom="0" w:gutter="0" w:footer="0" w:header="0"/>
          <w:type w:val="continuous"/>
        </w:sectPr>
      </w:pPr>
    </w:p>
    <w:bookmarkStart w:id="13" w:name="page14"/>
    <w:bookmarkEnd w:id="13"/>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900 MHz Broadband Revenue Agreements</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Spectrum Lease Agreements</w:t>
      </w:r>
    </w:p>
    <w:p>
      <w:pPr>
        <w:spacing w:after="0" w:line="134" w:lineRule="exact"/>
        <w:rPr>
          <w:sz w:val="20"/>
          <w:szCs w:val="20"/>
          <w:color w:val="auto"/>
        </w:rPr>
      </w:pPr>
    </w:p>
    <w:p>
      <w:pPr>
        <w:ind w:left="10" w:right="100" w:firstLine="720"/>
        <w:spacing w:after="0" w:line="281" w:lineRule="auto"/>
        <w:rPr>
          <w:sz w:val="20"/>
          <w:szCs w:val="20"/>
          <w:color w:val="auto"/>
        </w:rPr>
      </w:pPr>
      <w:r>
        <w:rPr>
          <w:rFonts w:ascii="Times New Roman" w:cs="Times New Roman" w:eastAsia="Times New Roman" w:hAnsi="Times New Roman"/>
          <w:sz w:val="20"/>
          <w:szCs w:val="20"/>
          <w:color w:val="auto"/>
        </w:rPr>
        <w:t>As of March 31, 2026, our spectrum lease agreements (as defined in the table below and collectively referred to as the “Spectrum Lease Agreements”) include:</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Spectrum Lease Agreements </w:t>
            </w:r>
            <w:r>
              <w:rPr>
                <w:rFonts w:ascii="Times New Roman" w:cs="Times New Roman" w:eastAsia="Times New Roman" w:hAnsi="Times New Roman"/>
                <w:sz w:val="26"/>
                <w:szCs w:val="26"/>
                <w:b w:val="1"/>
                <w:bCs w:val="1"/>
                <w:color w:val="auto"/>
                <w:vertAlign w:val="superscript"/>
              </w:rPr>
              <w:t>(1)</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Initial</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Renewal</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32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Term</w:t>
            </w: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Consideration</w:t>
            </w:r>
          </w:p>
        </w:tc>
        <w:tc>
          <w:tcPr>
            <w:tcW w:w="1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182"/>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Ameren Corporation (“Ameren”)</w:t>
            </w:r>
          </w:p>
        </w:tc>
        <w:tc>
          <w:tcPr>
            <w:tcW w:w="120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color w:val="auto"/>
              </w:rPr>
              <w:t>December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30 - years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10 - years</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$47.7 million</w:t>
            </w:r>
          </w:p>
        </w:tc>
        <w:tc>
          <w:tcPr>
            <w:tcW w:w="13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$31.4 million</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w w:val="99"/>
              </w:rPr>
              <w:t xml:space="preserve">$16.3 million </w:t>
            </w:r>
            <w:r>
              <w:rPr>
                <w:rFonts w:ascii="Times New Roman" w:cs="Times New Roman" w:eastAsia="Times New Roman" w:hAnsi="Times New Roman"/>
                <w:sz w:val="26"/>
                <w:szCs w:val="26"/>
                <w:color w:val="auto"/>
                <w:w w:val="99"/>
                <w:vertAlign w:val="superscript"/>
              </w:rPr>
              <w:t>(2)</w:t>
            </w:r>
          </w:p>
        </w:tc>
        <w:tc>
          <w:tcPr>
            <w:tcW w:w="0" w:type="dxa"/>
            <w:vAlign w:val="bottom"/>
          </w:tcPr>
          <w:p>
            <w:pPr>
              <w:spacing w:after="0"/>
              <w:rPr>
                <w:sz w:val="1"/>
                <w:szCs w:val="1"/>
                <w:color w:val="auto"/>
              </w:rPr>
            </w:pPr>
          </w:p>
        </w:tc>
      </w:tr>
      <w:tr>
        <w:trPr>
          <w:trHeight w:val="265"/>
        </w:trPr>
        <w:tc>
          <w:tcPr>
            <w:tcW w:w="2880" w:type="dxa"/>
            <w:vAlign w:val="bottom"/>
            <w:vMerge w:val="continue"/>
          </w:tcPr>
          <w:p>
            <w:pPr>
              <w:spacing w:after="0"/>
              <w:rPr>
                <w:sz w:val="23"/>
                <w:szCs w:val="23"/>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2020</w:t>
            </w:r>
          </w:p>
        </w:tc>
        <w:tc>
          <w:tcPr>
            <w:tcW w:w="92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142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Evergy Services, Inc. (“Evergy”)</w:t>
            </w:r>
          </w:p>
        </w:tc>
        <w:tc>
          <w:tcPr>
            <w:tcW w:w="1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September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20 - years</w:t>
            </w:r>
          </w:p>
        </w:tc>
        <w:tc>
          <w:tcPr>
            <w:tcW w:w="9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 x 10 -</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$30.2 million</w:t>
            </w:r>
          </w:p>
        </w:tc>
        <w:tc>
          <w:tcPr>
            <w:tcW w:w="13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$30.2 million</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80" w:type="dxa"/>
            <w:vAlign w:val="bottom"/>
            <w:vMerge w:val="continue"/>
          </w:tcPr>
          <w:p>
            <w:pPr>
              <w:spacing w:after="0"/>
              <w:rPr>
                <w:sz w:val="22"/>
                <w:szCs w:val="22"/>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2021</w:t>
            </w:r>
          </w:p>
        </w:tc>
        <w:tc>
          <w:tcPr>
            <w:tcW w:w="920" w:type="dxa"/>
            <w:vAlign w:val="bottom"/>
            <w:vMerge w:val="continue"/>
          </w:tcPr>
          <w:p>
            <w:pPr>
              <w:spacing w:after="0"/>
              <w:rPr>
                <w:sz w:val="22"/>
                <w:szCs w:val="2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years</w:t>
            </w:r>
          </w:p>
        </w:tc>
        <w:tc>
          <w:tcPr>
            <w:tcW w:w="142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88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Xcel Energy Services Inc. (“Xcel</w:t>
            </w:r>
          </w:p>
        </w:tc>
        <w:tc>
          <w:tcPr>
            <w:tcW w:w="1200" w:type="dxa"/>
            <w:vAlign w:val="bottom"/>
          </w:tcPr>
          <w:p>
            <w:pPr>
              <w:ind w:left="180"/>
              <w:spacing w:after="0" w:line="205" w:lineRule="exact"/>
              <w:rPr>
                <w:sz w:val="20"/>
                <w:szCs w:val="20"/>
                <w:color w:val="auto"/>
              </w:rPr>
            </w:pPr>
            <w:r>
              <w:rPr>
                <w:rFonts w:ascii="Times New Roman" w:cs="Times New Roman" w:eastAsia="Times New Roman" w:hAnsi="Times New Roman"/>
                <w:sz w:val="20"/>
                <w:szCs w:val="20"/>
                <w:color w:val="auto"/>
              </w:rPr>
              <w:t>October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20 - years</w:t>
            </w:r>
          </w:p>
        </w:tc>
        <w:tc>
          <w:tcPr>
            <w:tcW w:w="96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2 x 10 -</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$80.0 million</w:t>
            </w:r>
          </w:p>
        </w:tc>
        <w:tc>
          <w:tcPr>
            <w:tcW w:w="13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$76.0 million</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 xml:space="preserve">$4.0 million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65"/>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Energy”)</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2022</w:t>
            </w:r>
          </w:p>
        </w:tc>
        <w:tc>
          <w:tcPr>
            <w:tcW w:w="920" w:type="dxa"/>
            <w:vAlign w:val="bottom"/>
            <w:vMerge w:val="continue"/>
          </w:tcPr>
          <w:p>
            <w:pPr>
              <w:spacing w:after="0"/>
              <w:rPr>
                <w:sz w:val="23"/>
                <w:szCs w:val="23"/>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years</w:t>
            </w:r>
          </w:p>
        </w:tc>
        <w:tc>
          <w:tcPr>
            <w:tcW w:w="142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Tampa Electric Company</w:t>
            </w:r>
          </w:p>
        </w:tc>
        <w:tc>
          <w:tcPr>
            <w:tcW w:w="1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November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20 - years</w:t>
            </w:r>
          </w:p>
        </w:tc>
        <w:tc>
          <w:tcPr>
            <w:tcW w:w="9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 x 10 -</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$34.5 million</w:t>
            </w:r>
          </w:p>
        </w:tc>
        <w:tc>
          <w:tcPr>
            <w:tcW w:w="13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$34.5 million</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(“TECO”)</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w:t>
            </w:r>
          </w:p>
        </w:tc>
        <w:tc>
          <w:tcPr>
            <w:tcW w:w="920" w:type="dxa"/>
            <w:vAlign w:val="bottom"/>
            <w:vMerge w:val="continue"/>
          </w:tcPr>
          <w:p>
            <w:pPr>
              <w:spacing w:after="0"/>
              <w:rPr>
                <w:sz w:val="22"/>
                <w:szCs w:val="2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years</w:t>
            </w:r>
          </w:p>
        </w:tc>
        <w:tc>
          <w:tcPr>
            <w:tcW w:w="142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-1184910</wp:posOffset>
            </wp:positionV>
            <wp:extent cx="6511925" cy="1206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extLst>
                    </a:blip>
                    <a:srcRect/>
                    <a:stretch>
                      <a:fillRect/>
                    </a:stretch>
                  </pic:blipFill>
                  <pic:spPr bwMode="auto">
                    <a:xfrm>
                      <a:off x="0" y="0"/>
                      <a:ext cx="6511925" cy="1206500"/>
                    </a:xfrm>
                    <a:prstGeom prst="rect">
                      <a:avLst/>
                    </a:prstGeom>
                    <a:noFill/>
                  </pic:spPr>
                </pic:pic>
              </a:graphicData>
            </a:graphic>
          </wp:anchor>
        </w:drawing>
      </w:r>
    </w:p>
    <w:p>
      <w:pPr>
        <w:spacing w:after="0" w:line="31" w:lineRule="exact"/>
        <w:rPr>
          <w:sz w:val="20"/>
          <w:szCs w:val="20"/>
          <w:color w:val="auto"/>
        </w:rPr>
      </w:pPr>
    </w:p>
    <w:p>
      <w:pPr>
        <w:ind w:left="370" w:right="60" w:hanging="370"/>
        <w:spacing w:after="0" w:line="247"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Spectrum Lease Agreements are subject to customary provisions regarding remedies for non-delivery, including termination rights and refund of amounts paid, if Anterix fails to perform its other contractual obligations, including failure to deliver the relevant cleared 900 MHz Broadband Spectrum in accordance with the terms of the Agreements.</w:t>
      </w:r>
    </w:p>
    <w:p>
      <w:pPr>
        <w:spacing w:after="0" w:line="1" w:lineRule="exact"/>
        <w:rPr>
          <w:rFonts w:ascii="Times New Roman" w:cs="Times New Roman" w:eastAsia="Times New Roman" w:hAnsi="Times New Roman"/>
          <w:sz w:val="20"/>
          <w:szCs w:val="20"/>
          <w:color w:val="auto"/>
        </w:rPr>
      </w:pPr>
    </w:p>
    <w:p>
      <w:pPr>
        <w:ind w:left="370" w:right="200" w:hanging="370"/>
        <w:spacing w:after="0"/>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payments of $16.3 million, excluding potential penalties, for the 30-year initial term are due by mid-2026, per the terms of the Ameren Agreements and as we deliver the relevant cleared 900 MHz Broadband Spectrum and the associated broadband leases.</w:t>
      </w:r>
    </w:p>
    <w:p>
      <w:pPr>
        <w:ind w:left="370" w:right="120" w:hanging="370"/>
        <w:spacing w:after="0" w:line="244" w:lineRule="auto"/>
        <w:tabs>
          <w:tab w:leader="none" w:pos="37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payments of $4.0 million, excluding potential penalties, for the 20-year initial term are due by mid-2028, per the terms of the Xcel Energy Agreement and as we deliver the relevant cleared 900 MHz Broadband Spectrum and the associated broadband leases.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Spectrum Sale Agreements</w:t>
      </w:r>
    </w:p>
    <w:p>
      <w:pPr>
        <w:spacing w:after="0" w:line="134" w:lineRule="exact"/>
        <w:rPr>
          <w:sz w:val="20"/>
          <w:szCs w:val="20"/>
          <w:color w:val="auto"/>
        </w:rPr>
      </w:pPr>
    </w:p>
    <w:p>
      <w:pPr>
        <w:ind w:left="10" w:right="200" w:firstLine="720"/>
        <w:spacing w:after="0" w:line="281" w:lineRule="auto"/>
        <w:rPr>
          <w:sz w:val="20"/>
          <w:szCs w:val="20"/>
          <w:color w:val="auto"/>
        </w:rPr>
      </w:pPr>
      <w:r>
        <w:rPr>
          <w:rFonts w:ascii="Times New Roman" w:cs="Times New Roman" w:eastAsia="Times New Roman" w:hAnsi="Times New Roman"/>
          <w:sz w:val="20"/>
          <w:szCs w:val="20"/>
          <w:color w:val="auto"/>
        </w:rPr>
        <w:t>As of March 31, 2026, our spectrum sale agreements (as defined in the table below and collectively referred to as the “Spectrum Revenue Sale Agreements”) include:</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Broadband Broadband</w:t>
            </w:r>
          </w:p>
        </w:tc>
        <w:tc>
          <w:tcPr>
            <w:tcW w:w="0" w:type="dxa"/>
            <w:vAlign w:val="bottom"/>
          </w:tcPr>
          <w:p>
            <w:pPr>
              <w:spacing w:after="0"/>
              <w:rPr>
                <w:sz w:val="1"/>
                <w:szCs w:val="1"/>
                <w:color w:val="auto"/>
              </w:rPr>
            </w:pPr>
          </w:p>
        </w:tc>
      </w:tr>
      <w:tr>
        <w:trPr>
          <w:trHeight w:val="200"/>
        </w:trPr>
        <w:tc>
          <w:tcPr>
            <w:tcW w:w="2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Spectrum Sale Agreements </w:t>
            </w:r>
            <w:r>
              <w:rPr>
                <w:rFonts w:ascii="Times New Roman" w:cs="Times New Roman" w:eastAsia="Times New Roman" w:hAnsi="Times New Roman"/>
                <w:sz w:val="26"/>
                <w:szCs w:val="26"/>
                <w:b w:val="1"/>
                <w:bCs w:val="1"/>
                <w:color w:val="auto"/>
                <w:vertAlign w:val="superscript"/>
              </w:rPr>
              <w:t>(1)</w:t>
            </w:r>
          </w:p>
        </w:tc>
        <w:tc>
          <w:tcPr>
            <w:tcW w:w="12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80" w:type="dxa"/>
            <w:vAlign w:val="bottom"/>
          </w:tcPr>
          <w:p>
            <w:pPr>
              <w:ind w:left="26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1020" w:type="dxa"/>
            <w:vAlign w:val="bottom"/>
          </w:tcPr>
          <w:p>
            <w:pPr>
              <w:jc w:val="right"/>
              <w:ind w:right="2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0" w:type="dxa"/>
            <w:vAlign w:val="bottom"/>
          </w:tcPr>
          <w:p>
            <w:pPr>
              <w:spacing w:after="0"/>
              <w:rPr>
                <w:sz w:val="1"/>
                <w:szCs w:val="1"/>
                <w:color w:val="auto"/>
              </w:rPr>
            </w:pPr>
          </w:p>
        </w:tc>
      </w:tr>
      <w:tr>
        <w:trPr>
          <w:trHeight w:val="263"/>
        </w:trPr>
        <w:tc>
          <w:tcPr>
            <w:tcW w:w="280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1520" w:type="dxa"/>
            <w:vAlign w:val="bottom"/>
            <w:tcBorders>
              <w:bottom w:val="single" w:sz="8" w:color="auto"/>
            </w:tcBorders>
          </w:tcPr>
          <w:p>
            <w:pPr>
              <w:ind w:left="40"/>
              <w:spacing w:after="0" w:line="263" w:lineRule="exact"/>
              <w:rPr>
                <w:sz w:val="20"/>
                <w:szCs w:val="20"/>
                <w:color w:val="auto"/>
              </w:rPr>
            </w:pPr>
            <w:r>
              <w:rPr>
                <w:rFonts w:ascii="Times New Roman" w:cs="Times New Roman" w:eastAsia="Times New Roman" w:hAnsi="Times New Roman"/>
                <w:sz w:val="20"/>
                <w:szCs w:val="20"/>
                <w:b w:val="1"/>
                <w:bCs w:val="1"/>
                <w:color w:val="auto"/>
                <w:w w:val="99"/>
              </w:rPr>
              <w:t xml:space="preserve">Consideration </w:t>
            </w:r>
            <w:r>
              <w:rPr>
                <w:rFonts w:ascii="Times New Roman" w:cs="Times New Roman" w:eastAsia="Times New Roman" w:hAnsi="Times New Roman"/>
                <w:sz w:val="26"/>
                <w:szCs w:val="26"/>
                <w:b w:val="1"/>
                <w:bCs w:val="1"/>
                <w:color w:val="auto"/>
                <w:w w:val="99"/>
                <w:vertAlign w:val="superscript"/>
              </w:rPr>
              <w:t>(2)</w:t>
            </w: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delivered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182"/>
        </w:trPr>
        <w:tc>
          <w:tcPr>
            <w:tcW w:w="2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CPS Energy (“CPS”)</w:t>
            </w:r>
          </w:p>
        </w:tc>
        <w:tc>
          <w:tcPr>
            <w:tcW w:w="120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color w:val="auto"/>
              </w:rPr>
              <w:t>January</w:t>
            </w: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$13.0 million</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$6.5 million</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$6.5 million</w:t>
            </w:r>
          </w:p>
        </w:tc>
        <w:tc>
          <w:tcPr>
            <w:tcW w:w="118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2800" w:type="dxa"/>
            <w:vAlign w:val="bottom"/>
            <w:vMerge w:val="continue"/>
          </w:tcPr>
          <w:p>
            <w:pPr>
              <w:spacing w:after="0"/>
              <w:rPr>
                <w:sz w:val="22"/>
                <w:szCs w:val="22"/>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2026</w:t>
            </w:r>
          </w:p>
        </w:tc>
        <w:tc>
          <w:tcPr>
            <w:tcW w:w="152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8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Texas-New Mexico Power</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March 2026</w:t>
            </w: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$3.2 million</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$3.2 million</w:t>
            </w:r>
          </w:p>
        </w:tc>
        <w:tc>
          <w:tcPr>
            <w:tcW w:w="118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6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 (“TNMP”)</w:t>
            </w:r>
          </w:p>
        </w:tc>
        <w:tc>
          <w:tcPr>
            <w:tcW w:w="1200" w:type="dxa"/>
            <w:vAlign w:val="bottom"/>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NorthWestern Energy (“NWE”)</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March 2026</w:t>
            </w:r>
          </w:p>
        </w:tc>
        <w:tc>
          <w:tcPr>
            <w:tcW w:w="1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$7.7 million</w:t>
            </w:r>
          </w:p>
        </w:tc>
        <w:tc>
          <w:tcPr>
            <w:tcW w:w="1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$7.7 million</w:t>
            </w:r>
          </w:p>
        </w:tc>
        <w:tc>
          <w:tcPr>
            <w:tcW w:w="118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-889635</wp:posOffset>
            </wp:positionV>
            <wp:extent cx="6540500" cy="911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extLst>
                    </a:blip>
                    <a:srcRect/>
                    <a:stretch>
                      <a:fillRect/>
                    </a:stretch>
                  </pic:blipFill>
                  <pic:spPr bwMode="auto">
                    <a:xfrm>
                      <a:off x="0" y="0"/>
                      <a:ext cx="6540500" cy="911225"/>
                    </a:xfrm>
                    <a:prstGeom prst="rect">
                      <a:avLst/>
                    </a:prstGeom>
                    <a:noFill/>
                  </pic:spPr>
                </pic:pic>
              </a:graphicData>
            </a:graphic>
          </wp:anchor>
        </w:drawing>
      </w:r>
    </w:p>
    <w:p>
      <w:pPr>
        <w:spacing w:after="0" w:line="151" w:lineRule="exact"/>
        <w:rPr>
          <w:sz w:val="20"/>
          <w:szCs w:val="20"/>
          <w:color w:val="auto"/>
        </w:rPr>
      </w:pPr>
    </w:p>
    <w:p>
      <w:pPr>
        <w:ind w:left="370" w:right="180" w:hanging="370"/>
        <w:spacing w:after="0" w:line="260" w:lineRule="auto"/>
        <w:tabs>
          <w:tab w:leader="none" w:pos="37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w:t>
      </w:r>
    </w:p>
    <w:p>
      <w:pPr>
        <w:spacing w:after="0" w:line="1" w:lineRule="exact"/>
        <w:rPr>
          <w:rFonts w:ascii="Times New Roman" w:cs="Times New Roman" w:eastAsia="Times New Roman" w:hAnsi="Times New Roman"/>
          <w:sz w:val="19"/>
          <w:szCs w:val="19"/>
          <w:color w:val="auto"/>
        </w:rPr>
      </w:pPr>
    </w:p>
    <w:p>
      <w:pPr>
        <w:jc w:val="both"/>
        <w:ind w:left="370" w:right="340" w:hanging="370"/>
        <w:spacing w:after="0" w:line="238" w:lineRule="auto"/>
        <w:tabs>
          <w:tab w:leader="none" w:pos="37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ASC 606, the payments of prepaid fees under the spectrum sale agreements will be accounted for as deferred revenue on the Company’s Consolidated Balance Sheets. Revenue will be recognized for each county once we deliver the cleared 900 MHz Broadband Spectrum and the associated broadband licenses.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2409825</wp:posOffset>
                </wp:positionV>
                <wp:extent cx="65055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89.75pt" to="512.6pt,189.75pt" o:allowincell="f" strokecolor="#000000" strokeweight="1pt"/>
            </w:pict>
          </mc:Fallback>
        </mc:AlternateContent>
      </w:r>
    </w:p>
    <w:p>
      <w:pPr>
        <w:sectPr>
          <w:pgSz w:w="12240" w:h="15840" w:orient="portrait"/>
          <w:cols w:equalWidth="0" w:num="1">
            <w:col w:w="10270"/>
          </w:cols>
          <w:pgMar w:left="99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670"/>
        <w:spacing w:after="0"/>
        <w:rPr>
          <w:sz w:val="20"/>
          <w:szCs w:val="20"/>
          <w:color w:val="auto"/>
        </w:rPr>
      </w:pPr>
      <w:r>
        <w:rPr>
          <w:rFonts w:ascii="Times New Roman" w:cs="Times New Roman" w:eastAsia="Times New Roman" w:hAnsi="Times New Roman"/>
          <w:sz w:val="19"/>
          <w:szCs w:val="19"/>
          <w:color w:val="auto"/>
        </w:rPr>
        <w:t>Page 8</w:t>
      </w:r>
    </w:p>
    <w:p>
      <w:pPr>
        <w:sectPr>
          <w:pgSz w:w="12240" w:h="15840" w:orient="portrait"/>
          <w:cols w:equalWidth="0" w:num="1">
            <w:col w:w="10270"/>
          </w:cols>
          <w:pgMar w:left="990" w:top="201" w:right="980" w:bottom="0" w:gutter="0" w:footer="0" w:header="0"/>
          <w:type w:val="continuous"/>
        </w:sectPr>
      </w:pPr>
    </w:p>
    <w:bookmarkStart w:id="14" w:name="page15"/>
    <w:bookmarkEnd w:id="14"/>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900 MHz Broadband Spectrum Sale Agreements Entered into Prior to December 31, 2025</w:t>
      </w:r>
    </w:p>
    <w:p>
      <w:pPr>
        <w:spacing w:after="0" w:line="139" w:lineRule="exact"/>
        <w:rPr>
          <w:sz w:val="20"/>
          <w:szCs w:val="20"/>
          <w:color w:val="auto"/>
        </w:rPr>
      </w:pPr>
    </w:p>
    <w:p>
      <w:pPr>
        <w:ind w:left="10" w:right="180" w:firstLine="720"/>
        <w:spacing w:after="0" w:line="281" w:lineRule="auto"/>
        <w:rPr>
          <w:sz w:val="20"/>
          <w:szCs w:val="20"/>
          <w:color w:val="auto"/>
        </w:rPr>
      </w:pPr>
      <w:r>
        <w:rPr>
          <w:rFonts w:ascii="Times New Roman" w:cs="Times New Roman" w:eastAsia="Times New Roman" w:hAnsi="Times New Roman"/>
          <w:sz w:val="20"/>
          <w:szCs w:val="20"/>
          <w:color w:val="auto"/>
        </w:rPr>
        <w:t>As of March 31, 2026, our spectrum sale agreements (as defined in the table below and collectively referred to as the “Spectrum Sale Agreements”) include:</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Broadband Broadband</w:t>
            </w:r>
          </w:p>
        </w:tc>
        <w:tc>
          <w:tcPr>
            <w:tcW w:w="0" w:type="dxa"/>
            <w:vAlign w:val="bottom"/>
          </w:tcPr>
          <w:p>
            <w:pPr>
              <w:spacing w:after="0"/>
              <w:rPr>
                <w:sz w:val="1"/>
                <w:szCs w:val="1"/>
                <w:color w:val="auto"/>
              </w:rPr>
            </w:pPr>
          </w:p>
        </w:tc>
      </w:tr>
      <w:tr>
        <w:trPr>
          <w:trHeight w:val="200"/>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Spectrum Sale Agreements </w:t>
            </w:r>
            <w:r>
              <w:rPr>
                <w:rFonts w:ascii="Times New Roman" w:cs="Times New Roman" w:eastAsia="Times New Roman" w:hAnsi="Times New Roman"/>
                <w:sz w:val="26"/>
                <w:szCs w:val="26"/>
                <w:b w:val="1"/>
                <w:bCs w:val="1"/>
                <w:color w:val="auto"/>
                <w:vertAlign w:val="superscript"/>
              </w:rPr>
              <w:t>(1)</w:t>
            </w:r>
          </w:p>
        </w:tc>
        <w:tc>
          <w:tcPr>
            <w:tcW w:w="114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10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0" w:type="dxa"/>
            <w:vAlign w:val="bottom"/>
          </w:tcPr>
          <w:p>
            <w:pPr>
              <w:spacing w:after="0"/>
              <w:rPr>
                <w:sz w:val="1"/>
                <w:szCs w:val="1"/>
                <w:color w:val="auto"/>
              </w:rPr>
            </w:pPr>
          </w:p>
        </w:tc>
      </w:tr>
      <w:tr>
        <w:trPr>
          <w:trHeight w:val="263"/>
        </w:trPr>
        <w:tc>
          <w:tcPr>
            <w:tcW w:w="264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Date</w:t>
            </w:r>
          </w:p>
        </w:tc>
        <w:tc>
          <w:tcPr>
            <w:tcW w:w="1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Consideration</w:t>
            </w:r>
          </w:p>
        </w:tc>
        <w:tc>
          <w:tcPr>
            <w:tcW w:w="1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delivered</w:t>
            </w: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182"/>
        </w:trPr>
        <w:tc>
          <w:tcPr>
            <w:tcW w:w="264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San Diego Gas &amp; Electric</w:t>
            </w:r>
          </w:p>
        </w:tc>
        <w:tc>
          <w:tcPr>
            <w:tcW w:w="1140" w:type="dxa"/>
            <w:vAlign w:val="bottom"/>
          </w:tcPr>
          <w:p>
            <w:pPr>
              <w:ind w:left="100"/>
              <w:spacing w:after="0" w:line="182" w:lineRule="exact"/>
              <w:rPr>
                <w:sz w:val="20"/>
                <w:szCs w:val="20"/>
                <w:color w:val="auto"/>
              </w:rPr>
            </w:pPr>
            <w:r>
              <w:rPr>
                <w:rFonts w:ascii="Times New Roman" w:cs="Times New Roman" w:eastAsia="Times New Roman" w:hAnsi="Times New Roman"/>
                <w:sz w:val="20"/>
                <w:szCs w:val="20"/>
                <w:color w:val="auto"/>
              </w:rPr>
              <w:t>February</w:t>
            </w: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$50.0 million</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 xml:space="preserve">$45.6 million </w:t>
            </w:r>
            <w:r>
              <w:rPr>
                <w:rFonts w:ascii="Times New Roman" w:cs="Times New Roman" w:eastAsia="Times New Roman" w:hAnsi="Times New Roman"/>
                <w:sz w:val="11"/>
                <w:szCs w:val="11"/>
                <w:color w:val="auto"/>
              </w:rPr>
              <w:t>(2)</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$3.1 million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(“SDG&amp;E”)</w:t>
            </w:r>
          </w:p>
        </w:tc>
        <w:tc>
          <w:tcPr>
            <w:tcW w:w="1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2021</w:t>
            </w:r>
          </w:p>
        </w:tc>
        <w:tc>
          <w:tcPr>
            <w:tcW w:w="152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Lower Colorado River</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April 2023</w:t>
            </w: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$30.0 million</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$29.3 million</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$0.7 million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60"/>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Authority (“LCRA”)</w:t>
            </w:r>
          </w:p>
        </w:tc>
        <w:tc>
          <w:tcPr>
            <w:tcW w:w="1140" w:type="dxa"/>
            <w:vAlign w:val="bottom"/>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LCRA Expansion Agreement</w:t>
            </w:r>
          </w:p>
        </w:tc>
        <w:tc>
          <w:tcPr>
            <w:tcW w:w="1140" w:type="dxa"/>
            <w:vAlign w:val="bottom"/>
          </w:tcPr>
          <w:p>
            <w:pPr>
              <w:ind w:left="100"/>
              <w:spacing w:after="0" w:line="205" w:lineRule="exact"/>
              <w:rPr>
                <w:sz w:val="20"/>
                <w:szCs w:val="20"/>
                <w:color w:val="auto"/>
              </w:rPr>
            </w:pPr>
            <w:r>
              <w:rPr>
                <w:rFonts w:ascii="Times New Roman" w:cs="Times New Roman" w:eastAsia="Times New Roman" w:hAnsi="Times New Roman"/>
                <w:sz w:val="20"/>
                <w:szCs w:val="20"/>
                <w:color w:val="auto"/>
              </w:rPr>
              <w:t>January</w:t>
            </w: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$13.5 million</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$6.0 million</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 xml:space="preserve">$6.5 million </w:t>
            </w:r>
            <w:r>
              <w:rPr>
                <w:rFonts w:ascii="Times New Roman" w:cs="Times New Roman" w:eastAsia="Times New Roman" w:hAnsi="Times New Roman"/>
                <w:sz w:val="11"/>
                <w:szCs w:val="11"/>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60"/>
        </w:trPr>
        <w:tc>
          <w:tcPr>
            <w:tcW w:w="2640" w:type="dxa"/>
            <w:vAlign w:val="bottom"/>
            <w:vMerge w:val="continue"/>
          </w:tcPr>
          <w:p>
            <w:pPr>
              <w:spacing w:after="0"/>
              <w:rPr>
                <w:sz w:val="22"/>
                <w:szCs w:val="22"/>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2025</w:t>
            </w:r>
          </w:p>
        </w:tc>
        <w:tc>
          <w:tcPr>
            <w:tcW w:w="152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Oncor Electric Delivery</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June 2024</w:t>
            </w: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w w:val="99"/>
              </w:rPr>
              <w:t xml:space="preserve">$102.5 million </w:t>
            </w:r>
            <w:r>
              <w:rPr>
                <w:rFonts w:ascii="Times New Roman" w:cs="Times New Roman" w:eastAsia="Times New Roman" w:hAnsi="Times New Roman"/>
                <w:sz w:val="26"/>
                <w:szCs w:val="26"/>
                <w:color w:val="auto"/>
                <w:w w:val="99"/>
                <w:vertAlign w:val="superscript"/>
              </w:rPr>
              <w:t>(4)</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97"/>
              </w:rPr>
              <w:t xml:space="preserve">$100.6 million </w:t>
            </w:r>
            <w:r>
              <w:rPr>
                <w:rFonts w:ascii="Times New Roman" w:cs="Times New Roman" w:eastAsia="Times New Roman" w:hAnsi="Times New Roman"/>
                <w:sz w:val="26"/>
                <w:szCs w:val="26"/>
                <w:color w:val="auto"/>
                <w:w w:val="97"/>
                <w:vertAlign w:val="superscript"/>
              </w:rPr>
              <w:t>(4)</w:t>
            </w: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33"/>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 LLC (“Oncor”)</w:t>
            </w:r>
          </w:p>
        </w:tc>
        <w:tc>
          <w:tcPr>
            <w:tcW w:w="11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-1231265</wp:posOffset>
            </wp:positionV>
            <wp:extent cx="6511925" cy="1206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extLst>
                    </a:blip>
                    <a:srcRect/>
                    <a:stretch>
                      <a:fillRect/>
                    </a:stretch>
                  </pic:blipFill>
                  <pic:spPr bwMode="auto">
                    <a:xfrm>
                      <a:off x="0" y="0"/>
                      <a:ext cx="6511925" cy="1206500"/>
                    </a:xfrm>
                    <a:prstGeom prst="rect">
                      <a:avLst/>
                    </a:prstGeom>
                    <a:noFill/>
                  </pic:spPr>
                </pic:pic>
              </a:graphicData>
            </a:graphic>
          </wp:anchor>
        </w:drawing>
      </w:r>
    </w:p>
    <w:p>
      <w:pPr>
        <w:ind w:left="370" w:right="40" w:hanging="370"/>
        <w:spacing w:after="0"/>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Spectrum Sale Agreements are subject to customary provisions regarding remedies for non-delivery, including termination rights and refund of amounts paid, if Anterix fails to perform its other contractual obligations, including failure to deliver the relevant cleared 900 MHz Broadband Spectrum in accordance with the terms of the Agreements. A gain or loss on the sale of spectrum will be recognized for each county once we deliver the cleared 900 MHz Broadband Spectrum and the associated broadband licenses.</w:t>
      </w:r>
    </w:p>
    <w:p>
      <w:pPr>
        <w:ind w:left="370" w:hanging="370"/>
        <w:spacing w:after="0"/>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delivery delay adjustments.</w:t>
      </w:r>
    </w:p>
    <w:p>
      <w:pPr>
        <w:ind w:left="370" w:right="820" w:hanging="370"/>
        <w:spacing w:after="0"/>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$1.0 million credit, which was applied against the remaining balance pursuant to the LCRA Expansion Agreement in recognition of their contributions to our business efforts.</w:t>
      </w:r>
    </w:p>
    <w:p>
      <w:pPr>
        <w:ind w:left="370" w:right="180" w:hanging="370"/>
        <w:spacing w:after="0" w:line="244" w:lineRule="auto"/>
        <w:tabs>
          <w:tab w:leader="none" w:pos="3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reimbursable clearing costs and Anti-Windfall Payments made in connection with the transfer of the associated broadband licenses. Total consideration included $7.5 million in estimated reimbursable clearing costs and Anti-Windfall Payments of which $5.6 million was realized.</w:t>
      </w:r>
    </w:p>
    <w:p>
      <w:pPr>
        <w:spacing w:after="0" w:line="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Motorola Lease</w:t>
      </w:r>
    </w:p>
    <w:p>
      <w:pPr>
        <w:spacing w:after="0" w:line="139" w:lineRule="exact"/>
        <w:rPr>
          <w:sz w:val="20"/>
          <w:szCs w:val="20"/>
          <w:color w:val="auto"/>
        </w:rPr>
      </w:pPr>
    </w:p>
    <w:p>
      <w:pPr>
        <w:ind w:left="10" w:firstLine="720"/>
        <w:spacing w:after="0" w:line="254" w:lineRule="auto"/>
        <w:rPr>
          <w:sz w:val="20"/>
          <w:szCs w:val="20"/>
          <w:color w:val="auto"/>
        </w:rPr>
      </w:pPr>
      <w:r>
        <w:rPr>
          <w:rFonts w:ascii="Times New Roman" w:cs="Times New Roman" w:eastAsia="Times New Roman" w:hAnsi="Times New Roman"/>
          <w:sz w:val="20"/>
          <w:szCs w:val="20"/>
          <w:color w:val="auto"/>
        </w:rPr>
        <w:t>In 2014, we entered into an agreement with Motorola (the “2014 Motorola Spectrum Agreement”) to lease a portion of our 900 MHz licenses in exchange for an upfront, fully paid lease fee of $7.5 million and a $10 million investment in our subsidiary, PDV Spectrum Holding Company, LLC (the “Subsidiary”), which we formed to hold our 900 MHz spectrum licenses. Motorola’s investment in the Subsidiary was convertible, at the option of either party, into shares of our common stock at a price equal to $20.00 per share (the “Conversion Right”). In May 2022, Motorola exercised its Conversion Right, and we issued Motorola 500,000 shares of our common stock (the “Shares”) in conversion of Motorola’s ownership of 500,000 Class B Units (the “Units”) in our Subsidiary. In June 2022, we filed a Registration Statement on Form S-3 (File No. 333-265930) to register the 500,000 shares of our common stock held by Motorola for resale or other disposition by Motorola (the “Resale Registration Statement”). The Resale Registration Statement was declared effective by the SEC on July 15, 2022.</w:t>
      </w:r>
    </w:p>
    <w:p>
      <w:pPr>
        <w:spacing w:after="0" w:line="89" w:lineRule="exact"/>
        <w:rPr>
          <w:sz w:val="20"/>
          <w:szCs w:val="20"/>
          <w:color w:val="auto"/>
        </w:rPr>
      </w:pPr>
    </w:p>
    <w:p>
      <w:pPr>
        <w:ind w:left="10" w:right="40" w:firstLine="720"/>
        <w:spacing w:after="0" w:line="254" w:lineRule="auto"/>
        <w:rPr>
          <w:sz w:val="20"/>
          <w:szCs w:val="20"/>
          <w:color w:val="auto"/>
        </w:rPr>
      </w:pPr>
      <w:r>
        <w:rPr>
          <w:rFonts w:ascii="Times New Roman" w:cs="Times New Roman" w:eastAsia="Times New Roman" w:hAnsi="Times New Roman"/>
          <w:sz w:val="20"/>
          <w:szCs w:val="20"/>
          <w:color w:val="auto"/>
        </w:rPr>
        <w:t>Motorola is not entitled to any profits, dividends, or other distribution from the operations of the Subsidiary. Under the terms of the 2014 Motorola Spectrum Agreement, Motorola can use the leased channels to provide narrowband services to certain qualified end-users. The end-users can only use the leased channels for their internal communication purposes. The end-users cannot sublease the channels to any other end-users or any commercial radio system operations or carriers. The 2014 Motorola Spectrum Agreement limits the total number of channels that Motorola can lease in any market area. It also provides us with flexibility regarding the future use and management of our spectrum, including relocation and repurposing policies designed to facilitate any necessary realignment of frequencies that may be associated with our efforts to clear spectrum for broadband uses.</w:t>
      </w:r>
    </w:p>
    <w:p>
      <w:pPr>
        <w:spacing w:after="0" w:line="93" w:lineRule="exact"/>
        <w:rPr>
          <w:sz w:val="20"/>
          <w:szCs w:val="20"/>
          <w:color w:val="auto"/>
        </w:rPr>
      </w:pPr>
    </w:p>
    <w:p>
      <w:pPr>
        <w:ind w:left="10" w:right="360" w:firstLine="720"/>
        <w:spacing w:after="0" w:line="375" w:lineRule="auto"/>
        <w:rPr>
          <w:sz w:val="20"/>
          <w:szCs w:val="20"/>
          <w:color w:val="auto"/>
        </w:rPr>
      </w:pPr>
      <w:r>
        <w:rPr>
          <w:rFonts w:ascii="Times New Roman" w:cs="Times New Roman" w:eastAsia="Times New Roman" w:hAnsi="Times New Roman"/>
          <w:sz w:val="20"/>
          <w:szCs w:val="20"/>
          <w:color w:val="auto"/>
        </w:rPr>
        <w:t xml:space="preserve">As of December 31, 2024, we recognized all the revenue associated with the 2014 Motorola Spectrum Agreement. </w:t>
      </w:r>
      <w:r>
        <w:rPr>
          <w:rFonts w:ascii="Times New Roman" w:cs="Times New Roman" w:eastAsia="Times New Roman" w:hAnsi="Times New Roman"/>
          <w:sz w:val="20"/>
          <w:szCs w:val="20"/>
          <w:b w:val="1"/>
          <w:bCs w:val="1"/>
          <w:color w:val="auto"/>
        </w:rPr>
        <w:t>Competition</w:t>
      </w:r>
    </w:p>
    <w:p>
      <w:pPr>
        <w:spacing w:after="0" w:line="1" w:lineRule="exact"/>
        <w:rPr>
          <w:sz w:val="20"/>
          <w:szCs w:val="20"/>
          <w:color w:val="auto"/>
        </w:rPr>
      </w:pPr>
    </w:p>
    <w:p>
      <w:pPr>
        <w:ind w:left="10" w:right="40" w:firstLine="720"/>
        <w:spacing w:after="0" w:line="254" w:lineRule="auto"/>
        <w:rPr>
          <w:sz w:val="20"/>
          <w:szCs w:val="20"/>
          <w:color w:val="auto"/>
        </w:rPr>
      </w:pPr>
      <w:r>
        <w:rPr>
          <w:rFonts w:ascii="Times New Roman" w:cs="Times New Roman" w:eastAsia="Times New Roman" w:hAnsi="Times New Roman"/>
          <w:sz w:val="20"/>
          <w:szCs w:val="20"/>
          <w:color w:val="auto"/>
        </w:rPr>
        <w:t>Our competitors include spectrum holders, retail wireless network providers, such as Verizon, AT&amp;T, and T-Mobile, private radio operators and other public and private companies, including potential new spectrum entrants who supply spectrum or other communication networks, technologies, products and solutions to our targeted utility and critical infrastructure entities. For example, in February 2025, T-Mobile announced that it has entered into an agreement to sell its 800 MHz spectrum holdings. The buyer of this spectrum has indicated it may make this spectrum available to our target utility customers. If the buyer of this spectrum does elect to lease or sell the 800 MHz spectrum it acquires from T-Mobile to our target customers, the resulting direct competition from this offering could reduce the number of agreements we can secure to lease or sell our spectrum and reduce the price that potential customers are willing to pay to lease or acquire our spectrum, any of which would have a material adverse effect on our business, results of operations, financial condition and prospects.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343535</wp:posOffset>
                </wp:positionV>
                <wp:extent cx="65055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05pt" to="512.6pt,27.05pt" o:allowincell="f" strokecolor="#000000" strokeweight="1pt"/>
            </w:pict>
          </mc:Fallback>
        </mc:AlternateContent>
      </w:r>
    </w:p>
    <w:p>
      <w:pPr>
        <w:sectPr>
          <w:pgSz w:w="12240" w:h="15840" w:orient="portrait"/>
          <w:cols w:equalWidth="0" w:num="1">
            <w:col w:w="10250"/>
          </w:cols>
          <w:pgMar w:left="990" w:top="201" w:right="1000" w:bottom="0" w:gutter="0" w:footer="0" w:header="0"/>
        </w:sectPr>
      </w:pPr>
    </w:p>
    <w:p>
      <w:pPr>
        <w:spacing w:after="0" w:line="200" w:lineRule="exact"/>
        <w:rPr>
          <w:sz w:val="20"/>
          <w:szCs w:val="20"/>
          <w:color w:val="auto"/>
        </w:rPr>
      </w:pPr>
    </w:p>
    <w:p>
      <w:pPr>
        <w:spacing w:after="0" w:line="368" w:lineRule="exact"/>
        <w:rPr>
          <w:sz w:val="20"/>
          <w:szCs w:val="20"/>
          <w:color w:val="auto"/>
        </w:rPr>
      </w:pPr>
    </w:p>
    <w:p>
      <w:pPr>
        <w:ind w:left="9670"/>
        <w:spacing w:after="0"/>
        <w:rPr>
          <w:sz w:val="20"/>
          <w:szCs w:val="20"/>
          <w:color w:val="auto"/>
        </w:rPr>
      </w:pPr>
      <w:r>
        <w:rPr>
          <w:rFonts w:ascii="Times New Roman" w:cs="Times New Roman" w:eastAsia="Times New Roman" w:hAnsi="Times New Roman"/>
          <w:sz w:val="19"/>
          <w:szCs w:val="19"/>
          <w:color w:val="auto"/>
        </w:rPr>
        <w:t>Page 9</w:t>
      </w:r>
    </w:p>
    <w:p>
      <w:pPr>
        <w:sectPr>
          <w:pgSz w:w="12240" w:h="15840" w:orient="portrait"/>
          <w:cols w:equalWidth="0" w:num="1">
            <w:col w:w="10250"/>
          </w:cols>
          <w:pgMar w:left="990" w:top="201" w:right="100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Many of these competitors have a long track record of providing technologies, products and solutions to our targeted customers and have greater political and regulatory influence than we do. In addition, many of our competitors have more resources, substantially greater product development and marketing budgets, greater name and brand recognition, a significantly greater base of customers in which to spread their operating costs and more financial and personnel resources than we do. All of these factors could prevent, delay or increase the costs of commercializing the broadband licenses we secure to our targeted customers.</w:t>
      </w:r>
    </w:p>
    <w:p>
      <w:pPr>
        <w:spacing w:after="0" w:line="8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In addition, these and other competitors have developed or may develop services, technologies, products and solutions that directly compete with the broadband networks, technologies, products and solutions that can be deployed with our spectrum assets. If competitors offer services, technologies, products and solutions to our targeted customers at prices and terms that make the licensing of our spectrum assets unattractive, we may be unable to attract customers at prices or on terms that would be favorable, or at all, which could have an adverse effect on our financial results and prospects.</w:t>
      </w:r>
    </w:p>
    <w:p>
      <w:pPr>
        <w:spacing w:after="0" w:line="84" w:lineRule="exact"/>
        <w:rPr>
          <w:sz w:val="20"/>
          <w:szCs w:val="20"/>
          <w:color w:val="auto"/>
        </w:rPr>
      </w:pPr>
    </w:p>
    <w:p>
      <w:pPr>
        <w:ind w:right="200" w:firstLine="720"/>
        <w:spacing w:after="0" w:line="272" w:lineRule="auto"/>
        <w:rPr>
          <w:sz w:val="20"/>
          <w:szCs w:val="20"/>
          <w:color w:val="auto"/>
        </w:rPr>
      </w:pPr>
      <w:r>
        <w:rPr>
          <w:rFonts w:ascii="Times New Roman" w:cs="Times New Roman" w:eastAsia="Times New Roman" w:hAnsi="Times New Roman"/>
          <w:sz w:val="19"/>
          <w:szCs w:val="19"/>
          <w:color w:val="auto"/>
        </w:rPr>
        <w:t>Further, the FCC and other federal, state and local governmental authorities could adopt new regulations or take actions, including making additional spectrum available that can be utilized by our targeted customers, which could harm our ability to license our spectrum assets. For example, the federal government created and funded the First Responder Network Authority (“FRNA”), which the federal government authorized to help accomplish, fund, and oversee the deployment of a dedicated Nationwide Public Safety Broadband Network (“NPSBN”), which is marketed as “FirstNet.” The NPSBN is an additional source of competition to our 900 MHz spectrum assets by our targeted utility and critical infrastructure enterprises.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FCC Initiatives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3 x 3 900 MHz 2020 Report and Order</w:t>
      </w:r>
    </w:p>
    <w:p>
      <w:pPr>
        <w:spacing w:after="0" w:line="139"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On May 13, 2020, the FCC approved the 2020 Report and Order to modernize and realign the 900 MHz band to increase its usability and capacity by allowing it to be utilized for the deployment of broadband networks, technologies and solutions. In the 2020 Report and Order, the FCC reconfigured the 900 MHz band to create a 6 MHz broadband segment (240 channels) and two narrowband segments, consisting of a 3 MHz narrowband segment (120 channels) and a 1 MHz narrowband segment (39 channels). FIGURE I below illustrates the FCC realignment as outlined in the Report and Order.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323E4F"/>
        </w:rPr>
        <w:t>FIGURE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5100" cy="190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extLst>
                    </a:blip>
                    <a:srcRect/>
                    <a:stretch>
                      <a:fillRect/>
                    </a:stretch>
                  </pic:blipFill>
                  <pic:spPr bwMode="auto">
                    <a:xfrm>
                      <a:off x="0" y="0"/>
                      <a:ext cx="6515100" cy="190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Role of the County</w:t>
      </w:r>
    </w:p>
    <w:p>
      <w:pPr>
        <w:spacing w:after="0" w:line="134"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Under the 2020 Report and Order, the FCC established the “county” as the base unit of measure in determining whether a broadband applicant is eligible to secure a broadband license. There are 3,233 counties in the United States, including Puerto Rico and other U.S. territories.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3 x 3 Broadband License Eligibility Requirements</w:t>
      </w:r>
    </w:p>
    <w:p>
      <w:pPr>
        <w:spacing w:after="0" w:line="134"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auto"/>
        </w:rPr>
        <w:t>The 2020 Report and Order established three eligibility requirements to obtain broadband licenses in a county, which we refer to herein as (i) the “50% Licensed Spectrum Test,” (ii) the “90% Broadband Segment Test” and (iii) the “240 Channel Requirement.”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Treatment of Complex Systems</w:t>
      </w:r>
    </w:p>
    <w:p>
      <w:pPr>
        <w:spacing w:after="0" w:line="13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The 2020 Report and Order exempts Complex Systems from the Mandatory Retuning process, even when a broadband applicant meets the 90% Broadband Segment Test, because retuning these systems would potentially be disruptive to the operators. MAP 1 below illustrates the remaining five current Complex Systems.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505460</wp:posOffset>
                </wp:positionV>
                <wp:extent cx="650494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9.8pt" to="512.1pt,39.8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10</w:t>
      </w:r>
    </w:p>
    <w:p>
      <w:pPr>
        <w:sectPr>
          <w:pgSz w:w="12240" w:h="15840" w:orient="portrait"/>
          <w:cols w:equalWidth="0" w:num="1">
            <w:col w:w="10240"/>
          </w:cols>
          <w:pgMar w:left="1000" w:top="201" w:right="100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269240</wp:posOffset>
            </wp:positionV>
            <wp:extent cx="6519545" cy="3692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extLst>
                    </a:blip>
                    <a:srcRect/>
                    <a:stretch>
                      <a:fillRect/>
                    </a:stretch>
                  </pic:blipFill>
                  <pic:spPr bwMode="auto">
                    <a:xfrm>
                      <a:off x="0" y="0"/>
                      <a:ext cx="6519545" cy="369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Association of American Railroads</w:t>
      </w:r>
    </w:p>
    <w:p>
      <w:pPr>
        <w:spacing w:after="0" w:line="134"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auto"/>
        </w:rPr>
        <w:t>The nation’s railroads, particularly the major freight lines, had operated on six narrowband 900 MHz channels licensed to their trade association, the Association of American Railroads (“AAR”). Three of these narrowband channels were located in the 3 x 3 MHz broadband segment and three were in the lower narrowband segment. Pursuant to a January 2020 agreement between us and AAR, AAR agreed to vacate their narrowband channels, to be replaced by a nationwide license for the 900 MHz A Block. The FCC required us to cancel our A Block licenses, which was completed in June 2020, after which the FCC modified the AAR license to authorize use of the A Block channels. Consistent with the agreement, all narrowband channels have been deleted from the AAR license effective September 17, 2025. The FCC has credited us for our cancelled licenses for purposes of determining our eligibility to secure broadband licenses and the calculation of any Anti-Windfall Payments.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Broadband Licensing Process</w:t>
      </w:r>
    </w:p>
    <w:p>
      <w:pPr>
        <w:spacing w:after="0" w:line="13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In May 2021, the FCC’s Wireless Telecommunication Bureau released a Public Notice detailing the application requirements and timeline for obtaining broadband licenses. The broadband licensing process includes filing an application with the FCC for new wireless licenses, completing an Eligibility Certification and developing a Transition Plan describing the agreements the prospective broadband applicant has entered into with Covered Incumbents. We have filed applications based on the timing of customer opportunities, strategic initiatives and our spectrum clearing results and shortly thereafter surrendered our underlying licenses. The Anti-Windfall Payment to the U.S. Treasury for any spectrum we obtain from the FCC’s inventory to reach the 240 Channel Requirement will be made as soon as possible after the FCC provides us the amount due for these channels. In cases where we have satisfied the 90% Broadband Segment Test but have not reached an agreement with all Covered Incumbents, the Mandatory Retuning process may commence after we receive the broadband license.</w:t>
      </w:r>
    </w:p>
    <w:p>
      <w:pPr>
        <w:spacing w:after="0" w:line="83" w:lineRule="exact"/>
        <w:rPr>
          <w:sz w:val="20"/>
          <w:szCs w:val="20"/>
          <w:color w:val="auto"/>
        </w:rPr>
      </w:pPr>
    </w:p>
    <w:p>
      <w:pPr>
        <w:ind w:firstLine="710"/>
        <w:spacing w:after="0" w:line="255" w:lineRule="auto"/>
        <w:tabs>
          <w:tab w:leader="none" w:pos="144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50% Licensed Spectrum Test</w:t>
      </w:r>
      <w:r>
        <w:rPr>
          <w:rFonts w:ascii="Times New Roman" w:cs="Times New Roman" w:eastAsia="Times New Roman" w:hAnsi="Times New Roman"/>
          <w:sz w:val="20"/>
          <w:szCs w:val="20"/>
          <w:color w:val="auto"/>
        </w:rPr>
        <w:t>. To be eligible for a broadband license in a particular county, a broadband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applicant must demonstrate that it holds more than 50% of the outstanding licensed channels in that county. As noted above, the 900 MHz band is made up of a maximum of 399 channels in each county. The FCC has licensed less than the maximum number of 399 channels in all but the most populous counties. Because the 50% Licensed Spectrum Test is based on licensed channels, any channels that are not licensed by the FCC are not included in the denominator when determining whether the broadband applicant has satisfied this test. As of the date of this filing, we alone satisfy the 50% Licensed Spectrum Test in approximately 3,200 counties of the 3,233 counties in the United States and its territories. MAP 2 below illustrates our licensed channels (including those pending applications with the FCC) by county in the entire 900 MHz band segment created by the 2020 Report and Order.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703580</wp:posOffset>
                </wp:positionV>
                <wp:extent cx="650494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5.4pt" to="512.1pt,55.4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11</w:t>
      </w:r>
    </w:p>
    <w:p>
      <w:pPr>
        <w:sectPr>
          <w:pgSz w:w="12240" w:h="15840" w:orient="portrait"/>
          <w:cols w:equalWidth="0" w:num="1">
            <w:col w:w="10240"/>
          </w:cols>
          <w:pgMar w:left="1000" w:top="201" w:right="100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269240</wp:posOffset>
            </wp:positionV>
            <wp:extent cx="6515100" cy="3661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extLst>
                    </a:blip>
                    <a:srcRect/>
                    <a:stretch>
                      <a:fillRect/>
                    </a:stretch>
                  </pic:blipFill>
                  <pic:spPr bwMode="auto">
                    <a:xfrm>
                      <a:off x="0" y="0"/>
                      <a:ext cx="6515100" cy="366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710"/>
        <w:spacing w:after="0" w:line="254" w:lineRule="auto"/>
        <w:tabs>
          <w:tab w:leader="none" w:pos="144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90% Broadband Segment Test</w:t>
      </w:r>
      <w:r>
        <w:rPr>
          <w:rFonts w:ascii="Times New Roman" w:cs="Times New Roman" w:eastAsia="Times New Roman" w:hAnsi="Times New Roman"/>
          <w:sz w:val="20"/>
          <w:szCs w:val="20"/>
          <w:color w:val="auto"/>
        </w:rPr>
        <w:t>. The second test, the 90% Broadband Segment Test, addresses the balance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between a voluntary market process to clear any Covered Incumbent and the Mandatory Retuning process established by the FCC in the 2020 Report and Order (which applies to all Covered Incumbents, except for those Covered Incumbents operating Complex Systems. This test requires the broadband applicant to hold, have agreements with or protect Covered Incumbents equal to 90% or more of the licensed channels in the broadband segment in a particular county and within 70 miles of the county’s boundaries before the FCC will issue a broadband license. The broadband segment in the 900 MHz band has a total of 240 channels. The 90% Broadband Segment Test is calculated using outstanding licensed channels, which means that if the FCC has licensed all 240 channels, the broadband applicant would be required to have control of, or agreements covering, 216 channels within the broadband segment. In most counties in the United States, the FCC has licensed fewer than 240 channels in the broadband segment, and these unlicensed channels are not included in the denominator when determining whether the broadband applicant has satisfied this 90% Broadband Segment Test.</w:t>
      </w:r>
    </w:p>
    <w:p>
      <w:pPr>
        <w:spacing w:after="0" w:line="89"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auto"/>
        </w:rPr>
        <w:t>A broadband applicant can satisfy the 90% Broadband Segment Test by purchasing or canceling channels from Covered Incumbents for cash or other consideration, by paying to relocate Covered Incumbents to replacement spectrum channels outside the broadband segment, or by demonstrating that the broadband applicant’s facilities will be far enough from the Covered Incumbent’s narrowband system to ensure the two types of networks are separate.</w:t>
      </w:r>
    </w:p>
    <w:p>
      <w:pPr>
        <w:spacing w:after="0" w:line="83"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Before filing for a broadband license, the broadband applicant must satisfy the 90% Broadband Segment Test by utilizing its channel holdings and negotiating with Covered Incumbents on a purely voluntary basis for any additional channels it requires to satisfy this test. Only after the 50% Licensed Spectrum Test and the 90% Broadband Segment Test are both satisfied will the FCC issue to the broadband applicant a broadband license. We can request a Mandatory Retuning of any Covered Incumbents that remain in the broadband segment (other than Complex Systems) which are required to negotiate in good faith with the broadband applicant to sell their channels or otherwise clear the 900 MHz Broadband Segment, subject to intervention by the FCC if the parties cannot reach an agreement.</w:t>
      </w:r>
    </w:p>
    <w:p>
      <w:pPr>
        <w:spacing w:after="0" w:line="90"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MAP 3 below illustrates our licensed holdings (including those pending applications with the FCC) and the licensed holdings we have under contract by county in the 6 MHz broadband segment created by the 2020 Report and Order. This map does not reflect licenses that may meet the protection criteria as that is evaluated on a county basis as each broadband transition plan is prepared.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1113790</wp:posOffset>
                </wp:positionV>
                <wp:extent cx="650494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87.7pt" to="512.1pt,87.7pt" o:allowincell="f" strokecolor="#000000" strokeweight="1pt"/>
            </w:pict>
          </mc:Fallback>
        </mc:AlternateContent>
      </w:r>
    </w:p>
    <w:p>
      <w:pPr>
        <w:sectPr>
          <w:pgSz w:w="12240" w:h="15840" w:orient="portrait"/>
          <w:cols w:equalWidth="0" w:num="1">
            <w:col w:w="10180"/>
          </w:cols>
          <w:pgMar w:left="1000" w:top="20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12</w:t>
      </w:r>
    </w:p>
    <w:p>
      <w:pPr>
        <w:sectPr>
          <w:pgSz w:w="12240" w:h="15840" w:orient="portrait"/>
          <w:cols w:equalWidth="0" w:num="1">
            <w:col w:w="10180"/>
          </w:cols>
          <w:pgMar w:left="1000" w:top="201" w:right="10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269240</wp:posOffset>
            </wp:positionV>
            <wp:extent cx="6515100" cy="3656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extLst>
                    </a:blip>
                    <a:srcRect/>
                    <a:stretch>
                      <a:fillRect/>
                    </a:stretch>
                  </pic:blipFill>
                  <pic:spPr bwMode="auto">
                    <a:xfrm>
                      <a:off x="0" y="0"/>
                      <a:ext cx="6515100" cy="365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710"/>
        <w:spacing w:after="0" w:line="272" w:lineRule="auto"/>
        <w:tabs>
          <w:tab w:leader="none" w:pos="144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240 Channel Requirement. </w:t>
      </w:r>
      <w:r>
        <w:rPr>
          <w:rFonts w:ascii="Times New Roman" w:cs="Times New Roman" w:eastAsia="Times New Roman" w:hAnsi="Times New Roman"/>
          <w:sz w:val="19"/>
          <w:szCs w:val="19"/>
          <w:color w:val="auto"/>
        </w:rPr>
        <w:t>The 2020 Report and Order requires the broadband applicant to surrender 6 MHz</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narrowband spectrum (or 240 channels) in the applicable county to the FCC in exchange for a broadband license. If the broadband applicant does not have sufficient channels in the county to return 240 channels to the FCC, it can elect to make an Anti-Windfall Payment to the U.S. Treasury to purchase spectrum. The Anti-Windfall Payment for these channels will be based on prices paid in the applicable county in the 600 MHz auction conducted by the FCC. To satisfy the 240 Channel Requirement, the broadband applicant has the option on a county-by-county basis to determine whether it is more cost-effective to make the Anti-Windfall Payment, purchase channels from incumbents (where available), or possibly a combination of both.</w:t>
      </w:r>
    </w:p>
    <w:p>
      <w:pPr>
        <w:spacing w:after="0" w:line="73"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Importantly, the markets where we may need to make Anti-Windfall Payments to effectively have 240 channels are generally in smaller urban, suburban and rural markets. Our spectrum position is greatest in the largest, most populated and therefore most expensive markets, with a few exceptions as shown in MAP 4 below. Although we will need to make Anti-Windfall Payments to secure broadband licenses in most counties, the average cost in aggregate for the channels will be lower than the nationwide average amount of $0.93 per MHzPop paid in the FCC’s 600 MHz auction.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3404870</wp:posOffset>
                </wp:positionV>
                <wp:extent cx="650494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68.1pt" to="512.1pt,268.1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13</w:t>
      </w:r>
    </w:p>
    <w:p>
      <w:pPr>
        <w:sectPr>
          <w:pgSz w:w="12240" w:h="15840" w:orient="portrait"/>
          <w:cols w:equalWidth="0" w:num="1">
            <w:col w:w="10220"/>
          </w:cols>
          <w:pgMar w:left="1000" w:top="201" w:right="102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269240</wp:posOffset>
            </wp:positionV>
            <wp:extent cx="6515100" cy="3642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extLst>
                    </a:blip>
                    <a:srcRect/>
                    <a:stretch>
                      <a:fillRect/>
                    </a:stretch>
                  </pic:blipFill>
                  <pic:spPr bwMode="auto">
                    <a:xfrm>
                      <a:off x="0" y="0"/>
                      <a:ext cx="6515100" cy="364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5 x 5 900 MHz 2026 Report and Order</w:t>
      </w:r>
    </w:p>
    <w:p>
      <w:pPr>
        <w:spacing w:after="0" w:line="139"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On February 18, 2026, the 2026 Report and Order was adopted unanimously by the FCC to “address the critical demand and growing need for private broadband networks in the 900 MHz band, allowing users to leverage broadband capacity for more advanced and robust networks.” In the 2026 Report and Order, the FCC reconfigured the 900 MHz band to allow a 10 MHz broadband segment consisting of two 5 MHz broadband segments. FIGURE I above illustrates the FCC realignment as outlined in the 2026 Report and Order.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Association of American Railroads</w:t>
      </w:r>
    </w:p>
    <w:p>
      <w:pPr>
        <w:spacing w:after="0" w:line="134"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As indicated in the 2026 Report and Order, voluntary negotiation applies to the AAR, which holds a nationwide license for the 900 MHz A Block (896.0125-896.1250/935.0125-935.1250 MHz) as discussed above. Authority has been delegated to the Wireless Telecommunications Bureau (WTB) to facilitate AAR’s potential solution of relocating from the 900 MHz band to the 220 MHz band, including by allowing access to 220 MHz spectrum held in FCC inventory for a frequency exchange and taking other steps to expedite and streamline any waiver requests needed to promote 900 MHz broadband access while ensuring rail safety.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 x 5 Broadband License Eligibility Requirements</w:t>
      </w:r>
    </w:p>
    <w:p>
      <w:pPr>
        <w:spacing w:after="0" w:line="134"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The 2026 Report and Order established three eligibility requirements to obtain broadband licenses in a county, which we refer to herein as (i) the “5 x 5 50% Licensed Spectrum Test,” (ii) the “5 x 5 Broadband Segment Test” and (iii) the “399 Channel Requirement.”</w:t>
      </w:r>
    </w:p>
    <w:p>
      <w:pPr>
        <w:spacing w:after="0" w:line="69" w:lineRule="exact"/>
        <w:rPr>
          <w:sz w:val="20"/>
          <w:szCs w:val="20"/>
          <w:color w:val="auto"/>
        </w:rPr>
      </w:pPr>
    </w:p>
    <w:p>
      <w:pPr>
        <w:ind w:right="20" w:firstLine="710"/>
        <w:spacing w:after="0" w:line="256" w:lineRule="auto"/>
        <w:tabs>
          <w:tab w:leader="none" w:pos="1440" w:val="left"/>
        </w:tabs>
        <w:numPr>
          <w:ilvl w:val="0"/>
          <w:numId w:val="1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5 x 5 50% Licensed Spectrum Test</w:t>
      </w:r>
      <w:r>
        <w:rPr>
          <w:rFonts w:ascii="Times New Roman" w:cs="Times New Roman" w:eastAsia="Times New Roman" w:hAnsi="Times New Roman"/>
          <w:sz w:val="20"/>
          <w:szCs w:val="20"/>
          <w:color w:val="auto"/>
        </w:rPr>
        <w:t>. To be eligible for a 5 x 5 broadband license in a particular county,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broadband applicant must demonstrate that it holds more than 50% of the outstanding licensed channels in that county. A 5 x 5 broadband applicant can rely on either its 3 x 3 broadband license and/or its 900 MHz SMR and B/ILT spectrum to meet the 50% threshold in the relevant county. The main difference between the 5 x 5 and 3 x 3 900 MHz broadband configurations is that the starting point for a 5 x 5 license may be either the narrowband channel configuration or a 3 x 3 broadband segment configuration. This ensures that existing 3 x 3 broadband licensees may expand their broadband operations if it otherwise meets the eligibility criteria.</w:t>
      </w:r>
    </w:p>
    <w:p>
      <w:pPr>
        <w:spacing w:after="0" w:line="82" w:lineRule="exact"/>
        <w:rPr>
          <w:rFonts w:ascii="Times New Roman" w:cs="Times New Roman" w:eastAsia="Times New Roman" w:hAnsi="Times New Roman"/>
          <w:sz w:val="20"/>
          <w:szCs w:val="20"/>
          <w:b w:val="1"/>
          <w:bCs w:val="1"/>
          <w:i w:val="1"/>
          <w:iCs w:val="1"/>
          <w:color w:val="auto"/>
        </w:rPr>
      </w:pPr>
    </w:p>
    <w:p>
      <w:pPr>
        <w:ind w:right="180" w:firstLine="710"/>
        <w:spacing w:after="0" w:line="259" w:lineRule="auto"/>
        <w:tabs>
          <w:tab w:leader="none" w:pos="1440" w:val="left"/>
        </w:tabs>
        <w:numPr>
          <w:ilvl w:val="0"/>
          <w:numId w:val="1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5 x 5 Broadband Segment Test</w:t>
      </w:r>
      <w:r>
        <w:rPr>
          <w:rFonts w:ascii="Times New Roman" w:cs="Times New Roman" w:eastAsia="Times New Roman" w:hAnsi="Times New Roman"/>
          <w:sz w:val="20"/>
          <w:szCs w:val="20"/>
          <w:color w:val="auto"/>
        </w:rPr>
        <w:t>. The 5 x 5 Broadband Segment Test, is similar to the corresponding 3 x 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broadband licensing rules of the 2020 Report and Order with the exception that prospective 5 x 5 broadband licensees must hold, have agreements with or protect Covered Incumbents for 100% of Covered Incumbents in the narrowband segments but may invoke Mandatory Retuning of channels in the 3 x 3 MHz broadband segment held by those licensees. Mandatory Retuning does not apply to any Covered Incumbent channels in the two narrowband segments.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455295</wp:posOffset>
                </wp:positionV>
                <wp:extent cx="650494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5.85pt" to="512.1pt,35.85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14</w:t>
      </w:r>
    </w:p>
    <w:p>
      <w:pPr>
        <w:sectPr>
          <w:pgSz w:w="12240" w:h="15840" w:orient="portrait"/>
          <w:cols w:equalWidth="0" w:num="1">
            <w:col w:w="10220"/>
          </w:cols>
          <w:pgMar w:left="1000" w:top="201" w:right="102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6" w:lineRule="exact"/>
        <w:rPr>
          <w:sz w:val="20"/>
          <w:szCs w:val="20"/>
          <w:color w:val="auto"/>
        </w:rPr>
      </w:pPr>
    </w:p>
    <w:p>
      <w:pPr>
        <w:ind w:right="20" w:firstLine="710"/>
        <w:spacing w:after="0" w:line="271" w:lineRule="auto"/>
        <w:tabs>
          <w:tab w:leader="none" w:pos="144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399 Channel Requirement. </w:t>
      </w:r>
      <w:r>
        <w:rPr>
          <w:rFonts w:ascii="Times New Roman" w:cs="Times New Roman" w:eastAsia="Times New Roman" w:hAnsi="Times New Roman"/>
          <w:sz w:val="19"/>
          <w:szCs w:val="19"/>
          <w:color w:val="auto"/>
        </w:rPr>
        <w:t>The 2026 Report and Order requires the broadband applicant to surrender 399</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channels or 3 x 3 broadband license with 159 narrowband channels in the applicable county to the FCC in exchange for a 5 x 5 broadband license. If the broadband applicant does not have sufficient channels in the county to return 399 channels and/or 3 x 3 broad band license with 159 channels to the FCC, it must make an Anti-Windfall Payment to the U.S. Treasury to purchase spectrum. The Anti-Windfall Payment for these channels will be based on prices paid in the applicable county in the 600 MHz auction conducted by the FCC. To satisfy the 399 Channel Requirement or broadband licenses and narrowband channel requirements, the broadband applicant has the option on a county-by-county basis to determine whether it is more cost-effective to make the Anti-Windfall Payment, purchase channels from incumbents (where available), or possibly a combination of both.</w:t>
      </w:r>
    </w:p>
    <w:p>
      <w:pPr>
        <w:spacing w:after="0" w:line="72" w:lineRule="exact"/>
        <w:rPr>
          <w:sz w:val="20"/>
          <w:szCs w:val="20"/>
          <w:color w:val="auto"/>
        </w:rPr>
      </w:pPr>
    </w:p>
    <w:p>
      <w:pPr>
        <w:ind w:right="40" w:firstLine="720"/>
        <w:spacing w:after="0" w:line="272" w:lineRule="auto"/>
        <w:rPr>
          <w:sz w:val="20"/>
          <w:szCs w:val="20"/>
          <w:color w:val="auto"/>
        </w:rPr>
      </w:pPr>
      <w:r>
        <w:rPr>
          <w:rFonts w:ascii="Times New Roman" w:cs="Times New Roman" w:eastAsia="Times New Roman" w:hAnsi="Times New Roman"/>
          <w:sz w:val="19"/>
          <w:szCs w:val="19"/>
          <w:color w:val="auto"/>
        </w:rPr>
        <w:t>The 2026 Report and Order has a specific buildout provision for licensees that expand from a 3 x 3 MHz to a 5 x 5 broadband license. In general, and depending on where they are in their 3 x 3 buildout schedule, their deadlines for 5 x 5 MHz deployment will be extended by two years. Licensees will control the timing of when they apply to expand from a 3 x 3 to a 5 x 5 broadband license to coincide with their deployment progress and ability to meet modified buildout deadlines. The FCC retained the 600 MHz auction prices to calculate the per county Anti-Windfall Payments discussed above, but upon publication of the 2026 Report and Order in the Federal Register, the county population will be based on the 2020 rather than 2010 Census.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Costs of Securing Broadband Licenses</w:t>
      </w:r>
    </w:p>
    <w:p>
      <w:pPr>
        <w:spacing w:after="0" w:line="13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As discussed above, to obtain a broadband license in a county, the broadband applicant must satisfy (i) the 50% Licensed Spectrum Test, (ii) the 90% Broadband Segment or the 5 x 5 Broadband Segment Test and (iii) the 240 or 399 Channel Requirement. As the broadband applicant, we can satisfy these channel requirements by including our existing licensed channels in the 900 MHz band and by acquiring or clearing additional channels, when necessary, through (i) spectrum purchases, (ii) spectrum retuning and/or (iii) by making Anti-Windfall Payments. Under the Report and Order, we have the option of using each of these options alone, or in any combination required, to satisfy the broadband license eligibility requirements for a particular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95885</wp:posOffset>
            </wp:positionV>
            <wp:extent cx="4572000" cy="2839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extLst>
                    </a:blip>
                    <a:srcRect/>
                    <a:stretch>
                      <a:fillRect/>
                    </a:stretch>
                  </pic:blipFill>
                  <pic:spPr bwMode="auto">
                    <a:xfrm>
                      <a:off x="0" y="0"/>
                      <a:ext cx="4572000" cy="283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firstLine="710"/>
        <w:spacing w:after="0" w:line="258" w:lineRule="auto"/>
        <w:tabs>
          <w:tab w:leader="none" w:pos="144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Spectrum Purchase. </w:t>
      </w:r>
      <w:r>
        <w:rPr>
          <w:rFonts w:ascii="Times New Roman" w:cs="Times New Roman" w:eastAsia="Times New Roman" w:hAnsi="Times New Roman"/>
          <w:sz w:val="20"/>
          <w:szCs w:val="20"/>
          <w:color w:val="auto"/>
        </w:rPr>
        <w:t>We have and will continue to employ spectrum acquisition as a tool for those situations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where an incumbent desires to exit the 900 MHz band. We also acquire channels outside the 900 MHz Broadband Segment and may use them to swap for channels within the broadband segment or to reduce the anti-windfall payments for licenses. For purposes of our broadband license eligibility, any contracted acquisitions negotiated in the 900 MHz band may be included as part of our broadband application, but the acquisition does not need to be consummated at the time we submit our broadband license application for the purposes of calculating the 90% threshold.</w:t>
      </w:r>
    </w:p>
    <w:p>
      <w:pPr>
        <w:spacing w:after="0" w:line="76" w:lineRule="exact"/>
        <w:rPr>
          <w:rFonts w:ascii="Times New Roman" w:cs="Times New Roman" w:eastAsia="Times New Roman" w:hAnsi="Times New Roman"/>
          <w:sz w:val="20"/>
          <w:szCs w:val="20"/>
          <w:b w:val="1"/>
          <w:bCs w:val="1"/>
          <w:i w:val="1"/>
          <w:iCs w:val="1"/>
          <w:color w:val="auto"/>
        </w:rPr>
      </w:pPr>
    </w:p>
    <w:p>
      <w:pPr>
        <w:ind w:right="20" w:firstLine="710"/>
        <w:spacing w:after="0" w:line="258" w:lineRule="auto"/>
        <w:tabs>
          <w:tab w:leader="none" w:pos="144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Spectrum Retuning. </w:t>
      </w:r>
      <w:r>
        <w:rPr>
          <w:rFonts w:ascii="Times New Roman" w:cs="Times New Roman" w:eastAsia="Times New Roman" w:hAnsi="Times New Roman"/>
          <w:sz w:val="20"/>
          <w:szCs w:val="20"/>
          <w:color w:val="auto"/>
        </w:rPr>
        <w:t>Retuning is the exercise of modifying Covered Incumbents’ licenses to remove the 900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MHz channels held by incumbents and swapping narrowband segments channels to facilitate a move to channels outside of the 900 MHz Broadband Segment. An agreement to retune adds to the number of channels we hold for computational purposes of the 90% Broadband Segment Test. We will continue to retune channels with incumbents as needed. For purposes of broadband license eligibility, any potential spectrum retuning agreements we negotiate in the 900 MHz band will be included as part of our broadband application, but the retune is not required to be completed before we submit our broadband license application.</w:t>
      </w:r>
    </w:p>
    <w:p>
      <w:pPr>
        <w:spacing w:after="0" w:line="76" w:lineRule="exact"/>
        <w:rPr>
          <w:rFonts w:ascii="Times New Roman" w:cs="Times New Roman" w:eastAsia="Times New Roman" w:hAnsi="Times New Roman"/>
          <w:sz w:val="20"/>
          <w:szCs w:val="20"/>
          <w:b w:val="1"/>
          <w:bCs w:val="1"/>
          <w:i w:val="1"/>
          <w:iCs w:val="1"/>
          <w:color w:val="auto"/>
        </w:rPr>
      </w:pPr>
    </w:p>
    <w:p>
      <w:pPr>
        <w:ind w:right="240" w:firstLine="710"/>
        <w:spacing w:after="0" w:line="288" w:lineRule="auto"/>
        <w:tabs>
          <w:tab w:leader="none" w:pos="144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Anti-Windfall Payment. </w:t>
      </w:r>
      <w:r>
        <w:rPr>
          <w:rFonts w:ascii="Times New Roman" w:cs="Times New Roman" w:eastAsia="Times New Roman" w:hAnsi="Times New Roman"/>
          <w:sz w:val="20"/>
          <w:szCs w:val="20"/>
          <w:color w:val="auto"/>
        </w:rPr>
        <w:t>To obtain a broadband license, we must surrender 240 or 399 licensed channels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county depending on whether the application is for a 3 x 3 or a 5 x 5 MHz broadband license. As this band has been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164465</wp:posOffset>
                </wp:positionV>
                <wp:extent cx="650494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95pt" to="512.1pt,12.95pt" o:allowincell="f" strokecolor="#000000" strokeweight="1pt"/>
            </w:pict>
          </mc:Fallback>
        </mc:AlternateContent>
      </w:r>
    </w:p>
    <w:p>
      <w:pPr>
        <w:spacing w:after="0" w:line="26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15</w:t>
      </w:r>
    </w:p>
    <w:p>
      <w:pPr>
        <w:sectPr>
          <w:pgSz w:w="12240" w:h="15840" w:orient="portrait"/>
          <w:cols w:equalWidth="0" w:num="1">
            <w:col w:w="10240"/>
          </w:cols>
          <w:pgMar w:left="1000" w:top="201" w:right="1000"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underutilized historically, most counties in the United States do not have required outstanding licensed channels that can be surrendered. To make up for the difference, we effectively pay for channels from the FCC’s spectrum inventory by making an Anti-Windfall Payment. As noted above, the FCC will use a reference per channel price based on the average price paid in the FCC’s 600 MHz auction in each given county. The county population will be based on the 2020 census upon publication of the 2026 Report and Order in the Federal Register.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Intellectual Property</w:t>
      </w:r>
    </w:p>
    <w:p>
      <w:pPr>
        <w:spacing w:after="0" w:line="137"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We rely on a combination of patent, copyright, trademark and trade-secret laws, as well as confidentiality provisions in our contracts, to protect our intellectual property. We have several trademarks and service marks to protect our current and future corporate name, services offerings, goodwill and brand. There are currently no claims or litigation regarding these trademarks, patents, copyrights, or service marks. We also rely on trade secret protection of our intellectual property. We enter into confidentiality agreements with third parties, employees and consultants when appropriate.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of Our Business</w:t>
      </w:r>
    </w:p>
    <w:p>
      <w:pPr>
        <w:spacing w:after="0" w:line="137" w:lineRule="exact"/>
        <w:rPr>
          <w:sz w:val="20"/>
          <w:szCs w:val="20"/>
          <w:color w:val="auto"/>
        </w:rPr>
      </w:pPr>
    </w:p>
    <w:p>
      <w:pPr>
        <w:jc w:val="both"/>
        <w:ind w:right="140" w:firstLine="720"/>
        <w:spacing w:after="0" w:line="260" w:lineRule="auto"/>
        <w:rPr>
          <w:sz w:val="20"/>
          <w:szCs w:val="20"/>
          <w:color w:val="auto"/>
        </w:rPr>
      </w:pPr>
      <w:r>
        <w:rPr>
          <w:rFonts w:ascii="Times New Roman" w:cs="Times New Roman" w:eastAsia="Times New Roman" w:hAnsi="Times New Roman"/>
          <w:sz w:val="20"/>
          <w:szCs w:val="20"/>
          <w:color w:val="auto"/>
        </w:rPr>
        <w:t>We hold FCC spectrum licenses in the 900 MHz band throughout the contiguous United States, plus Hawaii, Alaska and Puerto Rico. The FCC regulates our wireless spectrum holdings, the issuance of broadband licenses in the 900 MHz band, our future leasing or sale of any broadband licenses we secure, and the future construction and operation of wireless networks, technologies and solutions utilizing our spectrum assets.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Licensing</w:t>
      </w:r>
    </w:p>
    <w:p>
      <w:pPr>
        <w:spacing w:after="0" w:line="134"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We are authorized to provide our wireless communication services on specified frequencies within specified geographic areas and in doing so must comply with the rules, regulations and policies adopted by the FCC. The FCC issues each spectrum license for a fixed period, typically ten years in the case of the FCC narrowband licenses we currently hold and 15 years for any broadband licenses. Any broadband licenses we secure will also have performance requirements at the 6- and 12-year marks to demonstrate that the broadband spectrum is being used to serve the public interest. While the FCC has generally renewed licenses held by operating companies like us, the FCC has the authority to both revoke a license for cause and to deny a license renewal if it determines that license renewal is not in the public interest. Furthermore, we could be subject to fines, forfeitures and other penalties for failure to comply with FCC regulations, even if any such non-compliance is unintentional. The loss of any licenses, or any related fines or forfeitures, could adversely affect our business, results of operations or financial condition.</w:t>
      </w:r>
    </w:p>
    <w:p>
      <w:pPr>
        <w:spacing w:after="0" w:line="96"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 Communications Act of 1934, as amended, and FCC rules and regulations require us to obtain the FCC’s prior approval before assigning or transferring control of wireless licenses, with limited exceptions. The FCC’s rules and regulations also govern spectrum lease arrangements for a range of wireless radio service licenses, including the licenses we hold. These same requirements apply to any licenses or leases we may wish to enter into, transfer, or acquire as part of our broadband initiatives. The FCC may prohibit or impose conditions on any proposed acquisitions, sales, or other transfers of control of licenses or leases. The FCC engages in a case-by-case review of transactions that involve the consolidation or sale of spectrum licenses or leases and may apply a spectrum “screen” in examining such transactions. Because an FCC license is necessary to lawfully provide the wireless services we plan to enable, if the FCC were to disapprove of any such request to acquire, assign, or otherwise transfer a license or lease, our business plans would be adversely affected. Approval from the Federal Trade Commission and the Department of Justice, as well as state or local regulatory authorities, also may be required if we sell or acquire spectrum.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FCC Regulations</w:t>
      </w:r>
    </w:p>
    <w:p>
      <w:pPr>
        <w:spacing w:after="0" w:line="13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FCC does not currently regulate rates for services offered by wireless providers. However, we may be subject to other FCC regulations that impose obligations on wireless providers, such as Federal Universal Service Fund obligations, which require communications providers to contribute to a fund that supports subsidized communications services to underserved areas and users; rules governing billing, subscriber privacy and customer proprietary network information; roaming obligations; rules that require wireless service providers to configure their networks to facilitate electronic surveillance by law enforcement officials; rules governing spam, telemarketing and truth-in-billing and rules requiring us to offer equipment and services that are accessible to and usable by persons with disabilities, among others. There are also pending proceedings that may affect spectrum aggregation limits and/or adjustment of the FCC’s case-by-case spectrum screens; regulation surrounding the deployment of advanced wireless broadband infrastructure; the imposition of text-to-911 capabilities; and the transition to IP networks, among others. Some of these requirements and pending proceedings (of which the previous examples are not an exhaustive list) pose technical and operational challenges for which we, and the industry as a whole, have not yet developed clear solutions. We are unable to predict how these pending or future FCC proceedings may affect our business, financial condition, or results of operations. Our failure to comply with any applicable FCC regulations could subject us to significant fines or forfeitures.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352425</wp:posOffset>
                </wp:positionV>
                <wp:extent cx="650494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7.75pt" to="512.1pt,27.7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38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16</w:t>
      </w:r>
    </w:p>
    <w:p>
      <w:pPr>
        <w:sectPr>
          <w:pgSz w:w="12240" w:h="15840" w:orient="portrait"/>
          <w:cols w:equalWidth="0" w:num="1">
            <w:col w:w="10240"/>
          </w:cols>
          <w:pgMar w:left="1000" w:top="201" w:right="100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State and Local Regulation</w:t>
      </w:r>
    </w:p>
    <w:p>
      <w:pPr>
        <w:spacing w:after="0" w:line="134" w:lineRule="exact"/>
        <w:rPr>
          <w:sz w:val="20"/>
          <w:szCs w:val="20"/>
          <w:color w:val="auto"/>
        </w:rPr>
      </w:pPr>
    </w:p>
    <w:p>
      <w:pPr>
        <w:ind w:right="160" w:firstLine="720"/>
        <w:spacing w:after="0" w:line="275" w:lineRule="auto"/>
        <w:rPr>
          <w:sz w:val="20"/>
          <w:szCs w:val="20"/>
          <w:color w:val="auto"/>
        </w:rPr>
      </w:pPr>
      <w:r>
        <w:rPr>
          <w:rFonts w:ascii="Times New Roman" w:cs="Times New Roman" w:eastAsia="Times New Roman" w:hAnsi="Times New Roman"/>
          <w:sz w:val="19"/>
          <w:szCs w:val="19"/>
          <w:color w:val="auto"/>
        </w:rPr>
        <w:t>In addition to FCC regulations, we are subject to certain state regulatory requirements. The Communications Act of 1934, as amended, preempts state and local regulation of the entry of, or the rates charged by, any wireless provider. State and local governments, however, are permitted to manage public rights of way and can require fair and reasonable compensation from wireless providers for use of those rights of way so long as the compensation required is publicly disclosed by the government. The siting of base stations also remains subject to some degree of control by state and local jurisdiction.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Tower Siting</w:t>
      </w:r>
    </w:p>
    <w:p>
      <w:pPr>
        <w:spacing w:after="0" w:line="13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Our current and future customers who deploy broadband networks will be required to comply with various federal, state and local regulations that govern the siting, lighting and construction of transmitter towers and antennas, including requirements imposed by the FCC and the Federal Aviation Administration (“FAA”). Federal rules subject certain tower site locations to extensive zoning, environmental and historic preservation requirements and mandate consultation with various parties, including State and Tribal Historic Preservation Offices, which can make it more difficult and expensive to deploy facilities. The FCC antenna structure registration process also imposes public notice requirements when plans are made for construction of, or modification to, antenna structures that require FAA approval, potentially adding to the delays and burdens associated with tower siting, including potential challenges from special interest groups. To the extent governmental agencies continue to impose additional requirements like this on the tower siting process, the time and cost to construct towers could be negatively impacted. The FCC has, however, imposed a tower siting “shot clock” that requires local authorities to address tower applications within a specific timeframe, which can assist carriers in more rapid deployment of towers. More recently, the FCC also has adopted rules intended to accelerate broadband deployment by removing barriers to infrastructure investment, in particular for “small cell” equipment. Those rules have been challenged by certain municipalities and tribal nations both at the FCC and in court.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National Security</w:t>
      </w:r>
    </w:p>
    <w:p>
      <w:pPr>
        <w:spacing w:after="0" w:line="134"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With a range of weather-related and cyber security impacts on the nation’s grid over the last several years, national security and disaster recovery issues continue to receive attention at the federal, state and local levels. For example, Congress is currently considering a number of bills related to grid security. While the timing and likelihood of enactment of specific legislation remains uncertain, cybersecurity and infrastructure resiliency are expected to remain ongoing legislative priorities. Our current and future customers who deploy broadband networks may be required to comply with potential federal, state and local regulations that govern elements of the electric grid.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Report and Order</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FCC regulates the issuance of broadband licenses in the 900 MHz band in accordance with the Report and Order.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People</w:t>
      </w:r>
    </w:p>
    <w:p>
      <w:pPr>
        <w:spacing w:after="0" w:line="134"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The success of our business depends on our ability to attract, grow, and retain talented individuals who reflect and understand the perspectives of our customers and stakeholders. We combine our deep industry expertise and operational know-how to deliver solutions that redefine what is possible for the industries, utilities, and the communities that we serve.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Culture</w:t>
      </w:r>
    </w:p>
    <w:p>
      <w:pPr>
        <w:spacing w:after="0" w:line="134"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We are guided by our core values, Integrity, Courage, Camaraderie, Transformative, and Excellence. These values are the backbone of our corporate culture, and we work tirelessly to act as responsible stewards, to our employees, communities and other stakeholders who rely on us.</w:t>
      </w:r>
    </w:p>
    <w:p>
      <w:pPr>
        <w:spacing w:after="0" w:line="75" w:lineRule="exact"/>
        <w:rPr>
          <w:sz w:val="20"/>
          <w:szCs w:val="20"/>
          <w:color w:val="auto"/>
        </w:rPr>
      </w:pPr>
    </w:p>
    <w:p>
      <w:pPr>
        <w:jc w:val="both"/>
        <w:ind w:right="140" w:firstLine="720"/>
        <w:spacing w:after="0" w:line="266" w:lineRule="auto"/>
        <w:rPr>
          <w:sz w:val="20"/>
          <w:szCs w:val="20"/>
          <w:color w:val="auto"/>
        </w:rPr>
      </w:pPr>
      <w:r>
        <w:rPr>
          <w:rFonts w:ascii="Times New Roman" w:cs="Times New Roman" w:eastAsia="Times New Roman" w:hAnsi="Times New Roman"/>
          <w:sz w:val="20"/>
          <w:szCs w:val="20"/>
          <w:color w:val="auto"/>
        </w:rPr>
        <w:t>We use semi-annual engagement surveys to assess organizational health, to understand how employees feel about the organization and guide our improvements for greater engagement and success. Participation is voluntary and all responses are strictly confidential.</w:t>
      </w:r>
    </w:p>
    <w:p>
      <w:pPr>
        <w:spacing w:after="0" w:line="75"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In response to our engagement survey feedback, we launched Anterix GROW in 2023. The focus of Anterix GROW is to instill continuous learning into everyday life, personally and professionally. Anterix GROW fosters a culture of inclusion and collaboration by providing actionable opportunities and resources. Examples include Mental Health Awareness Week, Employee Service Days and a Multicultural Marketplace. We realize that preparing for the future requires a workforce with a depth and breadth of skills. Anterix provides LinkedIn Learning subscriptions to all of our employees. Our approach to managing performance includes frequent check-ins between managers and employees on goals, career development, feedback and wellbeing. Performance and feedback discussions are initiated via the Lattice platform.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575310</wp:posOffset>
                </wp:positionV>
                <wp:extent cx="650494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5.3pt" to="512.1pt,45.3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17</w:t>
      </w:r>
    </w:p>
    <w:p>
      <w:pPr>
        <w:sectPr>
          <w:pgSz w:w="12240" w:h="15840" w:orient="portrait"/>
          <w:cols w:equalWidth="0" w:num="1">
            <w:col w:w="10240"/>
          </w:cols>
          <w:pgMar w:left="1000" w:top="201" w:right="100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80" w:firstLine="720"/>
        <w:spacing w:after="0" w:line="266" w:lineRule="auto"/>
        <w:rPr>
          <w:sz w:val="20"/>
          <w:szCs w:val="20"/>
          <w:color w:val="auto"/>
        </w:rPr>
      </w:pPr>
      <w:r>
        <w:rPr>
          <w:rFonts w:ascii="Times New Roman" w:cs="Times New Roman" w:eastAsia="Times New Roman" w:hAnsi="Times New Roman"/>
          <w:sz w:val="20"/>
          <w:szCs w:val="20"/>
          <w:color w:val="auto"/>
        </w:rPr>
        <w:t>We are committed to fostering an inclusive culture, ensuring equitable pay, and focusing on attracting and retaining diverse representation at every level within the Company. We embrace this commitment to diversity at all levels of the organization.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&amp; Benefits</w:t>
      </w:r>
    </w:p>
    <w:p>
      <w:pPr>
        <w:spacing w:after="0" w:line="134"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We believe our compensation should reflect the value of our talent. We deliver competitive market compensation and aim to provide a balance of fixed pay, short-term and long-term incentives. We benchmark our salary ranges for each role against the market. Salary is positioned within the range and based upon criteria such as experience, skills, and competencies. Annual salary reviews take place in May.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Well-being</w:t>
      </w:r>
    </w:p>
    <w:p>
      <w:pPr>
        <w:spacing w:after="0" w:line="134"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Our programs ensure access to the best healthcare and focus on all aspects of well-being: physical, mental, financial and social. In addition to best-in-class medical benefits, Anterix partners with ADP Lifecare to offer Self-Led well-being platforms, 24/7 psychological support, and a range of e-learning and training resources for managers and team members to learn more about taking care of themselves and others.</w:t>
      </w:r>
    </w:p>
    <w:p>
      <w:pPr>
        <w:spacing w:after="0" w:line="83"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We are committed to maintaining work-life balance and striving to provide opportunities for our employees to be flexible about when and where they work. At the same time, we believe in creating time and space to meet in person. We have implemented a hybrid working model where employees are onsite nine days a month and work remotely the remaining days of the month.</w:t>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March 31, 2026, we had 64 total employees and 63 full time employees.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137"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We manage our business as a single operating and reportable segment. Segment information on our total financial and operating performance is reported on a consolidated basis and is consistent with how management reviews our business and allocates resources.</w:t>
      </w:r>
    </w:p>
    <w:p>
      <w:pPr>
        <w:spacing w:after="0" w:line="75" w:lineRule="exact"/>
        <w:rPr>
          <w:sz w:val="20"/>
          <w:szCs w:val="20"/>
          <w:color w:val="auto"/>
        </w:rPr>
      </w:pPr>
    </w:p>
    <w:p>
      <w:pPr>
        <w:ind w:right="60" w:firstLine="720"/>
        <w:spacing w:after="0" w:line="281" w:lineRule="auto"/>
        <w:rPr>
          <w:sz w:val="20"/>
          <w:szCs w:val="20"/>
          <w:color w:val="auto"/>
        </w:rPr>
      </w:pPr>
      <w:r>
        <w:rPr>
          <w:rFonts w:ascii="Times New Roman" w:cs="Times New Roman" w:eastAsia="Times New Roman" w:hAnsi="Times New Roman"/>
          <w:sz w:val="20"/>
          <w:szCs w:val="20"/>
          <w:color w:val="auto"/>
        </w:rPr>
        <w:t>All of our identifiable assets are located in the United States. We did not generate any revenue from sources outside of the United States.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Corporate Information</w:t>
      </w:r>
    </w:p>
    <w:p>
      <w:pPr>
        <w:spacing w:after="0" w:line="137"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auto"/>
        </w:rPr>
        <w:t>Our principal executive offices are located at 3 Garret Mountain Plaza, Suite 401, Woodland Park, New Jersey 07424 and 8260 Greensboro Drive, Suite 501, McLean, Virginia. Our main telephone number is (973) 771-0300. We were originally incorporated in California in 1997 and reincorporated in Delaware in 2014. Our website is www.anterix.com.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7"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our website as soon as reasonably practicable after we electronically file such material with, or furnish it to, the Securities and Exchange Commissions (the “SEC”). The SEC maintains an internet site at www.sec.gov that contains reports, proxy and information statements, and other information regarding issuers that file electronically with the SEC. We include our website address in this Annual Report only as an inactive textual reference. The information on or accessible through our website is not incorporated into this Annual Report, and you should not consider any information on, or that can be accessed through, our website a part of this Annual Report or our other filings with the SEC.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3" w:lineRule="exact"/>
        <w:rPr>
          <w:sz w:val="20"/>
          <w:szCs w:val="20"/>
          <w:color w:val="auto"/>
        </w:rPr>
      </w:pPr>
    </w:p>
    <w:p>
      <w:pPr>
        <w:ind w:right="80" w:firstLine="7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You should carefully consider the following risk factors, together with the other information contained in this Annual Report and our other reports and filings made with the SEC, in evaluating our business and prospects. If any of the risks discussed in this Annual Report occur, our business, prospects, liquidity, financial condition and results of operations could be materially and adversely affected, in which case the trading price of our common stock could decline significantly. Some statements in this Annual Report, including statements in the following risk factors, constitute forward-looking statements. Please refer to the section entitled “Cautionary Statement Concerning Forward-Looking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28" w:lineRule="exact"/>
        <w:rPr>
          <w:sz w:val="20"/>
          <w:szCs w:val="20"/>
          <w:color w:val="auto"/>
        </w:rPr>
      </w:pPr>
    </w:p>
    <w:p>
      <w:pPr>
        <w:jc w:val="both"/>
        <w:ind w:right="14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commercializing our spectrum assets to our targeted utility and critical infrastructure customers in accordance with our business plans and expectations.</w:t>
      </w:r>
    </w:p>
    <w:p>
      <w:pPr>
        <w:spacing w:after="0" w:line="57" w:lineRule="exact"/>
        <w:rPr>
          <w:sz w:val="20"/>
          <w:szCs w:val="20"/>
          <w:color w:val="auto"/>
        </w:rPr>
      </w:pPr>
    </w:p>
    <w:p>
      <w:pPr>
        <w:jc w:val="both"/>
        <w:ind w:right="120" w:firstLine="720"/>
        <w:spacing w:after="0" w:line="286" w:lineRule="auto"/>
        <w:rPr>
          <w:sz w:val="20"/>
          <w:szCs w:val="20"/>
          <w:color w:val="auto"/>
        </w:rPr>
      </w:pPr>
      <w:r>
        <w:rPr>
          <w:rFonts w:ascii="Times New Roman" w:cs="Times New Roman" w:eastAsia="Times New Roman" w:hAnsi="Times New Roman"/>
          <w:sz w:val="19"/>
          <w:szCs w:val="19"/>
          <w:color w:val="auto"/>
        </w:rPr>
        <w:t>We have identified utilities and other critical infrastructure enterprises as our primary target customers. As of the date of this filing, we have signed long-term leases of our spectrum assets with Ameren, Evergy, Xcel Energy, and TECO and have entered into agreements to sell our spectrum assets to SDG&amp;E, LCRA, Oncor, CPS, TNMP, NWE, and Public Utility District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98425</wp:posOffset>
                </wp:positionV>
                <wp:extent cx="65049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7.75pt" to="512.1pt,7.75pt" o:allowincell="f" strokecolor="#000000" strokeweight="1pt"/>
            </w:pict>
          </mc:Fallback>
        </mc:AlternateContent>
      </w:r>
    </w:p>
    <w:p>
      <w:pPr>
        <w:spacing w:after="0" w:line="162"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18</w:t>
      </w:r>
    </w:p>
    <w:p>
      <w:pPr>
        <w:sectPr>
          <w:pgSz w:w="12240" w:h="15840" w:orient="portrait"/>
          <w:cols w:equalWidth="0" w:num="1">
            <w:col w:w="10240"/>
          </w:cols>
          <w:pgMar w:left="1000" w:top="201" w:right="1000"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No. 1 of Benton County (“Benton PUD”). Although we are in discussions with other utilities and critical infrastructure enterprises, there is no assurance that these discussions will continue to progress or eventually result in contracts with these entities or that we will be successful in our efforts to commercialize our spectrum assets and other service offerings. For example, utilities or other critical infrastructure enterprises may not elect to acquire use of any broadband licenses we secure on terms satisfactory to us or for a consideration that represents what we believe is the fair market value for the rights to our spectrum, on a timely basis, or at all. Similarly, there is no assurance that utilities or other critical infrastructure customers will retain us for any other value-added services we offer them. As a result, our prospects must be considered in light of the uncertainties, risks, expenses and difficulties frequently encountered by companies implementing a new business plan and pursuing opportunities in highly competitive and rapidly developing markets.</w:t>
      </w:r>
    </w:p>
    <w:p>
      <w:pPr>
        <w:spacing w:after="0" w:line="8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In addition, under our current business plan, we generally intend to enter into long-term leasing or sales agreements for our spectrum assets in one county with one customer, or a limited number of customers, in each geographic area. We also expect that our customers will pay what we believe is the fair market value for rights to our spectrum and bear the costs of deploying and operating their private wireless broadband networks. As a result, many geographic areas may have only one or a limited number of potential customers and if we are not successful with the initially targeted customer or limited number of customers, our spectrum may not be utilized, and we will not be able to generate revenues from owning spectrum in that geographic area. In addition, even if we enter a long-term lease or sales agreements for a geographic area, we expect payments by our customer in such area will continue to be contingent on our ability to clear incumbents and take the other necessary actions to secure broadband licenses on a timely and cost-effective basis. Our customers also will typically receive rights to all spectrum we have in its geographic operating area. Because of this, we may not have additional spectrum assets to lease in such geographical area to other potential customers. Further, other than our lease or sales agreements, currently we do not generate revenue from the operation of the broadband networks or technologies deployed by our customers. As a result, there is considerable uncertainty as to whether we can generate sufficient revenues to develop a profitable business from leasing or selling our licensed 900 MHz spectrum.</w:t>
      </w:r>
    </w:p>
    <w:p>
      <w:pPr>
        <w:spacing w:after="0" w:line="99"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Our ability to successfully commercialize our spectrum assets will also depend on the continued commercial availability of technology, products and solutions that can both utilize the broadband licenses we secure and satisfy our customers’ demands. Our spectrum assets are located within the 3GPP global standard of Band 8 (also known as the E-GSM band, or 880 - 915 MHz paired with 925 - 960 MHz). Band 8 is currently being utilized in LTE and 5G networks, with a specific designation for the US under Band 106 and n106. However, chipmakers and other technology, product and solution manufacturers and vendors may not continue to develop the technology, products and solutions required to satisfy our customers’ various use cases and meet the technical specifications established in the Report and Order. Further, adverse economic conditions, including as a result of inflation, trade restrictions and tariffs, regulatory actions and policy changes, wars and other geopolitical matters, may result in supply chain issues which limit our customer’s ability to obtain the necessary technology and products to deploy an LTE or 5G wireless broadband network utilizing our spectrum. If such technologies, products and solutions are not available, not competitively priced or are significantly delayed, our targeted customers may decide not to pursue 900 MHz broadband licenses with us on acceptable terms, on a timely basis, or at all.</w:t>
      </w:r>
    </w:p>
    <w:p>
      <w:pPr>
        <w:spacing w:after="0" w:line="91"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Our assessment that we should target utilities and other critical infrastructure entities as potential customers for our spectrum is based on our determination that these entities will need to install a significant number of new technologies, such as smart devices and sensors, that will generate an increasing amount of data that cannot be addressed well by their existing communication networks and systems. Our potential customers, however, are large organizations and their decision to implement private broadband networks, technologies and solutions is an involved decision and will require significant capital outlays. Any negotiation and contract process with these potential customers has taken, and likely will continue to take, a significant amount of time and effort to work through their approval and funding processes. In addition, there is no assurance that the governmental agencies that regulate these entities will in each case allow them to pass the capital costs of implementing broadband networks, technologies and solutions utilizing our spectrum on to their ratepayers, which could cause these entities to be unable to afford, or to elect not to pursue, rights to our spectrum assets. In addition, although there is broad availability of broadband LTE, there is no assurance that our targeted customers will be able to utilize existing networks, technologies and solutions with our spectrum for their desired use cases without requiring modifications to existing equipment or engaging in product and/or service development efforts, any of which could result in deployment delays, require them or us to invest in technology or other development activities or otherwise adversely limit the potential benefits or value of our spectrum assets. If any of these risks occur or continue beyond our plans and expectations, our plans to commercialize our spectrum assets may not be as valuable as we expect and we may experience significant delays in our commercialization plans, which will have an adverse effect on our business, financial condition, results of operations and prospects.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959485</wp:posOffset>
                </wp:positionV>
                <wp:extent cx="650494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75.55pt" to="512.1pt,75.5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19</w:t>
      </w:r>
    </w:p>
    <w:p>
      <w:pPr>
        <w:sectPr>
          <w:pgSz w:w="12240" w:h="15840" w:orient="portrait"/>
          <w:cols w:equalWidth="0" w:num="1">
            <w:col w:w="10240"/>
          </w:cols>
          <w:pgMar w:left="1000" w:top="201" w:right="100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contingencies and obligations under our commercial agreements with our customers including the delivery of cleared spectrum and broadband licenses on a timely basis, and as a result, there is no assurance that we will receive payments from such customers in the amounts and on the timeline we currently expect, or that any payments we have received to date from our customers, will not be subject to repayment or that our commercial agreements will not be subject to contract claims, including rights of termination.</w:t>
      </w:r>
    </w:p>
    <w:p>
      <w:pPr>
        <w:spacing w:after="0" w:line="88"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We are subject to contingencies and obligations under our commercial agreements with our customers, including the delivery of cleared spectrum and broadband licenses in the designated service territories on a timely basis. There is no assurance that we will be able to clear incumbents from our customers’ respective service territories and obtain broadband licenses from the FCC on the timeline required under our agreements, or at all. Customers’ respective payment obligations, including our ability to maintain any upfront payments and any future payment obligations under these agreements, are contingent on our ability to deliver cleared spectrum and Broadband Spectrum licenses on the timelines required in these agreements. As a result, there is no assurance that we will be able to retain any upfront payments or receive future payments in the amounts and on the timeline we currently expect, or at all. Additionally, our customers may not elect to exercise their options for additional terms contemplated by the terms of the long-term lease agreements. Further, our costs to clear incumbents, qualify for broadband licenses and perform our other obligations under our agreements with our customers may be significantly more than we currently anticipate, which could increase our capital expenses and reduce our net income or increase our net loss.</w:t>
      </w:r>
    </w:p>
    <w:p>
      <w:pPr>
        <w:spacing w:after="0" w:line="82" w:lineRule="exact"/>
        <w:rPr>
          <w:sz w:val="20"/>
          <w:szCs w:val="20"/>
          <w:color w:val="auto"/>
        </w:rPr>
      </w:pPr>
    </w:p>
    <w:p>
      <w:pPr>
        <w:ind w:right="24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developing, marketing, selling and delivering new products and services offerings to our targeted utility and critical infrastructure customers</w:t>
      </w:r>
      <w:r>
        <w:rPr>
          <w:rFonts w:ascii="Times New Roman" w:cs="Times New Roman" w:eastAsia="Times New Roman" w:hAnsi="Times New Roman"/>
          <w:sz w:val="20"/>
          <w:szCs w:val="20"/>
          <w:b w:val="1"/>
          <w:bCs w:val="1"/>
          <w:color w:val="auto"/>
        </w:rPr>
        <w:t>.</w:t>
      </w:r>
    </w:p>
    <w:p>
      <w:pPr>
        <w:spacing w:after="0" w:line="57"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In addition to the leasing and sale of our spectrum assets, we are seeking to expand our product and service offerings to leverage and enhance the value of our spectrum assets. Most notably, we are actively marketing CatalyX and TowerX, connectivity management and tower optimization solutions that we developed to help utilities realize the benefits of private broadband networks, while leveraging commercial broadband networks. We also continue to explore other service offerings to help our customers deploy systems using our service offerings. We face significant competition in development, sale, and delivery of products and services offerings related to our spectrum to our customers. Many of these competitors have significantly larger workforces, a broad array of capabilities, deep customer relationships, and greater financial resources. We may not be able to adequately compete in sales of these additional offerings, or be unable to develop, market or deliver competitive offerings.</w:t>
      </w:r>
    </w:p>
    <w:p>
      <w:pPr>
        <w:spacing w:after="0" w:line="80"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operate in a competitive environment, including with other spectrum holders that may offer broadband spectrum to our target customers. Additionally, many of the third parties who offer spectrum and communication technologies, products, services and solutions to our targeted customers have existing long-term relationships with these targeted customers and have significantly more resources and greater political and regulatory influence than we do, and we may not be able to successfully compete with these third parties.</w:t>
      </w:r>
    </w:p>
    <w:p>
      <w:pPr>
        <w:spacing w:after="0" w:line="88"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Our competitors include spectrum holders, retail wireless network providers, such as Verizon, AT&amp;T, and T-Mobile, private radio operators and other public and private companies, including potential new spectrum entrants, who supply spectrum or other communication networks, technologies, products and solutions to our targeted utility and critical infrastructure entities. For example, in February 2025, T-Mobile announced that it has entered into an agreement to sell its 800 MHz spectrum holdings. Although the transaction has not yet been approved by the FCC, the buyer of this spectrum has indicated it may make this spectrum available to our target utility customers. If the buyer of this spectrum elects to lease or sell the 800 MHz spectrum it acquires from T-Mobile to our target customers, the resulting direct competition from this offering could reduce the number of agreements we can secure to lease or sell our spectrum to our target customers and reduce the cost that potential customers are willing to pay to lease or acquire our spectrum, any of which would have a material adverse effect on our business, results of operations, financial condition and prospects.</w:t>
      </w:r>
    </w:p>
    <w:p>
      <w:pPr>
        <w:spacing w:after="0" w:line="9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Additionally, many of our competitors have significantly more resources, a longer track record of providing technologies, products, services and solutions to our targeted customers and greater political and regulatory influence than we do, all of which could prevent, delay or increase the costs of commercializing our spectrum to our targeted customers. In addition, we expect our targeted customers will bear the cost of installing and operating the broadband networks, technologies and solutions utilizing our licensed spectrum, thereby requiring the replacement of some or all of their existing communication systems. Given these significant capital requirements, there is no assurance that we will be able to generate enough revenues through the commercialization of our spectrum assets to achieve profitability, especially in light of the competitive environment in which we operate, and the wide variety of technologies, products, services and solutions offered by our competitors. Further, in the process of pursuing broadband licenses, we may be required to make significant concessions or contractual commitments, make significant payments or assume significant costs, purchase additional spectrum or replacement communication systems or limit the use of our spectrum assets or restrict our pursuit of business opportunities to address the concerns expressed by incumbents and other interested parties.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271145</wp:posOffset>
                </wp:positionV>
                <wp:extent cx="650494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1.35pt" to="512.1pt,21.3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20</w:t>
      </w:r>
    </w:p>
    <w:p>
      <w:pPr>
        <w:sectPr>
          <w:pgSz w:w="12240" w:h="15840" w:orient="portrait"/>
          <w:cols w:equalWidth="0" w:num="1">
            <w:col w:w="10240"/>
          </w:cols>
          <w:pgMar w:left="1000" w:top="201" w:right="10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auto"/>
        </w:rPr>
        <w:t>In addition, the FCC and other federal, state and local governmental authorities, or other third parties, could adopt new regulations or take actions, including making additional spectrum available that can be utilized by our targeted customers, which could harm our ability to license our spectrum assets. For example, the federal government created and funded the FRNA, which the federal government authorized to help accomplish, fund, and oversee the deployment of a dedicated NPSBN. The NPSBN, which is marketed as “FirstNet”, may provide an additional source of competition to utilizing our 900 MHz spectrum assets by our targeted utility and critical infrastructure enterprises.</w:t>
      </w:r>
    </w:p>
    <w:p>
      <w:pPr>
        <w:spacing w:after="0" w:line="88"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212529"/>
        </w:rPr>
        <w:t xml:space="preserve">Some of our competitors, </w:t>
      </w:r>
      <w:r>
        <w:rPr>
          <w:rFonts w:ascii="Times New Roman" w:cs="Times New Roman" w:eastAsia="Times New Roman" w:hAnsi="Times New Roman"/>
          <w:sz w:val="20"/>
          <w:szCs w:val="20"/>
          <w:color w:val="000000"/>
        </w:rPr>
        <w:t>such as Verizon, AT&amp;T, and T-Mobile, have significantly greater pricing flexibility and</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 xml:space="preserve">have taken steps to compete or may decide to compete against us more aggressively. These and other competitors may own or acquire spectrum that directly competes with our 900 MHz spectrum and/or have developed </w:t>
      </w:r>
      <w:r>
        <w:rPr>
          <w:rFonts w:ascii="Times New Roman" w:cs="Times New Roman" w:eastAsia="Times New Roman" w:hAnsi="Times New Roman"/>
          <w:sz w:val="20"/>
          <w:szCs w:val="20"/>
          <w:color w:val="212529"/>
        </w:rPr>
        <w:t>or may develop technologies that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529"/>
        </w:rPr>
        <w:t>directly compete with our solutions. If competitors offer spectrum rights or services, technologies and solutions to our targeted customers at prices and terms that make the licensing of our spectrum assets unattractive, our ability to license or otherwise commercialize our spectrum assets could be impaired. As a result, we may be unable to attract sufficient customers at prices or on terms that would enable us to generate sufficient revenues to operate a profitable business, which would have an adverse effect on the growth, results of operations and prospects. In addition, we may not be able to fund or invest in certain areas of our business to the same degree as our competitors. Several have substantially greater product development and marketing budgets and other financial and regulatory personnel resources than we do. Several also have greater name and brand recognition and a larger base of customers than we have. Competition could increase our selling and marketing expenses and related customer acquisition costs. We may not have the financial resources, technical expertise or marketing and support capabilities to compete successfully.</w:t>
      </w:r>
    </w:p>
    <w:p>
      <w:pPr>
        <w:spacing w:after="0" w:line="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our results of operations and our business will be adversely affected.</w:t>
      </w:r>
    </w:p>
    <w:p>
      <w:pPr>
        <w:spacing w:after="0" w:line="13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12529"/>
        </w:rPr>
        <w:t>Our targeted customers are large, heavily-regulated enterprises and our business plan requires these customers to commit to enter into long-term lease transactions or to purchase our spectrum and then to purchase and deploy broadband network equipment, solutions and services utilizing our 900 MHz Broadband Spectrum. There are typically a number of constituencies within each of our targeted customers that need to review and approve the commercial agreements of our spectrum before signing a contract with us. As a result, we have experienced, and we expect to continue to experience, long sales cycles with our targeted customers. In addition, numerous other factors, many of which are out of our control, may now or in the future impact our ability to acquire new customers, including not gaining support from governmental bodies that regulate our customers, the ability of our customers to pass their broadband spectrum use and deployment costs to their ratepayers, our customers’ existing commitments to other providers or communication solutions, real or perceived costs of securing our spectrum assets and deploying broadband networks, solutions and services, our failure to expand, retain and motivate our sales and marketing personnel, our failure to develop or expand relationships with the manufacturers or suppliers of broadband technologies, solutions and services that can be utilized on our spectrum, negative media, industry or financial analyst commentary regarding us or our solutions, litigation, the spectrum and service offerings of our competitors, the adverse impacts geopolitical uncertainties, inflation, trade restrictions and tariffs and other adverse economic conditions and events. Any of these factors could impact our ability to attract new customers to lease or obtain rights to our spectrum assets. As a result of these and other factors, we may be unable to timely attract enough customers to support our costs and to generate profits, which would harm our business, results of operations, financial condition and prospects.</w:t>
      </w:r>
    </w:p>
    <w:p>
      <w:pPr>
        <w:spacing w:after="0" w:line="86" w:lineRule="exact"/>
        <w:rPr>
          <w:sz w:val="20"/>
          <w:szCs w:val="20"/>
          <w:color w:val="auto"/>
        </w:rPr>
      </w:pPr>
    </w:p>
    <w:p>
      <w:pPr>
        <w:ind w:right="260" w:firstLine="72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Our reputation and business may be harmed, and we may be subject to legal claims if there is loss, disclosure, or misappropriation of, or access to, our customers’ information.</w:t>
      </w:r>
    </w:p>
    <w:p>
      <w:pPr>
        <w:spacing w:after="0" w:line="52"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We make use of online services and centralized data processing, including through third-party service providers. The secure maintenance and transmission of customer information is an important element of our operations. Our information technology and other systems, and those of our service providers or contract partners, that maintain and transmit customer information, including location or personal information, may be compromised by a malicious third-party penetration of our network security, or that of our third-party service providers or contract partners, or impacted by unauthorized intentional or inadvertent actions or inactions by our employees, or by the employees of our third-party service providers or contract partners. Cyber-attacks, which include the use of malware, computer viruses and other means of disruption or unauthorized access, have increased in frequency, scope and potential harm in recent years. While, to date, we have not been subject to cyber-attacks or other cyber incidents which, individually or in the aggregate, have been material to our operations or financial condition, the preventive actions we and our third-party service providers and contract partners take to reduce the risk of cyber incidents and protect information technology resources and networks may be insufficient to repel a major cyber-attack in the future. As a result, our customers’ information may be lost, disclosed, accessed, used, corrupted, destroyed or taken without the customers’ consent. Any significant compromise of our data or network security, failure to prevent or mitigate the loss of customer information and delays in detecting any such compromise or loss could disrupt our operations, impact our reputation and subject us to additional costs and liabilities, including litigation, which could produce material and adverse effects on our business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350520</wp:posOffset>
                </wp:positionV>
                <wp:extent cx="65049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7.6pt" to="512.1pt,27.6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38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21</w:t>
      </w:r>
    </w:p>
    <w:p>
      <w:pPr>
        <w:sectPr>
          <w:pgSz w:w="12240" w:h="15840" w:orient="portrait"/>
          <w:cols w:equalWidth="0" w:num="1">
            <w:col w:w="10220"/>
          </w:cols>
          <w:pgMar w:left="1000" w:top="201" w:right="102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6" w:lineRule="exact"/>
        <w:rPr>
          <w:sz w:val="20"/>
          <w:szCs w:val="20"/>
          <w:color w:val="auto"/>
        </w:rPr>
      </w:pPr>
    </w:p>
    <w:p>
      <w:pPr>
        <w:ind w:right="100" w:firstLine="72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Macroeconomic and unfavorable market conditions, regulatory and policy changes, and ongoing wars and other geopolitical matters, may have an adverse impact on our business, financial results, stock price and results of operations as well as the business of our current and potential customers.</w:t>
      </w:r>
    </w:p>
    <w:p>
      <w:pPr>
        <w:spacing w:after="0" w:line="7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Recent wars and geopolitical disputes and regulatory and policy initiatives have created negative and uncertain macroeconomic conditions, and could result in adverse market conditions, decreases in per capita income and level of disposable income, increased inflation, rising interest rates and supply chain issues. Trade tensions or restrictions on free trade, including the tariffs imposed by the U.S. government and actions taken by other countries in response to these tariffs, could exacerbate these effects. Such conditions may adversely impact our business, financial results and prospects and our target customers’ businesses. 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w:t>
      </w:r>
    </w:p>
    <w:p>
      <w:pPr>
        <w:spacing w:after="0" w:line="128" w:lineRule="exact"/>
        <w:rPr>
          <w:sz w:val="20"/>
          <w:szCs w:val="20"/>
          <w:color w:val="auto"/>
        </w:rPr>
      </w:pPr>
    </w:p>
    <w:p>
      <w:pPr>
        <w:ind w:right="26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correctly estimate our operating expenses, future cash proceeds or future revenues, which could lead to cash shortfalls, and may prevent us from returning capital to our stockholders and require us to secure additional financing.</w:t>
      </w:r>
    </w:p>
    <w:p>
      <w:pPr>
        <w:spacing w:after="0" w:line="76" w:lineRule="exact"/>
        <w:rPr>
          <w:sz w:val="20"/>
          <w:szCs w:val="20"/>
          <w:color w:val="auto"/>
        </w:rPr>
      </w:pPr>
    </w:p>
    <w:p>
      <w:pPr>
        <w:ind w:right="120" w:firstLine="720"/>
        <w:spacing w:after="0" w:line="255" w:lineRule="auto"/>
        <w:rPr>
          <w:sz w:val="20"/>
          <w:szCs w:val="20"/>
          <w:color w:val="auto"/>
        </w:rPr>
      </w:pPr>
      <w:r>
        <w:rPr>
          <w:rFonts w:ascii="Times New Roman" w:cs="Times New Roman" w:eastAsia="Times New Roman" w:hAnsi="Times New Roman"/>
          <w:sz w:val="20"/>
          <w:szCs w:val="20"/>
          <w:color w:val="auto"/>
        </w:rPr>
        <w:t>We have expended and will need to continue to expend substantial resources for the foreseeable future, to commercialize our spectrum assets to our targeted utility and critical infrastructure customers. We also will need to expend substantial resources for the foreseeable future to qualify for and obtain broadband licenses, including the costs related to retuning incumbent systems, purchasing additional spectrum from incumbents and/or making Anti-Windfall Payments to the U.S. Treasury to commercialize our spectrum assets. We believe our cash and cash equivalents on hand, along with contracted proceeds from customers will be sufficient to meet our financial obligations through at least 12 months from the date of this filing.</w:t>
      </w:r>
    </w:p>
    <w:p>
      <w:pPr>
        <w:spacing w:after="0" w:line="90"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Our budgeted expense levels are based in part on our expectations and assumptions regarding the timing and costs to qualify for and obtain broadband licenses, the demand by our target customers to utilize our spectrum assets to deploy broadband networks, technologies and solutions and the time required to enter into binding contracts with our target customers. However, we may not correctly predict the amount or timing of our future contract proceeds, revenues and our operating expenses, which may fluctuate significantly in the future as a result of a variety of factors, many of which are outside of our control, and may be materially different than our announced plans and expectations. These factors include:</w:t>
      </w:r>
    </w:p>
    <w:p>
      <w:pPr>
        <w:spacing w:after="0" w:line="6" w:lineRule="exact"/>
        <w:rPr>
          <w:sz w:val="20"/>
          <w:szCs w:val="20"/>
          <w:color w:val="auto"/>
        </w:rPr>
      </w:pPr>
    </w:p>
    <w:p>
      <w:pPr>
        <w:ind w:left="900" w:right="600" w:hanging="370"/>
        <w:spacing w:after="0" w:line="250"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time required to obtain broadband licenses, including the costs to clear the 900 MHz band and to acquire additional spectrum from incumbents and/or to make Anti-Windfall Payments;</w:t>
      </w:r>
    </w:p>
    <w:p>
      <w:pPr>
        <w:ind w:left="900" w:hanging="370"/>
        <w:spacing w:after="0"/>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qualify for and utilize the Mandatory Retuning process established by the 2020 Report and Order;</w:t>
      </w:r>
    </w:p>
    <w:p>
      <w:pPr>
        <w:spacing w:after="0" w:line="1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5 x 5 MHz broadband licenses in accordance with the 2026 Report and Order;</w:t>
      </w:r>
    </w:p>
    <w:p>
      <w:pPr>
        <w:spacing w:after="0" w:line="1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negotiate agreements with the operators of Complex Systems;</w:t>
      </w:r>
    </w:p>
    <w:p>
      <w:pPr>
        <w:spacing w:after="0" w:line="10" w:lineRule="exact"/>
        <w:rPr>
          <w:rFonts w:ascii="Times New Roman" w:cs="Times New Roman" w:eastAsia="Times New Roman" w:hAnsi="Times New Roman"/>
          <w:sz w:val="20"/>
          <w:szCs w:val="20"/>
          <w:color w:val="auto"/>
        </w:rPr>
      </w:pPr>
    </w:p>
    <w:p>
      <w:pPr>
        <w:ind w:left="900" w:right="40" w:hanging="370"/>
        <w:spacing w:after="0" w:line="250"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time to promote, market and commercialize our spectrum assets, including the long sales cycle required to enter commercial arrangements with our targeted utility and critical infrastructure customers;</w:t>
      </w:r>
    </w:p>
    <w:p>
      <w:pPr>
        <w:ind w:left="900" w:right="220" w:hanging="370"/>
        <w:spacing w:after="0" w:line="250"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commercial terms, including the timing of payments, in our future commercial arrangements with our targeted customers;</w:t>
      </w:r>
    </w:p>
    <w:p>
      <w:pPr>
        <w:ind w:left="900" w:right="240" w:hanging="370"/>
        <w:spacing w:after="0" w:line="250"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associated with increasing the size of our organization, including the costs to attract and retain personnel with the skills required to support our business plans;</w:t>
      </w:r>
    </w:p>
    <w:p>
      <w:pPr>
        <w:ind w:left="900" w:right="420" w:hanging="370"/>
        <w:spacing w:after="0" w:line="250"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economic and market conditions, including as a result of inflation and trade restrictions and tariffs, that delay or otherwise hinder our commercialization efforts; and</w:t>
      </w:r>
    </w:p>
    <w:p>
      <w:pPr>
        <w:ind w:left="900" w:hanging="370"/>
        <w:spacing w:after="0"/>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funds we return to stockholders through our share repurchase program.</w:t>
      </w:r>
    </w:p>
    <w:p>
      <w:pPr>
        <w:spacing w:after="0" w:line="11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Our efforts to control and reduce our operating costs may not be successful. In addition, costs may arise that we currently do not anticipate and unanticipated events may occur that reduce the amounts and delay the timing of our future revenues. We may not be able to adjust our operations in a timely manner to compensate for any shortfall in our revenues, delays in obtaining broadband licenses, delays in entering commercial agreements for our spectrum or increases in the expenses required to secure broadband licenses and implement our commercialization and business plans.</w:t>
      </w:r>
    </w:p>
    <w:p>
      <w:pPr>
        <w:spacing w:after="0" w:line="8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Further, our assumptions regarding the terms of any spectrum transactions we enter into with our targeted customers, including the timing of customer payments, may turn out to be inaccurate. As a result, a significant shortfall in our planned revenues, a significant delay in obtaining broadband licenses, a delay in entering into agreements for our spectrum assets, future customers electing not to make significant pre-payments under the terms of any agreements we enter into or significant increases in our planned expenses could have an immediate and material adverse effect on our business, liquidity, results of operations and prospects. In such case, we may not be able to return capital to our stockholders through dividends or stock repurchases and may be required to issue additional equity or debt securities or enter into other commercial arrangements to secure the additional financial resources to support our future operations and the implementation of our business plans. Such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196215</wp:posOffset>
                </wp:positionV>
                <wp:extent cx="650494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5.45pt" to="512.1pt,15.45pt" o:allowincell="f" strokecolor="#000000" strokeweight="1pt"/>
            </w:pict>
          </mc:Fallback>
        </mc:AlternateContent>
      </w:r>
    </w:p>
    <w:p>
      <w:pPr>
        <w:spacing w:after="0" w:line="31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22</w:t>
      </w:r>
    </w:p>
    <w:p>
      <w:pPr>
        <w:sectPr>
          <w:pgSz w:w="12240" w:h="15840" w:orient="portrait"/>
          <w:cols w:equalWidth="0" w:num="1">
            <w:col w:w="10220"/>
          </w:cols>
          <w:pgMar w:left="1000" w:top="201" w:right="1020"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financing may result in dilution to stockholders, imposition of debt covenants and repayment obligations, or other restrictions that may adversely affect our business, prospects and results of operations. In addition, we may seek additional capital due to market conditions or strategic considerations even if we believe we have sufficient funds for our current or future operating plans.</w:t>
      </w:r>
    </w:p>
    <w:p>
      <w:pPr>
        <w:spacing w:after="0" w:line="74" w:lineRule="exact"/>
        <w:rPr>
          <w:sz w:val="20"/>
          <w:szCs w:val="20"/>
          <w:color w:val="auto"/>
        </w:rPr>
      </w:pPr>
    </w:p>
    <w:p>
      <w:pPr>
        <w:ind w:right="88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a unique business model, and our business activities, strategic approaches and plans may not be successful.</w:t>
      </w:r>
    </w:p>
    <w:p>
      <w:pPr>
        <w:spacing w:after="0" w:line="5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Our business is reliant on our ability to secure broadband licenses pursuant to the Report and Order and to commercialize our spectrum assets to our targeted utility and critical infrastructure customers. Since the 2020 Report and Order, we have signed commercial agreements with eleven of our target utility customers for the long-term lease or the sale of our spectrum assets. Although we are in discussions with other utilities and critical infrastructure companies, and we believe many of these utility and critical infrastructure customers have demonstrated an intention to acquire use of our 900 MHz Broadband Spectrum based on their level of engagement, there is no assurance that these discussions will continue to progress or will eventually result in contracts with these entities. There also is no assurance regarding the terms of any agreements we enter into with our target customers, including the time required to enter into an agreement and the amount or timing of any payments from any executed agreement. In addition, there is no assurance that we will be able to satisfy our obligations under our commercial agreements, including our obligations to secure broadband licenses on a timely basis and on commercially reasonable terms, or at all. As a result, there is no assurance that we will be successful in our efforts to commercialize our spectrum assets and other service offerings. Further, our ability to forecast our future operating results is limited and subject to a number of risks and uncertainties, including our ability to accurately forecast and estimate our future revenues and the expenses and time required to obtain broadband licenses and pursue our commercialization plans. We have encountered, and expect to continue to encounter, risks and uncertainties frequently experienced by businesses with unique business models that operate in highly competitive, technical and rapidly changing markets. If our assumptions regarding these risks and uncertainties are incorrect, or if there are adverse changes in our commercialization plans or opportunities or general economic conditions, or if we do not manage or address these risks and uncertainties successfully, our results of operations could differ materially and adversely from our expectations.</w:t>
      </w:r>
    </w:p>
    <w:p>
      <w:pPr>
        <w:spacing w:after="0" w:line="92" w:lineRule="exact"/>
        <w:rPr>
          <w:sz w:val="20"/>
          <w:szCs w:val="20"/>
          <w:color w:val="auto"/>
        </w:rPr>
      </w:pPr>
    </w:p>
    <w:p>
      <w:pPr>
        <w:ind w:right="400" w:firstLine="720"/>
        <w:spacing w:after="0" w:line="260" w:lineRule="auto"/>
        <w:rPr>
          <w:sz w:val="20"/>
          <w:szCs w:val="20"/>
          <w:color w:val="auto"/>
        </w:rPr>
      </w:pPr>
      <w:r>
        <w:rPr>
          <w:rFonts w:ascii="Times New Roman" w:cs="Times New Roman" w:eastAsia="Times New Roman" w:hAnsi="Times New Roman"/>
          <w:sz w:val="20"/>
          <w:szCs w:val="20"/>
          <w:color w:val="auto"/>
        </w:rPr>
        <w:t>As a business with a unique business model, our future success will depend, in large part, on our ability to, among other things:</w:t>
      </w:r>
    </w:p>
    <w:p>
      <w:pPr>
        <w:spacing w:after="0" w:line="2" w:lineRule="exact"/>
        <w:rPr>
          <w:sz w:val="20"/>
          <w:szCs w:val="20"/>
          <w:color w:val="auto"/>
        </w:rPr>
      </w:pPr>
    </w:p>
    <w:p>
      <w:pPr>
        <w:ind w:left="900" w:right="320" w:hanging="370"/>
        <w:spacing w:after="0" w:line="250"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requirements and restrictions the FCC has established in the Report and Order to qualify for and obtain broadband licenses in key geographic areas on a timely and cost-effective basis;</w:t>
      </w:r>
    </w:p>
    <w:p>
      <w:pPr>
        <w:ind w:left="900" w:right="620" w:hanging="370"/>
        <w:spacing w:after="0" w:line="250"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commercialize our spectrum assets to our targeted utility and critical infrastructure customers on favorable terms and on a timely basis;</w:t>
      </w:r>
    </w:p>
    <w:p>
      <w:pPr>
        <w:ind w:left="900" w:right="100" w:hanging="370"/>
        <w:spacing w:after="0" w:line="250"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our obligations under our existing and any future agreements with our customers on a timely basis and on commercially reasonable terms;</w:t>
      </w:r>
    </w:p>
    <w:p>
      <w:pPr>
        <w:ind w:left="900" w:right="20" w:hanging="370"/>
        <w:spacing w:after="0" w:line="250"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compete against the purchaser of T-Mobile’s 800 MHz spectrum and other wireless companies, such as Verizon, AT&amp;T, and T-Mobile, and telecommunication manufacturers and vendors, many of whom have significantly greater resources and pricing flexibility, long-term relationships with our targeted customers and greater political and regulatory influence;</w:t>
      </w:r>
    </w:p>
    <w:p>
      <w:pPr>
        <w:spacing w:after="0" w:line="1" w:lineRule="exact"/>
        <w:rPr>
          <w:rFonts w:ascii="Times New Roman" w:cs="Times New Roman" w:eastAsia="Times New Roman" w:hAnsi="Times New Roman"/>
          <w:sz w:val="20"/>
          <w:szCs w:val="20"/>
          <w:color w:val="auto"/>
        </w:rPr>
      </w:pPr>
    </w:p>
    <w:p>
      <w:pPr>
        <w:jc w:val="both"/>
        <w:ind w:left="900" w:hanging="370"/>
        <w:spacing w:after="0" w:line="250"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convince chipmakers and other technology, product and solution manufacturers and vendors to continue to offer or to develop the technology, products and solutions required to satisfy our customers’ various use cases and meet the technical specifications established in the Report and Order; and</w:t>
      </w:r>
    </w:p>
    <w:p>
      <w:pPr>
        <w:spacing w:after="0" w:line="1" w:lineRule="exact"/>
        <w:rPr>
          <w:rFonts w:ascii="Times New Roman" w:cs="Times New Roman" w:eastAsia="Times New Roman" w:hAnsi="Times New Roman"/>
          <w:sz w:val="20"/>
          <w:szCs w:val="20"/>
          <w:color w:val="auto"/>
        </w:rPr>
      </w:pPr>
    </w:p>
    <w:p>
      <w:pPr>
        <w:ind w:left="900" w:right="100" w:hanging="370"/>
        <w:spacing w:after="0" w:line="260"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manage our internal business, regulatory, technical and commercial operations in an efficient and cost-effective manner.</w:t>
      </w:r>
    </w:p>
    <w:p>
      <w:pPr>
        <w:spacing w:after="0" w:line="82" w:lineRule="exact"/>
        <w:rPr>
          <w:sz w:val="20"/>
          <w:szCs w:val="20"/>
          <w:color w:val="auto"/>
        </w:rPr>
      </w:pPr>
    </w:p>
    <w:p>
      <w:pPr>
        <w:ind w:right="300" w:firstLine="720"/>
        <w:spacing w:after="0" w:line="281" w:lineRule="auto"/>
        <w:rPr>
          <w:sz w:val="20"/>
          <w:szCs w:val="20"/>
          <w:color w:val="auto"/>
        </w:rPr>
      </w:pPr>
      <w:r>
        <w:rPr>
          <w:rFonts w:ascii="Times New Roman" w:cs="Times New Roman" w:eastAsia="Times New Roman" w:hAnsi="Times New Roman"/>
          <w:sz w:val="20"/>
          <w:szCs w:val="20"/>
          <w:color w:val="212529"/>
        </w:rPr>
        <w:t>Any failure to achieve one or more of these objectives could adversely affect our business, our results of operations and our financial condition.</w:t>
      </w:r>
    </w:p>
    <w:p>
      <w:pPr>
        <w:spacing w:after="0" w:line="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have had net losses most years since our inception and may not achieve or maintain profitability in the future.</w:t>
      </w:r>
    </w:p>
    <w:p>
      <w:pPr>
        <w:spacing w:after="0" w:line="139"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212529"/>
        </w:rPr>
        <w:t>We have incurred net losses most years since our inception and we may not achieve or maintain profitability in the future for a number of reasons, including without limitation, the costs to obtain broadband licenses, including the costs to clear the 900 MHz band, the costs to promote and commercialize our spectrum assets to our targeted utility and critical infrastructure customers, our inability to commercialize our spectrum assets to our targeted utility and critical infrastructure customers on a timely basis and on commercially favorable terms and changes in our revenue recognition policies. Additionally, we may encounter unforeseen operating expenses, difficulties, complications, delays and other unknown factors that may result in significant delays in our commercialization efforts, levels of revenue below our current expectations, or losses or expenses that exceed our current expectations. If our losses or expenses exceed our expectations or our revenue assumptions are not met in future periods, we may never achieve or maintain profitability in the future.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422910</wp:posOffset>
                </wp:positionV>
                <wp:extent cx="650494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0">
                          <a:solidFill>
                            <a:srgbClr val="212529"/>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3.3pt" to="512.1pt,33.3pt" o:allowincell="f" strokecolor="#212529" strokeweight="0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422910</wp:posOffset>
                </wp:positionV>
                <wp:extent cx="650494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3.3pt" to="512.1pt,33.3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23</w:t>
      </w:r>
    </w:p>
    <w:p>
      <w:pPr>
        <w:sectPr>
          <w:pgSz w:w="12240" w:h="15840" w:orient="portrait"/>
          <w:cols w:equalWidth="0" w:num="1">
            <w:col w:w="10240"/>
          </w:cols>
          <w:pgMar w:left="1000" w:top="201" w:right="100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ind w:right="10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net operating losses (</w:t>
      </w:r>
      <w:r>
        <w:rPr>
          <w:rFonts w:ascii="Times New Roman" w:cs="Times New Roman" w:eastAsia="Times New Roman" w:hAnsi="Times New Roman"/>
          <w:sz w:val="20"/>
          <w:szCs w:val="20"/>
          <w:b w:val="1"/>
          <w:bCs w:val="1"/>
          <w:color w:val="212529"/>
        </w:rPr>
        <w:t>“</w:t>
      </w:r>
      <w:r>
        <w:rPr>
          <w:rFonts w:ascii="Times New Roman" w:cs="Times New Roman" w:eastAsia="Times New Roman" w:hAnsi="Times New Roman"/>
          <w:sz w:val="20"/>
          <w:szCs w:val="20"/>
          <w:b w:val="1"/>
          <w:bCs w:val="1"/>
          <w:i w:val="1"/>
          <w:iCs w:val="1"/>
          <w:color w:val="auto"/>
        </w:rPr>
        <w:t>NOLs</w:t>
      </w:r>
      <w:r>
        <w:rPr>
          <w:rFonts w:ascii="Times New Roman" w:cs="Times New Roman" w:eastAsia="Times New Roman" w:hAnsi="Times New Roman"/>
          <w:sz w:val="20"/>
          <w:szCs w:val="20"/>
          <w:b w:val="1"/>
          <w:bCs w:val="1"/>
          <w:color w:val="212529"/>
        </w:rPr>
        <w:t>”</w:t>
      </w:r>
      <w:r>
        <w:rPr>
          <w:rFonts w:ascii="Times New Roman" w:cs="Times New Roman" w:eastAsia="Times New Roman" w:hAnsi="Times New Roman"/>
          <w:sz w:val="20"/>
          <w:szCs w:val="20"/>
          <w:b w:val="1"/>
          <w:bCs w:val="1"/>
          <w:i w:val="1"/>
          <w:iCs w:val="1"/>
          <w:color w:val="auto"/>
        </w:rPr>
        <w:t>) are subject to certain restrictions and limitations, which may reduce our ability to use such NOLs in offsetting our future taxable income.</w:t>
      </w:r>
    </w:p>
    <w:p>
      <w:pPr>
        <w:spacing w:after="0" w:line="5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212529"/>
        </w:rPr>
        <w:t xml:space="preserve">As of </w:t>
      </w:r>
      <w:r>
        <w:rPr>
          <w:rFonts w:ascii="Times New Roman" w:cs="Times New Roman" w:eastAsia="Times New Roman" w:hAnsi="Times New Roman"/>
          <w:sz w:val="20"/>
          <w:szCs w:val="20"/>
          <w:color w:val="000000"/>
        </w:rPr>
        <w:t>March 31, 2026</w:t>
      </w:r>
      <w:r>
        <w:rPr>
          <w:rFonts w:ascii="Times New Roman" w:cs="Times New Roman" w:eastAsia="Times New Roman" w:hAnsi="Times New Roman"/>
          <w:sz w:val="20"/>
          <w:szCs w:val="20"/>
          <w:color w:val="212529"/>
        </w:rPr>
        <w:t xml:space="preserve">, we had approximately </w:t>
      </w:r>
      <w:r>
        <w:rPr>
          <w:rFonts w:ascii="Times New Roman" w:cs="Times New Roman" w:eastAsia="Times New Roman" w:hAnsi="Times New Roman"/>
          <w:sz w:val="20"/>
          <w:szCs w:val="20"/>
          <w:color w:val="000000"/>
        </w:rPr>
        <w:t>$194.2 million</w:t>
      </w:r>
      <w:r>
        <w:rPr>
          <w:rFonts w:ascii="Times New Roman" w:cs="Times New Roman" w:eastAsia="Times New Roman" w:hAnsi="Times New Roman"/>
          <w:sz w:val="20"/>
          <w:szCs w:val="20"/>
          <w:color w:val="212529"/>
        </w:rPr>
        <w:t xml:space="preserve"> in federal NOL carryforwards that can be carried forward indefinitely but are limited to 80% of future taxable income when used. In the United States, the utilization of our NOL carryforwards may be subject to a substantial annual limitations under Section 382 of the Internal Revenue Code of 1986, as amended (the “Code”), and similar state provisions due to ownership change limitations that have occurred previously or that could occur in the future. If we were to lose the benefits of these NOL carryforwards, our future earnings and cash resources would be materially and adversely affected. We have mainly incurred net losses since our inception, and we anticipate that we will continue to incur significant losses for the foreseeable future; thus, we do not know whether or when we will generate the U.S. federal taxable income necessary to utilize our NOLs.</w:t>
      </w:r>
    </w:p>
    <w:p>
      <w:pPr>
        <w:spacing w:after="0" w:line="84" w:lineRule="exact"/>
        <w:rPr>
          <w:sz w:val="20"/>
          <w:szCs w:val="20"/>
          <w:color w:val="auto"/>
        </w:rPr>
      </w:pPr>
    </w:p>
    <w:p>
      <w:pPr>
        <w:ind w:right="8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value of our spectrum assets may fluctuate significantly based on supply and demand, as well as technical and regulatory changes.</w:t>
      </w:r>
    </w:p>
    <w:p>
      <w:pPr>
        <w:spacing w:after="0" w:line="57"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auto"/>
        </w:rPr>
        <w:t>The FCC spectrum licenses we hold are our most valuable asset. The value of our spectrum, however, may fluctuate based on various factors, including, among others:</w:t>
      </w:r>
    </w:p>
    <w:p>
      <w:pPr>
        <w:spacing w:after="0" w:line="2" w:lineRule="exact"/>
        <w:rPr>
          <w:sz w:val="20"/>
          <w:szCs w:val="20"/>
          <w:color w:val="auto"/>
        </w:rPr>
      </w:pPr>
    </w:p>
    <w:p>
      <w:pPr>
        <w:ind w:left="720" w:right="8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time required to comply with the FCC’s requirements to obtain broadband licenses in the 900 MHz band, including purchasing additional spectrum and retuning and relocating incumbents;</w:t>
      </w:r>
    </w:p>
    <w:p>
      <w:pPr>
        <w:ind w:left="720" w:right="18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enter long-term leases or sales agreements with our targeted utility and critical infrastructure customers on a timely basis and on commercially reasonable terms;</w:t>
      </w: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uses of our spectrum based on the Report and Order and available technology;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availability of, and demand for, broadband spectrum;</w:t>
      </w:r>
    </w:p>
    <w:p>
      <w:pPr>
        <w:spacing w:after="0" w:line="10" w:lineRule="exact"/>
        <w:rPr>
          <w:rFonts w:ascii="Times New Roman" w:cs="Times New Roman" w:eastAsia="Times New Roman" w:hAnsi="Times New Roman"/>
          <w:sz w:val="20"/>
          <w:szCs w:val="20"/>
          <w:color w:val="auto"/>
        </w:rPr>
      </w:pPr>
    </w:p>
    <w:p>
      <w:pPr>
        <w:ind w:left="720" w:right="32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supply of broadband spectrum made available to our targeted customers by existing wireless carriers, including broadband spectrum offered to our customers by the buyer of T-Mobile’s 800 MHz spectrum;</w:t>
      </w:r>
    </w:p>
    <w:p>
      <w:pPr>
        <w:ind w:left="720" w:right="106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private broadband networks, technologies and solutions by our targeted utility and critical infrastructure customers; and</w:t>
      </w:r>
    </w:p>
    <w:p>
      <w:pPr>
        <w:ind w:left="720" w:right="380" w:hanging="370"/>
        <w:spacing w:after="0" w:line="26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by the FCC to make additional spectrum available or to promote more flexible uses of existing spectrum in other bands.</w:t>
      </w:r>
    </w:p>
    <w:p>
      <w:pPr>
        <w:spacing w:after="0" w:line="82" w:lineRule="exact"/>
        <w:rPr>
          <w:sz w:val="20"/>
          <w:szCs w:val="20"/>
          <w:color w:val="auto"/>
        </w:rPr>
      </w:pPr>
    </w:p>
    <w:p>
      <w:pPr>
        <w:ind w:right="100" w:firstLine="720"/>
        <w:spacing w:after="0" w:line="286" w:lineRule="auto"/>
        <w:rPr>
          <w:sz w:val="20"/>
          <w:szCs w:val="20"/>
          <w:color w:val="auto"/>
        </w:rPr>
      </w:pPr>
      <w:r>
        <w:rPr>
          <w:rFonts w:ascii="Times New Roman" w:cs="Times New Roman" w:eastAsia="Times New Roman" w:hAnsi="Times New Roman"/>
          <w:sz w:val="19"/>
          <w:szCs w:val="19"/>
          <w:color w:val="auto"/>
        </w:rPr>
        <w:t>Similarly, the price of any additional spectrum we desire to purchase to enable us to qualify for broadband licenses or our future business plans will also fluctuate based on similar factors. Any decline in the value of our spectrum or increases in the cost of the spectrum we acquire could have an adverse effect on our market value and our business and operating results.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Use of Our Spectrum</w:t>
      </w:r>
    </w:p>
    <w:p>
      <w:pPr>
        <w:spacing w:after="0" w:line="128" w:lineRule="exact"/>
        <w:rPr>
          <w:sz w:val="20"/>
          <w:szCs w:val="20"/>
          <w:color w:val="auto"/>
        </w:rPr>
      </w:pPr>
    </w:p>
    <w:p>
      <w:pPr>
        <w:jc w:val="both"/>
        <w:ind w:right="480" w:firstLine="7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Our plans to commercialize our 900 MHz spectrum assets depend on our ability to continue to qualify for and obtain broadband licenses from the FCC requirements. If we are unable to continue to obtain broadband licenses on a timely basis, our business, liquidity, results of operations and prospects will be materially adversely affected.</w:t>
      </w:r>
    </w:p>
    <w:p>
      <w:pPr>
        <w:spacing w:after="0" w:line="70" w:lineRule="exact"/>
        <w:rPr>
          <w:sz w:val="20"/>
          <w:szCs w:val="20"/>
          <w:color w:val="auto"/>
        </w:rPr>
      </w:pPr>
    </w:p>
    <w:p>
      <w:pPr>
        <w:ind w:firstLine="720"/>
        <w:spacing w:after="0" w:line="265" w:lineRule="auto"/>
        <w:rPr>
          <w:sz w:val="20"/>
          <w:szCs w:val="20"/>
          <w:color w:val="auto"/>
        </w:rPr>
      </w:pPr>
      <w:r>
        <w:rPr>
          <w:rFonts w:ascii="Times New Roman" w:cs="Times New Roman" w:eastAsia="Times New Roman" w:hAnsi="Times New Roman"/>
          <w:sz w:val="19"/>
          <w:szCs w:val="19"/>
          <w:color w:val="auto"/>
        </w:rPr>
        <w:t>Our plans to commercialize our 900 MHz spectrum assets depend on our ability to continue to obtain broadband licenses in accordance with the FCC requirements, including three general eligibility requirements to obtain a broadband license, which we refer to herein as (i) the “50% Licensed Spectrum Test,” (ii) the “90% Broadband Segment Test” or the 5 x 5 Broadband Segment Test and (iii) the “240 or 399 Channel Requirement.” We need to satisfy all eligibility requirements in each county in the United States for which we desire to obtain a broadband license. Under the 50% Licensed Spectrum Test, we must demonstrate that we hold more than 50% of the licensed channels in the 900 MHz band in the applicable county. Under the 90% Broadband Segment Test, we must provide the FCC with a plan demonstrating that we hold, will protect, or have agreements with Covered Incumbents for, at least 90% of the licensed channels in the 6 MHz broadband segment designated by the FCC and within 70 miles of the county boundary. The 5 x 5 Broadband Segment Test, is similar to the corresponding 3 x 3 broadband licensing rules of the 2020 Report and Order with the exception that prospective 5 x 5 broadband licensees must hold, have agreements with or protect Covered Incumbents for 100% of Covered Incumbents in the narrowband segments. Anterix may invoke Mandatory Retuning of channels in the 3 x 3 MHz broadband segment held by those licensees. under the 240 MHz Channel Requirement, but we must surrender 6 MHz (240 channels) or 10 MHz (399 channels) of broadband or narrowband spectrum in the applicable county to the FCC. If we do not have a sufficient number of channels to satisfy any of these eligibility requirements, we will be required to purchase the additional channels from incumbents in privately negotiated transactions, swap channels with incumbents (including any required retuning of the incumbent radio systems), demonstrate the ability to protect Covered Incumbents or pay for the deficiency by making an Anti-Windfall Payment. The amount of spectrum we will be required to purchase and/or swap and the amount of any Anti-Windfall Payment will vary in each county based on our existing spectrum holdings in such county. Our ability to acquire and/or swap the additional spectrum necessary to secure broadband licenses in a desired county on a timely and cost-effective basis will depend on the incumbents who hold the additional spectrum we need to acquire or swap and their operations that we may need to retune or replace. Obtaining the required spectrum to qualify for broadband licenses in a particular county may take longer and be more expensive than we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349250</wp:posOffset>
                </wp:positionV>
                <wp:extent cx="65049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7.5pt" to="512.1pt,27.5pt" o:allowincell="f" strokecolor="#000000" strokeweight="1pt"/>
            </w:pict>
          </mc:Fallback>
        </mc:AlternateContent>
      </w:r>
    </w:p>
    <w:p>
      <w:pPr>
        <w:spacing w:after="0" w:line="200" w:lineRule="exact"/>
        <w:rPr>
          <w:sz w:val="20"/>
          <w:szCs w:val="20"/>
          <w:color w:val="auto"/>
        </w:rPr>
      </w:pPr>
    </w:p>
    <w:p>
      <w:pPr>
        <w:spacing w:after="0" w:line="35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24</w:t>
      </w:r>
    </w:p>
    <w:p>
      <w:pPr>
        <w:sectPr>
          <w:pgSz w:w="12240" w:h="15840" w:orient="portrait"/>
          <w:cols w:equalWidth="0" w:num="1">
            <w:col w:w="10220"/>
          </w:cols>
          <w:pgMar w:left="1000" w:top="201" w:right="1020"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currently anticipate. In addition, as discussed in more detail below, incumbents may elect not to sell or swap their existing channels on reasonable terms, or at all, and until we obtain a broadband license from the FCC, we will not be able to utilize the Mandatory Retuning procedures, which apply only to channels in the 3 x 3 MHz broadband segment and not to channels in the two narrowband segments. If we are unable to continue to obtain broadband licenses on favorable terms and on a timely basis, our business, liquidity, results of operations and prospects will be materially adversely affected. In addition, significant costs or delays beyond what we have anticipated in our business plan will further delay us from commercializing our spectrum assets, may prevent us from returning capital to stockholders (through dividends or stock repurchases), and require us to seek additional sources of capital and liquidity in order to carry out our business and plans, which could cause significant dilution to our existing stockholders. See the risk factor entitled “</w:t>
      </w:r>
      <w:r>
        <w:rPr>
          <w:rFonts w:ascii="Times New Roman" w:cs="Times New Roman" w:eastAsia="Times New Roman" w:hAnsi="Times New Roman"/>
          <w:sz w:val="20"/>
          <w:szCs w:val="20"/>
          <w:b w:val="1"/>
          <w:bCs w:val="1"/>
          <w:i w:val="1"/>
          <w:iCs w:val="1"/>
          <w:color w:val="auto"/>
        </w:rPr>
        <w:t>We may not be able to correctly estimate our operating expenses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future revenues, which could lead to cash shortfalls, and may prevent us from returning capital to our stockholders and require us to secure additional financing</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ind w:right="54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voluntary exchange process established by the FCC in the Report and Order may not allow us to clear or relocate incumbents in certain counties in a timely manner and on commercially reasonable terms, or at all.</w:t>
      </w:r>
    </w:p>
    <w:p>
      <w:pPr>
        <w:spacing w:after="0" w:line="57"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The Report and Order established a market-driven, voluntary exchange process for clearing the channels in the 3 x 3 MHz broadband segment. When we apply for a 3 x 3 broadband license, we will need to demonstrate that we satisfy the 90% Broadband Segment Test to obtain a 3 x 3 broadband license or the 5 x 5 Broadband Segment Test (which requires agreements with 100% of the Covered Incumbents) for a 5 x 5 broadband license. The fact that we will need to account for 90% of the licensed channels in the broadband segment before we can file for a broadband application, can lead to holdouts by Covered Incumbents. For example, a Covered Incumbent may demand compensation in an amount that is disproportionate to the cost of relocating its system or any reasonable reflection of the value of its spectrum holdings or may elect not to negotiate an agreement at all. There is no assurance, however, that we can swap or acquire sufficient channels, including purchasing additional spectrum, swapping spectrum or entering into protective agreements with Covered Incumbents, to satisfy the 90% Broadband Segment Test or the 5 x 5 Broadband Segment Test in all counties on a timely basis and on commercially reasonable terms, or at all. Further, even if we satisfy the 90% Broadband Segment Test, as part of the Mandatory Retuning process we may be required to pay any costs associated with providing Covered Incumbents with comparable facilities and paying relocation costs.</w:t>
      </w:r>
    </w:p>
    <w:p>
      <w:pPr>
        <w:spacing w:after="0" w:line="88"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In addition, the FCC has exempted channels from the Mandatory Retuning process that are being utilized by incumbents operating Complex Systems. The FCC exempted Complex Systems from the Mandatory Retuning requirements because retuning these systems could be complex and disruptive to the incumbent operators. Complex Systems are located in some of the largest business and population centers in the United States. Most are operated by electric utilities, including some utilities that actively opposed our 900 MHz Broadband Spectrum initiatives that resulted in the Report and Order. This exemption may prevent us from obtaining broadband licenses in counties where these Complex Systems are located (or if a Complex System is being operated within 70 miles of a county boundary for which we are attempting to obtain a broadband license) without the incumbent’s consent, which could be withheld for any reason, or for no reason. As a result, the incumbents operating Complex Systems can make demands that are not commercially reasonable (including the commercial terms to obtain the use of our spectrum), delay their decision or refuse to negotiate with us altogether. Our inability to obtain broadband licenses in counties where Complex Systems are currently being operated (or are being operated within 70 miles of a county boundary for which we are attempting to obtain a broadband license) could have a material adverse effect on our operations and business plan, our future prospects and opportunities and on our ability to develop a profitable business.</w:t>
      </w:r>
    </w:p>
    <w:p>
      <w:pPr>
        <w:spacing w:after="0" w:line="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members of the AAR may delay our ability to commercialize broadband licenses.</w:t>
      </w:r>
    </w:p>
    <w:p>
      <w:pPr>
        <w:spacing w:after="0" w:line="136" w:lineRule="exact"/>
        <w:rPr>
          <w:sz w:val="20"/>
          <w:szCs w:val="20"/>
          <w:color w:val="auto"/>
        </w:rPr>
      </w:pPr>
    </w:p>
    <w:p>
      <w:pPr>
        <w:jc w:val="both"/>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AAR holds a nationwide geographic license for the 900 MHz A Block and is not subject to Mandatory Retuning Relocation from that spectrum must be on a voluntary basis and a failure to reach an agreement regarding the relocation to 220 MHz could prevent issuance of a 5 x 5 MHz broadband license in any county. We recognized from the outset of the 900 MHz proceedings the importance of reaching agreements with the railroads about their relocation and worked with them throughout the FCC process.</w:t>
      </w:r>
    </w:p>
    <w:p>
      <w:pPr>
        <w:spacing w:after="0" w:line="75" w:lineRule="exact"/>
        <w:rPr>
          <w:sz w:val="20"/>
          <w:szCs w:val="20"/>
          <w:color w:val="auto"/>
        </w:rPr>
      </w:pPr>
    </w:p>
    <w:p>
      <w:pPr>
        <w:ind w:right="22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customers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initiatives with the federal and state agencies and commissions that regulate electric utilities may not be successful, which may impact our commercialization efforts.</w:t>
      </w:r>
    </w:p>
    <w:p>
      <w:pPr>
        <w:spacing w:after="0" w:line="57"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auto"/>
        </w:rPr>
        <w:t>Our targeted utility and critical infrastructure customers are highly regulated by both federal and state agencies. Electrical utilities, for example, are regulated by federal agencies including the Department of Energy, the Department of Homeland Security, the Federal Energy Regulatory Commission and the NIST. We are working with each of these agencies to educate them about the potential benefits that private broadband LTE networks, technologies and solutions utilizing our spectrum assets can offer utilities. We are also working with state agencies and commissions who regulate the electrical utilities in their respective states, and who have a strong influence over electric utility buying decisions in their jurisdictions. Our goal with these state agencies and commissions is to gain their support for allowing utilities to pass the capital costs of leasing or purchasing our spectrum assets and deploying private broadband LTE networks, technologies and solutions to ratepayers,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184150</wp:posOffset>
                </wp:positionV>
                <wp:extent cx="65049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4.5pt" to="512.1pt,14.5pt" o:allowincell="f" strokecolor="#000000" strokeweight="1pt"/>
            </w:pict>
          </mc:Fallback>
        </mc:AlternateContent>
      </w:r>
    </w:p>
    <w:p>
      <w:pPr>
        <w:spacing w:after="0" w:line="29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25</w:t>
      </w:r>
    </w:p>
    <w:p>
      <w:pPr>
        <w:sectPr>
          <w:pgSz w:w="12240" w:h="15840" w:orient="portrait"/>
          <w:cols w:equalWidth="0" w:num="1">
            <w:col w:w="10220"/>
          </w:cols>
          <w:pgMar w:left="1000" w:top="201" w:right="1020"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including at a customary rate of return for the utility company. To date, these initiatives have been successful with certain states in which our customers operate. We may not be successful, however, in gaining support from all of the governmental bodies that regulate our existing and future customers on a timely basis, or at all, which could hinder or delay our commercialization efforts with utilities and other entities. If we do not gain support from these governmental bodies, our targeted critical infrastructure customers may not find it commercially feasible to lease or buy our spectrum assets.</w:t>
      </w:r>
    </w:p>
    <w:p>
      <w:pPr>
        <w:spacing w:after="0" w:line="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maintain any broadband licenses that we own and/or obtain from the FCC.</w:t>
      </w:r>
    </w:p>
    <w:p>
      <w:pPr>
        <w:spacing w:after="0" w:line="136"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FCC issues each spectrum license for a fixed period, typically ten years in the case of the FCC licenses for the narrowband spectrum we currently hold and 15 years for any broadband licenses we have or intend to secure in the future. The 2020 Report and Order established “performance” or build-out requirements that we will be required to meet to retain and renew any broadband licenses we obtain (“Build-out Requirements”). Performance will be measured at the six- and twelve-year anniversaries of each broadband license. The 2026 Report and Order has a specific buildout provision for licensees that expand from a 3 x 3 MHz to a 5 x 5 MHz broadband license. In general and depending on where they are in their 3 x 3 MHz buildout schedule, their deadlines for 5 x 5 MHz deployment will be extended by two years. Licenses will control the timing of when they apply to expand from a 3 x 3 MHz to a 5 x 5 MHz broadband license to coincide with their deployment progress and ability to meet modified buildout deadlines. Although we have contractual rights and remedies with our licensees in the event of their failure to meet the Build-Out Requirements, a failure to satisfy the six-year anniversary requirement accelerates the twelve-year anniversary to a ten-year anniversary requirement. A failure to satisfy these requirements could result in the FCC’s termination of a broadband license or refusal to renew a previously issued broadband license. In addition, under our business plan, we intend for our customers to be responsible to pay the build-out and operating costs of such broadband systems. Such Build-Out Requirements could impose a significant expense and could cause potential customers to decide not to license broadband licenses from us, or to seek alternative communication solutions from other providers. Additionally, if the customer fails to satisfy these requirements, we have the step in rights to meet the Build-Out Requirements which could impose a significant expense on our business.</w:t>
      </w:r>
    </w:p>
    <w:p>
      <w:pPr>
        <w:spacing w:after="0" w:line="86" w:lineRule="exact"/>
        <w:rPr>
          <w:sz w:val="20"/>
          <w:szCs w:val="20"/>
          <w:color w:val="auto"/>
        </w:rPr>
      </w:pPr>
    </w:p>
    <w:p>
      <w:pPr>
        <w:ind w:right="70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any narrowband licenses that we own and/or obtain from the FCC or other licensees.</w:t>
      </w:r>
    </w:p>
    <w:p>
      <w:pPr>
        <w:spacing w:after="0" w:line="57"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The FCC issues each spectrum license for a fixed period, typically ten years in the case of the FCC licenses for the narrowband spectrum we currently hold or intend to secure in the future. Our narrowband licenses are necessary for us to meet the eligibility requirements of becoming a broadband licensee and hence to obtain a broadband license. Narrowband licenses that have met their construction requirements must be renewed prior to their expiration date. These renewals are subject to continued certification that they are constructed and operational. Although we have contractual rights with site owners and operators, a failure to maintain these operations could occur outside of our control. A failure to satisfy these requirements could result in the FCC’s termination of a narrowband license or refusal to renew a previously issued narrowband license.</w:t>
      </w:r>
    </w:p>
    <w:p>
      <w:pPr>
        <w:spacing w:after="0" w:line="80" w:lineRule="exact"/>
        <w:rPr>
          <w:sz w:val="20"/>
          <w:szCs w:val="20"/>
          <w:color w:val="auto"/>
        </w:rPr>
      </w:pPr>
    </w:p>
    <w:p>
      <w:pPr>
        <w:ind w:right="38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Government regulations or actions taken by governmental bodies could adversely affect our business prospects, liquidity and results of operations, including any changes by the FCC to the Report and Order or to the FCC rules and regulations governing the 900 MHz band.</w:t>
      </w:r>
    </w:p>
    <w:p>
      <w:pPr>
        <w:spacing w:after="0" w:line="76"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The leasing and sale of spectrum licenses, as well as the deployment and operation of wireless networks and technologies, are regulated by the FCC and, depending on the jurisdiction, by state and local regulatory agencies. In particular, the FCC imposes significant regulation on licensees of wireless spectrum with respect to how FCC licenses may be transferred or sold. The FCC also regulates how the spectrum is used by licensees, the nature of the services that licensees may offer and how the services may be offered, including resolution of issues of interference. Failure to comply with FCC requirements applicable to a given license could result in revocation or non-renewal of the license, depending on the nature and severity of the non-compliance. If we, or any of the future licensees of our spectrum assets, fail to comply with applicable FCC regulations, we may be subject to sanctions or lose our FCC licenses, which would have a material adverse effect on our business, liquidity, results of operations and prospects.</w:t>
      </w:r>
    </w:p>
    <w:p>
      <w:pPr>
        <w:spacing w:after="0" w:line="89"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In addition, the FCC and other federal, state and local governmental authorities could adopt new regulations or take actions, including imposing taxes or fees on our business that could have a materially adverse effect on our business, liquidity, results of operations and prospects. Further, the FCC or Congress may make additional spectrum available for communications services, which may result in the introduction of additional competitive entrants to the already crowded wireless communications marketplace in which we compete. For example, the federal government created and funded the FRNA which the federal government authorized to help accomplish, fund and oversee the deployment of the dedicated NPSBN. The NPSBN, which is marketed as “FirstNet”, may provide an additional source of competition to utilizing our 900 MHz spectrum assets by our targeted critical infrastructure and enterprise customers.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653415</wp:posOffset>
                </wp:positionV>
                <wp:extent cx="650494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1.45pt" to="512.1pt,51.4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26</w:t>
      </w:r>
    </w:p>
    <w:p>
      <w:pPr>
        <w:sectPr>
          <w:pgSz w:w="12240" w:h="15840" w:orient="portrait"/>
          <w:cols w:equalWidth="0" w:num="1">
            <w:col w:w="10240"/>
          </w:cols>
          <w:pgMar w:left="1000" w:top="201" w:right="100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ind w:right="100" w:firstLine="7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Federal government shutdowns could affect our ability to obtain broadband licenses from the FCC, which could adversely impact our ability to comply with our contractual obligations and to commercialize our 900 MHz spectrum assets.</w:t>
      </w:r>
    </w:p>
    <w:p>
      <w:pPr>
        <w:spacing w:after="0" w:line="34"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Our plans to commercialize our 900 MHz spectrum assets depend on our ability to continue to qualify for and obtain broadband licenses from the FCC. In addition, our existing commercial agreements with our customers require us to deliver cleared spectrum and broadband licenses in designated service territories on a timely basis.</w:t>
      </w:r>
    </w:p>
    <w:p>
      <w:pPr>
        <w:spacing w:after="0" w:line="75"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auto"/>
        </w:rPr>
        <w:t>The federal government shutdown that began on October 1, 2025 and ended on November 12, 2025 resulted in the FCC operating with significantly reduced staffing and suspensions of most licensing and application processing activities. As a result, the review, processing, and grant of our broadband license applications and related filings were delayed and could continue to be delayed. Future federal government shutdowns and any related delays could impede our ability to obtain, renew, or modify broadband licenses and other approvals necessary to satisfy our contractual obligations with our customers and to commercialize our 900 MHz spectrum assets in accordance with our business plan.</w:t>
      </w:r>
    </w:p>
    <w:p>
      <w:pPr>
        <w:spacing w:after="0" w:line="88" w:lineRule="exact"/>
        <w:rPr>
          <w:sz w:val="20"/>
          <w:szCs w:val="20"/>
          <w:color w:val="auto"/>
        </w:rPr>
      </w:pPr>
    </w:p>
    <w:p>
      <w:pPr>
        <w:jc w:val="both"/>
        <w:ind w:right="40" w:firstLine="720"/>
        <w:spacing w:after="0" w:line="266" w:lineRule="auto"/>
        <w:rPr>
          <w:sz w:val="20"/>
          <w:szCs w:val="20"/>
          <w:color w:val="auto"/>
        </w:rPr>
      </w:pPr>
      <w:r>
        <w:rPr>
          <w:rFonts w:ascii="Times New Roman" w:cs="Times New Roman" w:eastAsia="Times New Roman" w:hAnsi="Times New Roman"/>
          <w:sz w:val="20"/>
          <w:szCs w:val="20"/>
          <w:color w:val="auto"/>
        </w:rPr>
        <w:t>The duration of any government shutdown directly impacts our ability to deliver broadband licenses to our customers on a timely basis, satisfy our obligations and execute our commercialization strategy. If a federal government shutdown were to recur in the future, our business, liquidity, results of operations, and prospects could be materially and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 and Structure</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change our operations and business strategies without stockholder consent.</w:t>
      </w:r>
    </w:p>
    <w:p>
      <w:pPr>
        <w:spacing w:after="0" w:line="139"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auto"/>
        </w:rPr>
        <w:t>Our executive management team, with oversight from our Board, establishes our operational plans, our commercialization plans and our business strategies. Our Board and executive management team may make changes to or approve transactions that deviate from our current operations and strategies without a vote of, or prior notice to, our stockholders. This authority to change our operations, commercialization plans and business strategies could result in us conducting operational matters, making investments, pursuing spectrum opportunities, or implementing business or growth strategies in a manner different than those that we are currently pursuing. Under any of these circumstances, we may expose ourselves to different and more significant risks, decrease our revenues or increase our expenses and financial requirements, any of which could have a material adverse effect on our business, prospects, liquidity, financial condition and results of operations.</w:t>
      </w:r>
    </w:p>
    <w:p>
      <w:pPr>
        <w:spacing w:after="0" w:line="65" w:lineRule="exact"/>
        <w:rPr>
          <w:sz w:val="20"/>
          <w:szCs w:val="20"/>
          <w:color w:val="auto"/>
        </w:rPr>
      </w:pPr>
    </w:p>
    <w:p>
      <w:pPr>
        <w:ind w:right="24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our executive officers and key personnel and to attract, retain and motivate qualified personnel.</w:t>
      </w:r>
    </w:p>
    <w:p>
      <w:pPr>
        <w:spacing w:after="0" w:line="5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Our success depends to a significant degree upon the contributions of our executive officers and key personnel, who have unique experience and expertise in the telecommunications industry, large scale and multi-year solution selling to utilities, wireless broadband networks, FCC rulemaking and spectrum retuning and clearing to obtain FCC licenses. Although we have adopted a severance plan for our executive officers, we do not otherwise have long-term employment agreements with any of our executive officers or key personnel. There is no guarantee that these individuals will remain employed with us. In addition, we have not obtained and do not expect to obtain key man life insurance that would provide us with proceeds in the event of the death or disability of any of our executive officers or key personnel. If any of our executive officers or key personnel were to cease employment with us, our operating results and the implementation of our commercial and business terms could suffer. Further, the process of attracting and retaining suitable replacements for our executive officers and key personnel would result in transition costs and could divert the attention of other members of our senior management team from our existing operations. As a result, the loss of services from our executive officers or key personnel or a limitation in their availability could materially and adversely impact our business, customer prospects and results of operations. Further, such a loss could be negatively perceived in the capital markets.</w:t>
      </w:r>
    </w:p>
    <w:p>
      <w:pPr>
        <w:spacing w:after="0" w:line="88" w:lineRule="exact"/>
        <w:rPr>
          <w:sz w:val="20"/>
          <w:szCs w:val="20"/>
          <w:color w:val="auto"/>
        </w:rPr>
      </w:pPr>
    </w:p>
    <w:p>
      <w:pPr>
        <w:ind w:right="180" w:firstLine="720"/>
        <w:spacing w:after="0" w:line="260" w:lineRule="auto"/>
        <w:rPr>
          <w:sz w:val="20"/>
          <w:szCs w:val="20"/>
          <w:color w:val="auto"/>
        </w:rPr>
      </w:pPr>
      <w:r>
        <w:rPr>
          <w:rFonts w:ascii="Times New Roman" w:cs="Times New Roman" w:eastAsia="Times New Roman" w:hAnsi="Times New Roman"/>
          <w:sz w:val="20"/>
          <w:szCs w:val="20"/>
          <w:color w:val="auto"/>
        </w:rPr>
        <w:t>Recruiting and retaining qualified personnel, including effective sales personnel, are critical to our success. Competition to hire qualified personnel in our industry is intense, and we may be unable to hire, train, retain or motivate these key personnel on acceptable terms given the competition among numerous telecommunications, service and infrastructure companies for similar personnel.</w:t>
      </w:r>
    </w:p>
    <w:p>
      <w:pPr>
        <w:spacing w:after="0" w:line="74" w:lineRule="exact"/>
        <w:rPr>
          <w:sz w:val="20"/>
          <w:szCs w:val="20"/>
          <w:color w:val="auto"/>
        </w:rPr>
      </w:pPr>
    </w:p>
    <w:p>
      <w:pPr>
        <w:ind w:right="4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implement and maintain an effective system of internal controls, we may not be able to accurately determine our financial results or prevent fraud. As a result, our stockholders could lose confidence in our financial results, which would materially and adversely affect our value and our ability to raise any required capital in the future.</w:t>
      </w:r>
    </w:p>
    <w:p>
      <w:pPr>
        <w:spacing w:after="0" w:line="76"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Effective internal controls are necessary for us to provide reliable financial reports and effectively prevent fraud. We cannot be certain that we will be successful in implementing or maintaining effective internal controls for all financial periods. We have discovered in the past and may discover in the future areas of our internal controls that need improvement or additional documentation. As we look to grow our business, our internal controls will become more complex, and we will require significantly more resources to ensure our internal controls remain effective. The existence of any material weakness or significant deficiency in the future may require management to devote significant time and incur significant expense to remediate any such material weaknesses or significant deficiencies and management may not be able to remediate any such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194310</wp:posOffset>
                </wp:positionV>
                <wp:extent cx="65049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5.3pt" to="512.1pt,15.3pt" o:allowincell="f" strokecolor="#000000" strokeweight="1pt"/>
            </w:pict>
          </mc:Fallback>
        </mc:AlternateContent>
      </w:r>
    </w:p>
    <w:p>
      <w:pPr>
        <w:spacing w:after="0" w:line="31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27</w:t>
      </w:r>
    </w:p>
    <w:p>
      <w:pPr>
        <w:sectPr>
          <w:pgSz w:w="12240" w:h="15840" w:orient="portrait"/>
          <w:cols w:equalWidth="0" w:num="1">
            <w:col w:w="10240"/>
          </w:cols>
          <w:pgMar w:left="1000" w:top="201" w:right="1000"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material weaknesses or significant deficiencies in a timely manner. In addition, the existence of any material weakness in our internal controls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value and our ability to raise any required capital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There is no assurance that a robust market in our common stock will develop or be sustained.</w:t>
      </w:r>
    </w:p>
    <w:p>
      <w:pPr>
        <w:spacing w:after="0" w:line="136"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Since our common stock began trading on the Nasdaq Stock Market in 2015, a limited number of stockholders have owned a significant percentage of our common stock, which has resulted in a limited daily trading volume for our common stock. We cannot assure you that a more active or liquid trading market for our common stock will develop, or will be sustained if it does develop, either of which could materially and adversely affect the market price of our common stock, our ability to raise capital in the future and the ability of stockholders to sell their shares at the volume, prices and times desired. In addition, the risks and uncertainties related to our ability to timely commercialize our spectrum assets makes it difficult to evaluate our business, our prospects and the valuation of our Company, which limits the liquidity and volume of our common stock and may have a material adverse effect on the market price of our common stock.</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Our common stock prices may be volatile, which could cause the value of our common stock to decline.</w:t>
      </w:r>
    </w:p>
    <w:p>
      <w:pPr>
        <w:spacing w:after="0" w:line="139"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0"/>
          <w:szCs w:val="20"/>
          <w:color w:val="auto"/>
        </w:rPr>
        <w:t>The market price of our common stock may be highly volatile and subject to wide fluctuations. Some of the factors that could negatively affect or result in fluctuations in the market price of our common stock include:</w:t>
      </w:r>
    </w:p>
    <w:p>
      <w:pPr>
        <w:spacing w:after="0" w:line="2"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costs of securing broadband licenses;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enter into contracts with our targeted utility and critical infrastructure customers, on a timely basis and on commercially favorable terms;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our customer contracts, including pre-payments and our contractual obligations;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our obligations, on a timely and cost-effective basis, under our existing customer contracts;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reaction to any changes in our business plans or strategies;</w:t>
      </w:r>
    </w:p>
    <w:p>
      <w:pPr>
        <w:spacing w:after="0" w:line="10" w:lineRule="exact"/>
        <w:rPr>
          <w:rFonts w:ascii="Times New Roman" w:cs="Times New Roman" w:eastAsia="Times New Roman" w:hAnsi="Times New Roman"/>
          <w:sz w:val="20"/>
          <w:szCs w:val="20"/>
          <w:color w:val="auto"/>
        </w:rPr>
      </w:pPr>
    </w:p>
    <w:p>
      <w:pPr>
        <w:ind w:left="720" w:right="58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offerings or actions by our competitors, including the recent purchaser of T-Mobile’s 800 MHz spectrum;</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regulations or actions taken by governmental bodies;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any of our executive officers or key personnel;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our stockholders;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10"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economic and political conditions, including an economic slowdown, inflation, trade restrictions and tariffs, and supply chain issues;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performance and the performance of other similar companies;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judgments or assumptions;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passage of legislation or other regulatory developments that adversely affect us or our industry.</w:t>
      </w:r>
    </w:p>
    <w:p>
      <w:pPr>
        <w:spacing w:after="0" w:line="100"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Concentration of ownership will limit your ability to influence corporate matters.</w:t>
      </w:r>
    </w:p>
    <w:p>
      <w:pPr>
        <w:spacing w:after="0" w:line="13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Based on our review of publicly available filings as of June 19, 2026, funds affiliated with Owl Creek Asset Management, L.P. (“Owl Creek”) beneficially owned approximately 27.8%, funds affiliated with Heard Capital LLC owned approximately 8.8%. These two investment firms collectively beneficially own approximately 36.6% of our outstanding shares of common stock. In addition, one of our directors is the Chief Portfolio Manager of Owl Creek. Although we are not aware of any voting arrangements between these stockholders, our significant stockholders can significantly influence: (i) the outcome of any corporate actions submitted by our Board for approval by our stockholders and (ii) any proposals or director nominees submitted by a stockholder. Further, they could place significant pressure on our Board to pursue corporate actions, director candidates and business opportunities they identify. For example, our significant stockholders could significantly influence a proposed sale of the company or its assets. As a result of this concentration of ownership, our other stockholders may have a reduced voice in our corporate actions or the operations of our business, which may adversely affect the market price of our common stock.</w:t>
      </w:r>
    </w:p>
    <w:p>
      <w:pPr>
        <w:spacing w:after="0" w:line="84" w:lineRule="exact"/>
        <w:rPr>
          <w:sz w:val="20"/>
          <w:szCs w:val="20"/>
          <w:color w:val="auto"/>
        </w:rPr>
      </w:pPr>
    </w:p>
    <w:p>
      <w:pPr>
        <w:ind w:right="220" w:firstLine="7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Future sales of our common stock, or preferred stock, or of other securities convertible into our common stock or preferred stock, could cause the market value of our common stock to decline and could result in dilution of your shares.</w:t>
      </w:r>
    </w:p>
    <w:p>
      <w:pPr>
        <w:spacing w:after="0" w:line="34" w:lineRule="exact"/>
        <w:rPr>
          <w:sz w:val="20"/>
          <w:szCs w:val="20"/>
          <w:color w:val="auto"/>
        </w:rPr>
      </w:pPr>
    </w:p>
    <w:p>
      <w:pPr>
        <w:ind w:right="200" w:firstLine="720"/>
        <w:spacing w:after="0" w:line="260" w:lineRule="auto"/>
        <w:rPr>
          <w:sz w:val="20"/>
          <w:szCs w:val="20"/>
          <w:color w:val="auto"/>
        </w:rPr>
      </w:pPr>
      <w:r>
        <w:rPr>
          <w:rFonts w:ascii="Times New Roman" w:cs="Times New Roman" w:eastAsia="Times New Roman" w:hAnsi="Times New Roman"/>
          <w:sz w:val="20"/>
          <w:szCs w:val="20"/>
          <w:color w:val="auto"/>
        </w:rPr>
        <w:t>Our Board is authorized, without stockholder approval, to permit us to issue additional shares of common stock or to raise capital through the creation and issuance of preferred stock, other debt securities convertible into common stock or preferred stock, options, warrants and other rights, on terms and for consideration as our Board in its sole discretion may determine.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342900</wp:posOffset>
                </wp:positionV>
                <wp:extent cx="65049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7pt" to="512.1pt,27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36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28</w:t>
      </w:r>
    </w:p>
    <w:p>
      <w:pPr>
        <w:sectPr>
          <w:pgSz w:w="12240" w:h="15840" w:orient="portrait"/>
          <w:cols w:equalWidth="0" w:num="1">
            <w:col w:w="10240"/>
          </w:cols>
          <w:pgMar w:left="1000" w:top="201" w:right="100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Sales of substantial amounts of our common stock, including sales by our officers, directors or 5% and greater stockholders, or of preferred stock could cause the market price of our common stock to decrease significantly. We cannot predict the effect, if any, of future sales of our common stock, or the availability of our common stock for future sales, on the value of our common stock. Sales of substantial amounts of our common stock by any one or more of our large stockholders, or the perception that such sales could occur, may adversely affect the market price of our common stock.</w:t>
      </w:r>
    </w:p>
    <w:p>
      <w:pPr>
        <w:spacing w:after="0" w:line="75" w:lineRule="exact"/>
        <w:rPr>
          <w:sz w:val="20"/>
          <w:szCs w:val="20"/>
          <w:color w:val="auto"/>
        </w:rPr>
      </w:pPr>
    </w:p>
    <w:p>
      <w:pPr>
        <w:ind w:right="6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cannot guarantee that our share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76"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Our Board authorized a share repurchase program (the “2023 Share Repurchase Program”) pursuant to which we may repurchase up to $250.0 million of our common stock on or before September 21, 2026. The manner, timing and amount of any share repurchases may fluctuate and will be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common stock, or reduce our available cash balance such that we will be required to seek financing to support our operations. Our share repurchase program may be modified, suspended or terminated at any time, which may result in a decrease in the trading prices of our common stock. Even if our share repurchase program is fully implemented, it may not enhance long-term stockholder value. Additionally, repurchases are subject to the 1% Share Repurchase Excise Tax enacted by the Inflation Reduction Act, which may be offset by shares newly issued during that fiscal year (the “Share Repurchase Excise Tax”). We have and will continue to take the Share Repurchase Excise Tax into account with respect to our decisions to repurchase shares.</w:t>
      </w:r>
    </w:p>
    <w:p>
      <w:pPr>
        <w:spacing w:after="0" w:line="79" w:lineRule="exact"/>
        <w:rPr>
          <w:sz w:val="20"/>
          <w:szCs w:val="20"/>
          <w:color w:val="auto"/>
        </w:rPr>
      </w:pPr>
    </w:p>
    <w:p>
      <w:pPr>
        <w:ind w:right="6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offerings of debt securities or preferred stock, which would rank senior to our common stock in the event of our bankruptcy or liquidation, may adversely affect the market price of our common stock.</w:t>
      </w:r>
    </w:p>
    <w:p>
      <w:pPr>
        <w:spacing w:after="0" w:line="57"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auto"/>
        </w:rPr>
        <w:t>In the future, we may attempt to increase our capital resources by making offerings of debt securities or otherwise incurring debt. In the event of our bankruptcy or liquidation, holders of our debt securities may be entitled to receive distributions of our available assets prior to the holders of our common stock. In addition, we may offer preferred stock that provides holders with a preference on liquidating distributions or a preference on dividend payments or both or that could otherwise limit our ability to pay dividends or make liquidating distributions to the holders of our common stock. Although we have no present plans to do so, our decision to issue debt securities or to issue preferred stock in any future offerings or otherwise incur debt may depend on market conditions and other factors beyond our control. As a result, we cannot predict or estimate the amount, timing or nature of our future offerings, and investors in our common stock bear the risk of our future offerings reducing the market price of our common stock and/or diluting their ownership interest in us.</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Certain anti-takeover defenses and applicable law may limit the ability of a third party to acquire control of us.</w:t>
      </w:r>
    </w:p>
    <w:p>
      <w:pPr>
        <w:spacing w:after="0" w:line="139"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Certain provisions of our amended and restated certificate of incorporation, as amended (the “Amended and Restated Certificate of Incorporation”) and amended and restated bylaws, as amended (the “Amended and Restated Bylaws”), could discourage, delay, or prevent a merger, acquisition, or other change of control that stockholders may consider favorable, including transactions in which you might otherwise receive a premium for your shares. These provisions also could limit the price that investors might be willing to pay in the future for our common stock, thereby depressing the market price of our common stock. These provisions, among other things:</w:t>
      </w:r>
    </w:p>
    <w:p>
      <w:pPr>
        <w:spacing w:after="0" w:line="6"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the authorized number of directors to be changed only by resolution of our Board;</w:t>
      </w:r>
    </w:p>
    <w:p>
      <w:pPr>
        <w:spacing w:after="0" w:line="10" w:lineRule="exact"/>
        <w:rPr>
          <w:rFonts w:ascii="Times New Roman" w:cs="Times New Roman" w:eastAsia="Times New Roman" w:hAnsi="Times New Roman"/>
          <w:sz w:val="20"/>
          <w:szCs w:val="20"/>
          <w:color w:val="auto"/>
        </w:rPr>
      </w:pPr>
    </w:p>
    <w:p>
      <w:pPr>
        <w:ind w:left="720" w:right="18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to issue, without stockholder approval, preferred stock, the rights of which will be determined at the discretion of our Board and that, if issued, could operate as a “poison pill” to dilute the stock ownership of a potential hostile acquirer to prevent an acquisition that our Board does not approve;</w:t>
      </w:r>
    </w:p>
    <w:p>
      <w:pPr>
        <w:spacing w:after="0" w:line="1" w:lineRule="exact"/>
        <w:rPr>
          <w:rFonts w:ascii="Times New Roman" w:cs="Times New Roman" w:eastAsia="Times New Roman" w:hAnsi="Times New Roman"/>
          <w:sz w:val="20"/>
          <w:szCs w:val="20"/>
          <w:color w:val="auto"/>
        </w:rPr>
      </w:pPr>
    </w:p>
    <w:p>
      <w:pPr>
        <w:ind w:left="720" w:right="16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stockholder nominations to our Board or for stockholder proposals that can be acted on at stockholder meetings; and</w:t>
      </w: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who may call a stockholders meeting.</w:t>
      </w:r>
    </w:p>
    <w:p>
      <w:pPr>
        <w:spacing w:after="0" w:line="11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In addition, we are subject to Section 203 of the Delaware General Corporation Law (the “DGCL”). In general, Section 203 of the DGCL prevents an “interested stockholder” (as defined in the DGCL) from engaging in a “business combination” (as defined in the DGCL) with us for three years following the date that person becomes an interested stockholder unless one or more of the following occurs:</w:t>
      </w:r>
    </w:p>
    <w:p>
      <w:pPr>
        <w:spacing w:after="0" w:line="3" w:lineRule="exact"/>
        <w:rPr>
          <w:sz w:val="20"/>
          <w:szCs w:val="20"/>
          <w:color w:val="auto"/>
        </w:rPr>
      </w:pPr>
    </w:p>
    <w:p>
      <w:pPr>
        <w:ind w:left="720" w:right="60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that person became an interested stockholder, our Board approved the transaction in which the interested stockholder became an interested stockholder or approved the business combination;</w:t>
      </w:r>
    </w:p>
    <w:p>
      <w:pPr>
        <w:ind w:left="720" w:right="40" w:hanging="370"/>
        <w:spacing w:after="0" w:line="275" w:lineRule="auto"/>
        <w:tabs>
          <w:tab w:leader="none" w:pos="7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180975</wp:posOffset>
                </wp:positionV>
                <wp:extent cx="65049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4.25pt" to="512.1pt,14.25pt" o:allowincell="f" strokecolor="#000000" strokeweight="1pt"/>
            </w:pict>
          </mc:Fallback>
        </mc:AlternateContent>
      </w:r>
    </w:p>
    <w:p>
      <w:pPr>
        <w:spacing w:after="0" w:line="292"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29</w:t>
      </w:r>
    </w:p>
    <w:p>
      <w:pPr>
        <w:sectPr>
          <w:pgSz w:w="12240" w:h="15840" w:orient="portrait"/>
          <w:cols w:equalWidth="0" w:num="1">
            <w:col w:w="10240"/>
          </w:cols>
          <w:pgMar w:left="1000" w:top="201" w:right="1000"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720" w:right="40"/>
        <w:spacing w:after="0" w:line="257" w:lineRule="auto"/>
        <w:rPr>
          <w:sz w:val="20"/>
          <w:szCs w:val="20"/>
          <w:color w:val="auto"/>
        </w:rPr>
      </w:pPr>
      <w:r>
        <w:rPr>
          <w:rFonts w:ascii="Times New Roman" w:cs="Times New Roman" w:eastAsia="Times New Roman" w:hAnsi="Times New Roman"/>
          <w:sz w:val="20"/>
          <w:szCs w:val="20"/>
          <w:color w:val="auto"/>
        </w:rPr>
        <w:t>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1" w:lineRule="exact"/>
        <w:rPr>
          <w:sz w:val="20"/>
          <w:szCs w:val="20"/>
          <w:color w:val="auto"/>
        </w:rPr>
      </w:pPr>
    </w:p>
    <w:p>
      <w:pPr>
        <w:ind w:left="720" w:right="40" w:hanging="370"/>
        <w:spacing w:after="0" w:line="255"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transaction in which that person became an interested stockholder, the business combination is approved by our Board and authorized at a meeting of stockholders by the affirmative vote of the holders of at least 66 2/3% of our outstanding voting stock not owned by the interested stockholder.</w:t>
      </w:r>
    </w:p>
    <w:p>
      <w:pPr>
        <w:spacing w:after="0" w:line="87" w:lineRule="exact"/>
        <w:rPr>
          <w:sz w:val="20"/>
          <w:szCs w:val="20"/>
          <w:color w:val="auto"/>
        </w:rPr>
      </w:pPr>
    </w:p>
    <w:p>
      <w:pPr>
        <w:jc w:val="both"/>
        <w:ind w:right="40" w:firstLine="720"/>
        <w:spacing w:after="0" w:line="260" w:lineRule="auto"/>
        <w:rPr>
          <w:sz w:val="20"/>
          <w:szCs w:val="20"/>
          <w:color w:val="auto"/>
        </w:rPr>
      </w:pPr>
      <w:r>
        <w:rPr>
          <w:rFonts w:ascii="Times New Roman" w:cs="Times New Roman" w:eastAsia="Times New Roman" w:hAnsi="Times New Roman"/>
          <w:sz w:val="20"/>
          <w:szCs w:val="20"/>
          <w:color w:val="auto"/>
        </w:rPr>
        <w:t>The DGCL generally defines “interested stockholder” as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As a result, our election to be subject to Section 203 of the DGCL could limit the ability of a third party to acquire control of us.</w:t>
      </w:r>
    </w:p>
    <w:p>
      <w:pPr>
        <w:spacing w:after="0" w:line="74" w:lineRule="exact"/>
        <w:rPr>
          <w:sz w:val="20"/>
          <w:szCs w:val="20"/>
          <w:color w:val="auto"/>
        </w:rPr>
      </w:pPr>
    </w:p>
    <w:p>
      <w:pPr>
        <w:jc w:val="both"/>
        <w:ind w:right="6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7" w:lineRule="exact"/>
        <w:rPr>
          <w:sz w:val="20"/>
          <w:szCs w:val="20"/>
          <w:color w:val="auto"/>
        </w:rPr>
      </w:pPr>
    </w:p>
    <w:p>
      <w:pPr>
        <w:ind w:right="180" w:firstLine="720"/>
        <w:spacing w:after="0" w:line="255"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spacing w:after="0" w:line="3" w:lineRule="exact"/>
        <w:rPr>
          <w:sz w:val="20"/>
          <w:szCs w:val="20"/>
          <w:color w:val="auto"/>
        </w:rPr>
      </w:pPr>
    </w:p>
    <w:p>
      <w:pPr>
        <w:ind w:left="7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 w:lineRule="exact"/>
        <w:rPr>
          <w:rFonts w:ascii="Times New Roman" w:cs="Times New Roman" w:eastAsia="Times New Roman" w:hAnsi="Times New Roman"/>
          <w:sz w:val="20"/>
          <w:szCs w:val="20"/>
          <w:color w:val="auto"/>
        </w:rPr>
      </w:pPr>
    </w:p>
    <w:p>
      <w:pPr>
        <w:ind w:left="720" w:right="4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 our discretion, indemnify employees and agents in those circumstances where indemnification is permitted by applicable law;</w:t>
      </w:r>
    </w:p>
    <w:p>
      <w:pPr>
        <w:ind w:left="720" w:right="1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 w:lineRule="exact"/>
        <w:rPr>
          <w:rFonts w:ascii="Times New Roman" w:cs="Times New Roman" w:eastAsia="Times New Roman" w:hAnsi="Times New Roman"/>
          <w:sz w:val="20"/>
          <w:szCs w:val="20"/>
          <w:color w:val="auto"/>
        </w:rPr>
      </w:pPr>
    </w:p>
    <w:p>
      <w:pPr>
        <w:ind w:left="720" w:right="8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not be obligated pursuant to our Amended and Restated Bylaws to indemnify a person with respect to proceedings initiated by that person against us or our other indemnities, except with respect to proceedings authorized by our Board or brought to enforce a right to indemnification;</w:t>
      </w:r>
    </w:p>
    <w:p>
      <w:pPr>
        <w:spacing w:after="0" w:line="1" w:lineRule="exact"/>
        <w:rPr>
          <w:rFonts w:ascii="Times New Roman" w:cs="Times New Roman" w:eastAsia="Times New Roman" w:hAnsi="Times New Roman"/>
          <w:sz w:val="20"/>
          <w:szCs w:val="20"/>
          <w:color w:val="auto"/>
        </w:rPr>
      </w:pPr>
    </w:p>
    <w:p>
      <w:pPr>
        <w:ind w:left="720" w:right="26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 w:lineRule="exact"/>
        <w:rPr>
          <w:rFonts w:ascii="Times New Roman" w:cs="Times New Roman" w:eastAsia="Times New Roman" w:hAnsi="Times New Roman"/>
          <w:sz w:val="20"/>
          <w:szCs w:val="20"/>
          <w:color w:val="auto"/>
        </w:rPr>
      </w:pPr>
    </w:p>
    <w:p>
      <w:pPr>
        <w:ind w:left="720" w:right="120" w:hanging="37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retroactively amend our bylaw provisions to reduce our indemnification obligations to directors, officers, employees and agents.</w:t>
      </w:r>
    </w:p>
    <w:p>
      <w:pPr>
        <w:spacing w:after="0" w:line="82" w:lineRule="exact"/>
        <w:rPr>
          <w:sz w:val="20"/>
          <w:szCs w:val="20"/>
          <w:color w:val="auto"/>
        </w:rPr>
      </w:pPr>
    </w:p>
    <w:p>
      <w:pPr>
        <w:ind w:right="780" w:firstLine="720"/>
        <w:spacing w:after="0" w:line="281" w:lineRule="auto"/>
        <w:rPr>
          <w:sz w:val="20"/>
          <w:szCs w:val="20"/>
          <w:color w:val="auto"/>
        </w:rPr>
      </w:pPr>
      <w:r>
        <w:rPr>
          <w:rFonts w:ascii="Times New Roman" w:cs="Times New Roman" w:eastAsia="Times New Roman" w:hAnsi="Times New Roman"/>
          <w:sz w:val="20"/>
          <w:szCs w:val="20"/>
          <w:color w:val="auto"/>
        </w:rPr>
        <w:t>As a result, claims for indemnification by our directors and officers may reduce our available funds to satisfy successful third-party claims against us and may reduce the amount of money available to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37" w:lineRule="exact"/>
        <w:rPr>
          <w:sz w:val="20"/>
          <w:szCs w:val="20"/>
          <w:color w:val="auto"/>
        </w:rPr>
      </w:pPr>
    </w:p>
    <w:p>
      <w:pPr>
        <w:ind w:right="220" w:firstLine="720"/>
        <w:spacing w:after="0" w:line="281" w:lineRule="auto"/>
        <w:rPr>
          <w:sz w:val="20"/>
          <w:szCs w:val="20"/>
          <w:color w:val="auto"/>
        </w:rPr>
      </w:pPr>
      <w:r>
        <w:rPr>
          <w:rFonts w:ascii="Times New Roman" w:cs="Times New Roman" w:eastAsia="Times New Roman" w:hAnsi="Times New Roman"/>
          <w:sz w:val="20"/>
          <w:szCs w:val="20"/>
          <w:color w:val="auto"/>
        </w:rPr>
        <w:t>We have implemented and we maintain a cybersecurity program that includes a well-defined set of security controls and measures designed to identify, assess, and manage material cybersecurity risks.</w:t>
      </w:r>
    </w:p>
    <w:p>
      <w:pPr>
        <w:spacing w:after="0" w:line="61" w:lineRule="exact"/>
        <w:rPr>
          <w:sz w:val="20"/>
          <w:szCs w:val="20"/>
          <w:color w:val="auto"/>
        </w:rPr>
      </w:pPr>
    </w:p>
    <w:p>
      <w:pPr>
        <w:ind w:right="360" w:firstLine="720"/>
        <w:spacing w:after="0" w:line="260" w:lineRule="auto"/>
        <w:rPr>
          <w:sz w:val="20"/>
          <w:szCs w:val="20"/>
          <w:color w:val="auto"/>
        </w:rPr>
      </w:pPr>
      <w:r>
        <w:rPr>
          <w:rFonts w:ascii="Times New Roman" w:cs="Times New Roman" w:eastAsia="Times New Roman" w:hAnsi="Times New Roman"/>
          <w:sz w:val="20"/>
          <w:szCs w:val="20"/>
          <w:color w:val="auto"/>
        </w:rPr>
        <w:t>The cybersecurity program is a part of our broader enterprise risk management program which includes risk assessment, third party risk management, risk mitigation strategy and a clearly defined incident response methodology. The program is led by our executive officers, with support from a working group of senior management with functional and operational expertise.</w:t>
      </w:r>
    </w:p>
    <w:p>
      <w:pPr>
        <w:spacing w:after="0" w:line="83"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Primary responsibility for assessing, monitoring and managing our cybersecurity risks rests with our Director of Information Technology (“IT”), who reports directly to our Chief Financial Officer. Our Director of IT has more than 20 years of experience working with enterprises to protect their systems from cybersecurity risks and to address other areas of risk management. We also engage other consultants and third parties in connection with our risk assessment and mitigation processes. These service providers assist with the design and implementation of our cybersecurity policies and procedures, as well as monitor and test our safeguards. We require each third-party service provider to certify that it has the ability to implement and maintain appropriate security measures, consistent with all applicable laws, to implement and maintain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194310</wp:posOffset>
                </wp:positionV>
                <wp:extent cx="650494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5.3pt" to="512.1pt,15.3pt" o:allowincell="f" strokecolor="#000000" strokeweight="1pt"/>
            </w:pict>
          </mc:Fallback>
        </mc:AlternateContent>
      </w:r>
    </w:p>
    <w:p>
      <w:pPr>
        <w:spacing w:after="0" w:line="31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30</w:t>
      </w:r>
    </w:p>
    <w:p>
      <w:pPr>
        <w:sectPr>
          <w:pgSz w:w="12240" w:h="15840" w:orient="portrait"/>
          <w:cols w:equalWidth="0" w:num="1">
            <w:col w:w="10220"/>
          </w:cols>
          <w:pgMar w:left="1000" w:top="201" w:right="1020" w:bottom="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reasonable security measures in connection with their work with us, and to promptly report any suspected breach of its security measures that may affect our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3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Oversight for this program is provided by the Audit Committee of the Board. Each quarter our executive officers review matters, including any cybersecurity matters, that may present material risks to our strategy, mission or objectives, and where appropriate, engage third parties to conduct assessments of the risks and gaps that require attention. Risk events are classified based on the evaluated likelihood of the risk materializing and its potential impact on the enterprise, and for each material risk a definitive risk mitigation strategy is developed, executed, and shared with the Audit Committee and the Board by our Chief Legal Officer and Corporate Secretary, working closely with our Chief Financial Officer and Director of IT, at least quarterly to ensure appropriate monitoring and management of the relevant risks.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Threat Disclosure</w:t>
      </w:r>
    </w:p>
    <w:p>
      <w:pPr>
        <w:spacing w:after="0" w:line="137"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auto"/>
        </w:rPr>
        <w:t>To date, based upon all evaluations and assessments, including third party evaluations, we have no cybersecurity threats that have materially affected, or are reasonably likely to materially affect, our business strategy, operations or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We maintain offices in Woodland Park, New Jersey, McLean, Virginia and Abilene, Texas. The lease for our office at 3 Garret Mountain Plaza, Suite 401, Woodland Park, New Jersey, was renewed in February 2017 for an additional 10 years, for 19,276 square feet of office space with a termination date of June 2027. We have the right of first offer for adjacent space if it becomes available. In February 2019, we entered into a lease agreement for our second office space located at 8260 Greensboro Drive, Suite 501, McLean, Virginia, which was renewed in November 2024 for an additional 3.5 years, for 8,212 square feet of office space with a termination date of April 2028. In November 2018, we entered into a lease agreement to store equipment located at 5520 North First Street, Abilene, Texas, which was renewed in October 2023 for an additional 5 years with a termination date of January 2029. The leased warehouse includes approximately 26,404 square feet. We believe that our existing facilities are adequate for our current needs.</w:t>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do not own any real property.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 xml:space="preserve">We are not involved in any material legal proceedings or other legal matters at this time. However, from time to time, we may be involved in litigation that arises from the ordinary operations of business, such as contractual or employment disputes or other general actions. See Note 15 </w:t>
      </w:r>
      <w:r>
        <w:rPr>
          <w:rFonts w:ascii="Times New Roman" w:cs="Times New Roman" w:eastAsia="Times New Roman" w:hAnsi="Times New Roman"/>
          <w:sz w:val="20"/>
          <w:szCs w:val="20"/>
          <w:b w:val="1"/>
          <w:bCs w:val="1"/>
          <w:i w:val="1"/>
          <w:iCs w:val="1"/>
          <w:color w:val="auto"/>
        </w:rPr>
        <w:t>Contingencies and Guaranty</w:t>
      </w:r>
      <w:r>
        <w:rPr>
          <w:rFonts w:ascii="Times New Roman" w:cs="Times New Roman" w:eastAsia="Times New Roman" w:hAnsi="Times New Roman"/>
          <w:sz w:val="20"/>
          <w:szCs w:val="20"/>
          <w:color w:val="auto"/>
        </w:rPr>
        <w:t xml:space="preserve"> of the Notes to the Consolidated Financial Statements contained within this Annual Report for a further discussion of potential commitments and contingencies related to legal proceedings.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3267710</wp:posOffset>
                </wp:positionV>
                <wp:extent cx="650494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57.3pt" to="512.1pt,257.3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31</w:t>
      </w:r>
    </w:p>
    <w:p>
      <w:pPr>
        <w:sectPr>
          <w:pgSz w:w="12240" w:h="15840" w:orient="portrait"/>
          <w:cols w:equalWidth="0" w:num="1">
            <w:col w:w="10240"/>
          </w:cols>
          <w:pgMar w:left="1000" w:top="201" w:right="1000" w:bottom="0" w:gutter="0" w:footer="0" w:header="0"/>
          <w:type w:val="continuous"/>
        </w:sectPr>
      </w:pPr>
    </w:p>
    <w:bookmarkStart w:id="37" w:name="page38"/>
    <w:bookmarkEnd w:id="37"/>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30" w:lineRule="exact"/>
        <w:rPr>
          <w:sz w:val="20"/>
          <w:szCs w:val="20"/>
          <w:color w:val="auto"/>
        </w:rPr>
      </w:pPr>
    </w:p>
    <w:p>
      <w:pPr>
        <w:ind w:left="10" w:right="50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3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Shares of our common stock are listed for trading on the Nasdaq Capital Market under the symbol “ATEX”.</w:t>
      </w:r>
    </w:p>
    <w:p>
      <w:pPr>
        <w:spacing w:after="0" w:line="130" w:lineRule="exact"/>
        <w:rPr>
          <w:sz w:val="20"/>
          <w:szCs w:val="20"/>
          <w:color w:val="auto"/>
        </w:rPr>
      </w:pPr>
    </w:p>
    <w:p>
      <w:pPr>
        <w:ind w:left="10" w:right="140" w:firstLine="720"/>
        <w:spacing w:after="0" w:line="281" w:lineRule="auto"/>
        <w:rPr>
          <w:sz w:val="20"/>
          <w:szCs w:val="20"/>
          <w:color w:val="auto"/>
        </w:rPr>
      </w:pPr>
      <w:r>
        <w:rPr>
          <w:rFonts w:ascii="Times New Roman" w:cs="Times New Roman" w:eastAsia="Times New Roman" w:hAnsi="Times New Roman"/>
          <w:sz w:val="20"/>
          <w:szCs w:val="20"/>
          <w:color w:val="auto"/>
        </w:rPr>
        <w:t>As of June 19, 2026, we had 19,498,473 shares of common stock outstanding and approximately 95 record holders of our common stock, including common stock held through brokerage firms in “street name.”</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37" w:lineRule="exact"/>
        <w:rPr>
          <w:sz w:val="20"/>
          <w:szCs w:val="20"/>
          <w:color w:val="auto"/>
        </w:rPr>
      </w:pPr>
    </w:p>
    <w:p>
      <w:pPr>
        <w:ind w:left="10" w:right="160" w:firstLine="720"/>
        <w:spacing w:after="0" w:line="286" w:lineRule="auto"/>
        <w:rPr>
          <w:sz w:val="20"/>
          <w:szCs w:val="20"/>
          <w:color w:val="auto"/>
        </w:rPr>
      </w:pPr>
      <w:r>
        <w:rPr>
          <w:rFonts w:ascii="Times New Roman" w:cs="Times New Roman" w:eastAsia="Times New Roman" w:hAnsi="Times New Roman"/>
          <w:sz w:val="19"/>
          <w:szCs w:val="19"/>
          <w:color w:val="auto"/>
        </w:rPr>
        <w:t>We have never declared or paid any cash dividends on our common stock. Any future determination to pay dividends will be at the discretion of our Board and will depend on our financial condition, results of operations, capital requirements, restrictions contained in any financing instruments and such other factors as our Board deems relevant in its sole discretion.</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37" w:lineRule="exact"/>
        <w:rPr>
          <w:sz w:val="20"/>
          <w:szCs w:val="20"/>
          <w:color w:val="auto"/>
        </w:rPr>
      </w:pPr>
    </w:p>
    <w:p>
      <w:pPr>
        <w:ind w:left="10" w:right="40" w:firstLine="720"/>
        <w:spacing w:after="0" w:line="258" w:lineRule="auto"/>
        <w:rPr>
          <w:sz w:val="20"/>
          <w:szCs w:val="20"/>
          <w:color w:val="auto"/>
        </w:rPr>
      </w:pPr>
      <w:r>
        <w:rPr>
          <w:rFonts w:ascii="Times New Roman" w:cs="Times New Roman" w:eastAsia="Times New Roman" w:hAnsi="Times New Roman"/>
          <w:sz w:val="20"/>
          <w:szCs w:val="20"/>
          <w:color w:val="auto"/>
        </w:rPr>
        <w:t>We currently award stock options, restricted stock units (“RSUs”), performance stock units (“PSUs”) and options (“PSOs”) to our employees meeting certain eligibility requirements under a plan approved by our stockholders in 2023, referred to as the “2023 Stock Plan” and have previously awarded stock options, RSUs and PSUs to our employees meeting certain eligibility requirements under a plan approved by our stockholders in 2014 and 2010. The following table summarizes information about our equity compensation plans as of March 31, 2026:</w:t>
      </w:r>
    </w:p>
    <w:p>
      <w:pPr>
        <w:spacing w:after="0" w:line="112"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80" w:type="dxa"/>
            <w:vAlign w:val="bottom"/>
          </w:tcPr>
          <w:p>
            <w:pPr>
              <w:spacing w:after="0"/>
              <w:rPr>
                <w:sz w:val="16"/>
                <w:szCs w:val="16"/>
                <w:color w:val="auto"/>
              </w:rPr>
            </w:pPr>
          </w:p>
        </w:tc>
        <w:tc>
          <w:tcPr>
            <w:tcW w:w="2720" w:type="dxa"/>
            <w:vAlign w:val="bottom"/>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Number of Securities Remaining</w:t>
            </w: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jc w:val="center"/>
              <w:ind w:right="217"/>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Available for Future Issuance</w:t>
            </w: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2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Upon Exercise of Outstanding</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jc w:val="center"/>
              <w:ind w:right="173"/>
              <w:spacing w:after="0" w:line="160"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80" w:type="dxa"/>
            <w:vAlign w:val="bottom"/>
          </w:tcPr>
          <w:p>
            <w:pPr>
              <w:spacing w:after="0"/>
              <w:rPr>
                <w:sz w:val="13"/>
                <w:szCs w:val="13"/>
                <w:color w:val="auto"/>
              </w:rPr>
            </w:pPr>
          </w:p>
        </w:tc>
        <w:tc>
          <w:tcPr>
            <w:tcW w:w="2720" w:type="dxa"/>
            <w:vAlign w:val="bottom"/>
          </w:tcPr>
          <w:p>
            <w:pPr>
              <w:jc w:val="center"/>
              <w:ind w:right="217"/>
              <w:spacing w:after="0" w:line="160" w:lineRule="exact"/>
              <w:rPr>
                <w:sz w:val="20"/>
                <w:szCs w:val="20"/>
                <w:color w:val="auto"/>
              </w:rPr>
            </w:pPr>
            <w:r>
              <w:rPr>
                <w:rFonts w:ascii="Times New Roman" w:cs="Times New Roman" w:eastAsia="Times New Roman" w:hAnsi="Times New Roman"/>
                <w:sz w:val="16"/>
                <w:szCs w:val="16"/>
                <w:b w:val="1"/>
                <w:bCs w:val="1"/>
                <w:color w:val="auto"/>
              </w:rPr>
              <w:t>Under Equity Compensation</w:t>
            </w: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2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Stock Options, RSUs, PSUs and</w:t>
            </w:r>
          </w:p>
        </w:tc>
        <w:tc>
          <w:tcPr>
            <w:tcW w:w="60" w:type="dxa"/>
            <w:vAlign w:val="bottom"/>
          </w:tcPr>
          <w:p>
            <w:pPr>
              <w:spacing w:after="0"/>
              <w:rPr>
                <w:sz w:val="13"/>
                <w:szCs w:val="13"/>
                <w:color w:val="auto"/>
              </w:rPr>
            </w:pPr>
          </w:p>
        </w:tc>
        <w:tc>
          <w:tcPr>
            <w:tcW w:w="2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 Stock Options</w:t>
            </w:r>
          </w:p>
        </w:tc>
        <w:tc>
          <w:tcPr>
            <w:tcW w:w="80" w:type="dxa"/>
            <w:vAlign w:val="bottom"/>
          </w:tcPr>
          <w:p>
            <w:pPr>
              <w:spacing w:after="0"/>
              <w:rPr>
                <w:sz w:val="13"/>
                <w:szCs w:val="13"/>
                <w:color w:val="auto"/>
              </w:rPr>
            </w:pPr>
          </w:p>
        </w:tc>
        <w:tc>
          <w:tcPr>
            <w:tcW w:w="2720" w:type="dxa"/>
            <w:vAlign w:val="bottom"/>
          </w:tcPr>
          <w:p>
            <w:pPr>
              <w:jc w:val="center"/>
              <w:ind w:right="217"/>
              <w:spacing w:after="0" w:line="160" w:lineRule="exact"/>
              <w:rPr>
                <w:sz w:val="20"/>
                <w:szCs w:val="20"/>
                <w:color w:val="auto"/>
              </w:rPr>
            </w:pPr>
            <w:r>
              <w:rPr>
                <w:rFonts w:ascii="Times New Roman" w:cs="Times New Roman" w:eastAsia="Times New Roman" w:hAnsi="Times New Roman"/>
                <w:sz w:val="16"/>
                <w:szCs w:val="16"/>
                <w:b w:val="1"/>
                <w:bCs w:val="1"/>
                <w:color w:val="auto"/>
              </w:rPr>
              <w:t>Plans</w:t>
            </w:r>
          </w:p>
        </w:tc>
        <w:tc>
          <w:tcPr>
            <w:tcW w:w="0" w:type="dxa"/>
            <w:vAlign w:val="bottom"/>
          </w:tcPr>
          <w:p>
            <w:pPr>
              <w:spacing w:after="0"/>
              <w:rPr>
                <w:sz w:val="1"/>
                <w:szCs w:val="1"/>
                <w:color w:val="auto"/>
              </w:rPr>
            </w:pPr>
          </w:p>
        </w:tc>
      </w:tr>
      <w:tr>
        <w:trPr>
          <w:trHeight w:val="160"/>
        </w:trPr>
        <w:tc>
          <w:tcPr>
            <w:tcW w:w="2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PSOs </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jc w:val="center"/>
              <w:ind w:right="173"/>
              <w:spacing w:after="0" w:line="160" w:lineRule="exact"/>
              <w:rPr>
                <w:sz w:val="20"/>
                <w:szCs w:val="20"/>
                <w:color w:val="auto"/>
              </w:rPr>
            </w:pPr>
            <w:r>
              <w:rPr>
                <w:rFonts w:ascii="Times New Roman" w:cs="Times New Roman" w:eastAsia="Times New Roman" w:hAnsi="Times New Roman"/>
                <w:sz w:val="16"/>
                <w:szCs w:val="16"/>
                <w:b w:val="1"/>
                <w:bCs w:val="1"/>
                <w:color w:val="auto"/>
              </w:rPr>
              <w:t>or Rights</w:t>
            </w:r>
          </w:p>
        </w:tc>
        <w:tc>
          <w:tcPr>
            <w:tcW w:w="80" w:type="dxa"/>
            <w:vAlign w:val="bottom"/>
          </w:tcPr>
          <w:p>
            <w:pPr>
              <w:spacing w:after="0"/>
              <w:rPr>
                <w:sz w:val="13"/>
                <w:szCs w:val="13"/>
                <w:color w:val="auto"/>
              </w:rPr>
            </w:pPr>
          </w:p>
        </w:tc>
        <w:tc>
          <w:tcPr>
            <w:tcW w:w="2720" w:type="dxa"/>
            <w:vAlign w:val="bottom"/>
          </w:tcPr>
          <w:p>
            <w:pPr>
              <w:jc w:val="center"/>
              <w:ind w:right="197"/>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(excluding securities reflected in</w:t>
            </w:r>
          </w:p>
        </w:tc>
        <w:tc>
          <w:tcPr>
            <w:tcW w:w="0" w:type="dxa"/>
            <w:vAlign w:val="bottom"/>
          </w:tcPr>
          <w:p>
            <w:pPr>
              <w:spacing w:after="0"/>
              <w:rPr>
                <w:sz w:val="1"/>
                <w:szCs w:val="1"/>
                <w:color w:val="auto"/>
              </w:rPr>
            </w:pPr>
          </w:p>
        </w:tc>
      </w:tr>
      <w:tr>
        <w:trPr>
          <w:trHeight w:val="214"/>
        </w:trPr>
        <w:tc>
          <w:tcPr>
            <w:tcW w:w="2840" w:type="dxa"/>
            <w:vAlign w:val="bottom"/>
            <w:vMerge w:val="continue"/>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(b)</w:t>
            </w:r>
          </w:p>
        </w:tc>
        <w:tc>
          <w:tcPr>
            <w:tcW w:w="80" w:type="dxa"/>
            <w:vAlign w:val="bottom"/>
          </w:tcPr>
          <w:p>
            <w:pPr>
              <w:spacing w:after="0"/>
              <w:rPr>
                <w:sz w:val="18"/>
                <w:szCs w:val="18"/>
                <w:color w:val="auto"/>
              </w:rPr>
            </w:pPr>
          </w:p>
        </w:tc>
        <w:tc>
          <w:tcPr>
            <w:tcW w:w="27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column (a))</w:t>
            </w:r>
          </w:p>
        </w:tc>
        <w:tc>
          <w:tcPr>
            <w:tcW w:w="0" w:type="dxa"/>
            <w:vAlign w:val="bottom"/>
          </w:tcPr>
          <w:p>
            <w:pPr>
              <w:spacing w:after="0"/>
              <w:rPr>
                <w:sz w:val="1"/>
                <w:szCs w:val="1"/>
                <w:color w:val="auto"/>
              </w:rPr>
            </w:pPr>
          </w:p>
        </w:tc>
      </w:tr>
      <w:tr>
        <w:trPr>
          <w:trHeight w:val="197"/>
        </w:trPr>
        <w:tc>
          <w:tcPr>
            <w:tcW w:w="2840" w:type="dxa"/>
            <w:vAlign w:val="bottom"/>
          </w:tcPr>
          <w:p>
            <w:pPr>
              <w:ind w:left="180"/>
              <w:spacing w:after="0" w:line="197" w:lineRule="exact"/>
              <w:rPr>
                <w:sz w:val="20"/>
                <w:szCs w:val="20"/>
                <w:color w:val="auto"/>
              </w:rPr>
            </w:pPr>
            <w:r>
              <w:rPr>
                <w:rFonts w:ascii="Times New Roman" w:cs="Times New Roman" w:eastAsia="Times New Roman" w:hAnsi="Times New Roman"/>
                <w:sz w:val="20"/>
                <w:szCs w:val="20"/>
                <w:color w:val="auto"/>
              </w:rPr>
              <w:t>Equity compensation plans</w:t>
            </w:r>
          </w:p>
        </w:tc>
        <w:tc>
          <w:tcPr>
            <w:tcW w:w="2520" w:type="dxa"/>
            <w:vAlign w:val="bottom"/>
            <w:vMerge w:val="restart"/>
          </w:tcPr>
          <w:p>
            <w:pPr>
              <w:jc w:val="right"/>
              <w:ind w:right="15"/>
              <w:spacing w:after="0"/>
              <w:rPr>
                <w:sz w:val="20"/>
                <w:szCs w:val="20"/>
                <w:color w:val="auto"/>
              </w:rPr>
            </w:pPr>
            <w:r>
              <w:rPr>
                <w:rFonts w:ascii="Times New Roman" w:cs="Times New Roman" w:eastAsia="Times New Roman" w:hAnsi="Times New Roman"/>
                <w:sz w:val="20"/>
                <w:szCs w:val="20"/>
                <w:color w:val="auto"/>
              </w:rPr>
              <w:t>1,831,754</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38.73</w:t>
            </w:r>
          </w:p>
        </w:tc>
        <w:tc>
          <w:tcPr>
            <w:tcW w:w="280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20"/>
                <w:szCs w:val="20"/>
                <w:color w:val="auto"/>
              </w:rPr>
              <w:t xml:space="preserve">762,367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8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approved by security holders</w:t>
            </w:r>
          </w:p>
        </w:tc>
        <w:tc>
          <w:tcPr>
            <w:tcW w:w="252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Equity compensation plans not</w:t>
            </w:r>
          </w:p>
        </w:tc>
        <w:tc>
          <w:tcPr>
            <w:tcW w:w="2520" w:type="dxa"/>
            <w:vAlign w:val="bottom"/>
            <w:vMerge w:val="restart"/>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720" w:type="dxa"/>
            <w:vAlign w:val="bottom"/>
            <w:vMerge w:val="restart"/>
          </w:tcPr>
          <w:p>
            <w:pPr>
              <w:jc w:val="right"/>
              <w:ind w:right="297"/>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approved by security holders</w:t>
            </w:r>
          </w:p>
        </w:tc>
        <w:tc>
          <w:tcPr>
            <w:tcW w:w="25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-613410</wp:posOffset>
            </wp:positionV>
            <wp:extent cx="6540500" cy="635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a:extLst>
                        <a:ext uri="{28A0092B-C50C-407E-A947-70E740481C1C}"/>
                      </a:extLst>
                    </a:blip>
                    <a:srcRect/>
                    <a:stretch>
                      <a:fillRect/>
                    </a:stretch>
                  </pic:blipFill>
                  <pic:spPr bwMode="auto">
                    <a:xfrm>
                      <a:off x="0" y="0"/>
                      <a:ext cx="6540500" cy="635000"/>
                    </a:xfrm>
                    <a:prstGeom prst="rect">
                      <a:avLst/>
                    </a:prstGeom>
                    <a:noFill/>
                  </pic:spPr>
                </pic:pic>
              </a:graphicData>
            </a:graphic>
          </wp:anchor>
        </w:drawing>
      </w:r>
    </w:p>
    <w:p>
      <w:pPr>
        <w:spacing w:after="0" w:line="31" w:lineRule="exact"/>
        <w:rPr>
          <w:sz w:val="20"/>
          <w:szCs w:val="20"/>
          <w:color w:val="auto"/>
        </w:rPr>
      </w:pPr>
    </w:p>
    <w:p>
      <w:pPr>
        <w:ind w:left="370" w:right="360" w:hanging="370"/>
        <w:spacing w:after="0" w:line="260" w:lineRule="auto"/>
        <w:tabs>
          <w:tab w:leader="none" w:pos="3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20"/>
          <w:szCs w:val="20"/>
          <w:color w:val="auto"/>
        </w:rPr>
        <w:t>ncludes shares underlying RSUs and PSOs, at maximum, as of March 31, 2026. There were no PSUs outstanding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March 31, 2026.</w:t>
      </w:r>
    </w:p>
    <w:p>
      <w:pPr>
        <w:spacing w:after="0" w:line="1" w:lineRule="exact"/>
        <w:rPr>
          <w:rFonts w:ascii="Times New Roman" w:cs="Times New Roman" w:eastAsia="Times New Roman" w:hAnsi="Times New Roman"/>
          <w:sz w:val="20"/>
          <w:szCs w:val="20"/>
          <w:color w:val="auto"/>
        </w:rPr>
      </w:pPr>
    </w:p>
    <w:p>
      <w:pPr>
        <w:ind w:left="370" w:right="220" w:hanging="370"/>
        <w:spacing w:after="0" w:line="239" w:lineRule="auto"/>
        <w:tabs>
          <w:tab w:leader="none" w:pos="3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2023 Stock Plan permits the Company to grant equity compensation awards to employees, consultants and non-employee directors of the Company. The 2023 Stock Plan authorizes 1,350,000 shares of common stock of the Company (“Shares”) for grant, plus remaining available for issuance under previous plans.</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12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We did not sell any equity securities not registered under the Securities Act, during the fiscal year ended March 31,</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3193415</wp:posOffset>
                </wp:positionV>
                <wp:extent cx="65055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51.45pt" to="512.6pt,251.45pt" o:allowincell="f" strokecolor="#000000" strokeweight="1pt"/>
            </w:pict>
          </mc:Fallback>
        </mc:AlternateContent>
      </w:r>
    </w:p>
    <w:p>
      <w:pPr>
        <w:sectPr>
          <w:pgSz w:w="12240" w:h="15840" w:orient="portrait"/>
          <w:cols w:equalWidth="0" w:num="1">
            <w:col w:w="10270"/>
          </w:cols>
          <w:pgMar w:left="99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570"/>
        <w:spacing w:after="0"/>
        <w:rPr>
          <w:sz w:val="20"/>
          <w:szCs w:val="20"/>
          <w:color w:val="auto"/>
        </w:rPr>
      </w:pPr>
      <w:r>
        <w:rPr>
          <w:rFonts w:ascii="Times New Roman" w:cs="Times New Roman" w:eastAsia="Times New Roman" w:hAnsi="Times New Roman"/>
          <w:sz w:val="19"/>
          <w:szCs w:val="19"/>
          <w:color w:val="auto"/>
        </w:rPr>
        <w:t>Page 32</w:t>
      </w:r>
    </w:p>
    <w:p>
      <w:pPr>
        <w:sectPr>
          <w:pgSz w:w="12240" w:h="15840" w:orient="portrait"/>
          <w:cols w:equalWidth="0" w:num="1">
            <w:col w:w="10270"/>
          </w:cols>
          <w:pgMar w:left="990" w:top="201" w:right="980" w:bottom="0" w:gutter="0" w:footer="0" w:header="0"/>
          <w:type w:val="continuous"/>
        </w:sectPr>
      </w:pPr>
    </w:p>
    <w:bookmarkStart w:id="38" w:name="page39"/>
    <w:bookmarkEnd w:id="38"/>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Purchase of Equity Securities by the Issuer and Affiliated Purchasers.</w:t>
      </w:r>
    </w:p>
    <w:p>
      <w:pPr>
        <w:spacing w:after="0" w:line="137" w:lineRule="exact"/>
        <w:rPr>
          <w:sz w:val="20"/>
          <w:szCs w:val="20"/>
          <w:color w:val="auto"/>
        </w:rPr>
      </w:pPr>
    </w:p>
    <w:p>
      <w:pPr>
        <w:ind w:left="10" w:right="540" w:firstLine="720"/>
        <w:spacing w:after="0" w:line="309" w:lineRule="auto"/>
        <w:rPr>
          <w:sz w:val="20"/>
          <w:szCs w:val="20"/>
          <w:color w:val="auto"/>
        </w:rPr>
      </w:pPr>
      <w:r>
        <w:rPr>
          <w:rFonts w:ascii="Times New Roman" w:cs="Times New Roman" w:eastAsia="Times New Roman" w:hAnsi="Times New Roman"/>
          <w:sz w:val="19"/>
          <w:szCs w:val="19"/>
          <w:color w:val="auto"/>
        </w:rPr>
        <w:t>The following table provides information with respect to purchases of our common stock by us or any “affiliated purchaser” as defined in Rule 10b-18(a)(3) under the Exchange Act, during the three months ended March 31, 2026.</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6920" w:type="dxa"/>
            <w:vAlign w:val="bottom"/>
            <w:gridSpan w:val="5"/>
          </w:tcPr>
          <w:p>
            <w:pPr>
              <w:ind w:left="3440"/>
              <w:spacing w:after="0"/>
              <w:rPr>
                <w:sz w:val="20"/>
                <w:szCs w:val="20"/>
                <w:color w:val="auto"/>
              </w:rPr>
            </w:pPr>
            <w:r>
              <w:rPr>
                <w:rFonts w:ascii="Times New Roman" w:cs="Times New Roman" w:eastAsia="Times New Roman" w:hAnsi="Times New Roman"/>
                <w:sz w:val="20"/>
                <w:szCs w:val="20"/>
                <w:b w:val="1"/>
                <w:bCs w:val="1"/>
                <w:color w:val="auto"/>
              </w:rPr>
              <w:t xml:space="preserve">Issuer Purchases of Equity Securities </w:t>
            </w:r>
            <w:r>
              <w:rPr>
                <w:rFonts w:ascii="Times New Roman" w:cs="Times New Roman" w:eastAsia="Times New Roman" w:hAnsi="Times New Roman"/>
                <w:sz w:val="26"/>
                <w:szCs w:val="26"/>
                <w:b w:val="1"/>
                <w:bCs w:val="1"/>
                <w:color w:val="auto"/>
                <w:vertAlign w:val="superscript"/>
              </w:rPr>
              <w:t>(1)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20" w:type="dxa"/>
            <w:vAlign w:val="bottom"/>
            <w:gridSpan w:val="6"/>
          </w:tcPr>
          <w:p>
            <w:pPr>
              <w:ind w:left="3140"/>
              <w:spacing w:after="0"/>
              <w:rPr>
                <w:sz w:val="20"/>
                <w:szCs w:val="20"/>
                <w:color w:val="auto"/>
              </w:rPr>
            </w:pPr>
            <w:r>
              <w:rPr>
                <w:rFonts w:ascii="Times New Roman" w:cs="Times New Roman" w:eastAsia="Times New Roman" w:hAnsi="Times New Roman"/>
                <w:sz w:val="20"/>
                <w:szCs w:val="20"/>
                <w:color w:val="auto"/>
              </w:rPr>
              <w:t>(in thousands except for share and per share data)</w:t>
            </w: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Number</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60"/>
              <w:spacing w:after="0" w:line="192" w:lineRule="exact"/>
              <w:rPr>
                <w:sz w:val="20"/>
                <w:szCs w:val="20"/>
                <w:color w:val="auto"/>
              </w:rPr>
            </w:pPr>
            <w:r>
              <w:rPr>
                <w:rFonts w:ascii="Times New Roman" w:cs="Times New Roman" w:eastAsia="Times New Roman" w:hAnsi="Times New Roman"/>
                <w:sz w:val="20"/>
                <w:szCs w:val="20"/>
                <w:b w:val="1"/>
                <w:bCs w:val="1"/>
                <w:color w:val="auto"/>
              </w:rPr>
              <w:t>Maximum</w:t>
            </w:r>
          </w:p>
        </w:tc>
        <w:tc>
          <w:tcPr>
            <w:tcW w:w="0" w:type="dxa"/>
            <w:vAlign w:val="bottom"/>
          </w:tcPr>
          <w:p>
            <w:pPr>
              <w:spacing w:after="0"/>
              <w:rPr>
                <w:sz w:val="1"/>
                <w:szCs w:val="1"/>
                <w:color w:val="auto"/>
              </w:rPr>
            </w:pPr>
          </w:p>
        </w:tc>
      </w:tr>
      <w:tr>
        <w:trPr>
          <w:trHeight w:val="200"/>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Dollar Value of</w:t>
            </w:r>
          </w:p>
        </w:tc>
        <w:tc>
          <w:tcPr>
            <w:tcW w:w="0" w:type="dxa"/>
            <w:vAlign w:val="bottom"/>
          </w:tcPr>
          <w:p>
            <w:pPr>
              <w:spacing w:after="0"/>
              <w:rPr>
                <w:sz w:val="1"/>
                <w:szCs w:val="1"/>
                <w:color w:val="auto"/>
              </w:rPr>
            </w:pPr>
          </w:p>
        </w:tc>
      </w:tr>
      <w:tr>
        <w:trPr>
          <w:trHeight w:val="200"/>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of Shares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Shares that</w:t>
            </w:r>
          </w:p>
        </w:tc>
        <w:tc>
          <w:tcPr>
            <w:tcW w:w="0" w:type="dxa"/>
            <w:vAlign w:val="bottom"/>
          </w:tcPr>
          <w:p>
            <w:pPr>
              <w:spacing w:after="0"/>
              <w:rPr>
                <w:sz w:val="1"/>
                <w:szCs w:val="1"/>
                <w:color w:val="auto"/>
              </w:rPr>
            </w:pPr>
          </w:p>
        </w:tc>
      </w:tr>
      <w:tr>
        <w:trPr>
          <w:trHeight w:val="200"/>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Purchased 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May Yet be</w:t>
            </w:r>
          </w:p>
        </w:tc>
        <w:tc>
          <w:tcPr>
            <w:tcW w:w="0" w:type="dxa"/>
            <w:vAlign w:val="bottom"/>
          </w:tcPr>
          <w:p>
            <w:pPr>
              <w:spacing w:after="0"/>
              <w:rPr>
                <w:sz w:val="1"/>
                <w:szCs w:val="1"/>
                <w:color w:val="auto"/>
              </w:rPr>
            </w:pPr>
          </w:p>
        </w:tc>
      </w:tr>
      <w:tr>
        <w:trPr>
          <w:trHeight w:val="200"/>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Part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Purchased</w:t>
            </w:r>
          </w:p>
        </w:tc>
        <w:tc>
          <w:tcPr>
            <w:tcW w:w="0" w:type="dxa"/>
            <w:vAlign w:val="bottom"/>
          </w:tcPr>
          <w:p>
            <w:pPr>
              <w:spacing w:after="0"/>
              <w:rPr>
                <w:sz w:val="1"/>
                <w:szCs w:val="1"/>
                <w:color w:val="auto"/>
              </w:rPr>
            </w:pPr>
          </w:p>
        </w:tc>
      </w:tr>
      <w:tr>
        <w:trPr>
          <w:trHeight w:val="200"/>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Number</w:t>
            </w:r>
          </w:p>
        </w:tc>
        <w:tc>
          <w:tcPr>
            <w:tcW w:w="80" w:type="dxa"/>
            <w:vAlign w:val="bottom"/>
          </w:tcPr>
          <w:p>
            <w:pPr>
              <w:spacing w:after="0"/>
              <w:rPr>
                <w:sz w:val="17"/>
                <w:szCs w:val="17"/>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Average Price</w:t>
            </w: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Publicly</w:t>
            </w:r>
          </w:p>
        </w:tc>
        <w:tc>
          <w:tcPr>
            <w:tcW w:w="80" w:type="dxa"/>
            <w:vAlign w:val="bottom"/>
          </w:tcPr>
          <w:p>
            <w:pPr>
              <w:spacing w:after="0"/>
              <w:rPr>
                <w:sz w:val="17"/>
                <w:szCs w:val="17"/>
                <w:color w:val="auto"/>
              </w:rPr>
            </w:pPr>
          </w:p>
        </w:tc>
        <w:tc>
          <w:tcPr>
            <w:tcW w:w="14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Under Publicly</w:t>
            </w:r>
          </w:p>
        </w:tc>
        <w:tc>
          <w:tcPr>
            <w:tcW w:w="0" w:type="dxa"/>
            <w:vAlign w:val="bottom"/>
          </w:tcPr>
          <w:p>
            <w:pPr>
              <w:spacing w:after="0"/>
              <w:rPr>
                <w:sz w:val="1"/>
                <w:szCs w:val="1"/>
                <w:color w:val="auto"/>
              </w:rPr>
            </w:pPr>
          </w:p>
        </w:tc>
      </w:tr>
      <w:tr>
        <w:trPr>
          <w:trHeight w:val="200"/>
        </w:trPr>
        <w:tc>
          <w:tcPr>
            <w:tcW w:w="4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Announced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Announced</w:t>
            </w:r>
          </w:p>
        </w:tc>
        <w:tc>
          <w:tcPr>
            <w:tcW w:w="0" w:type="dxa"/>
            <w:vAlign w:val="bottom"/>
          </w:tcPr>
          <w:p>
            <w:pPr>
              <w:spacing w:after="0"/>
              <w:rPr>
                <w:sz w:val="1"/>
                <w:szCs w:val="1"/>
                <w:color w:val="auto"/>
              </w:rPr>
            </w:pPr>
          </w:p>
        </w:tc>
      </w:tr>
      <w:tr>
        <w:trPr>
          <w:trHeight w:val="200"/>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of Shares</w:t>
            </w:r>
          </w:p>
        </w:tc>
        <w:tc>
          <w:tcPr>
            <w:tcW w:w="8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paid per Share</w:t>
            </w: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Plans or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Plans or</w:t>
            </w:r>
          </w:p>
        </w:tc>
        <w:tc>
          <w:tcPr>
            <w:tcW w:w="0" w:type="dxa"/>
            <w:vAlign w:val="bottom"/>
          </w:tcPr>
          <w:p>
            <w:pPr>
              <w:spacing w:after="0"/>
              <w:rPr>
                <w:sz w:val="1"/>
                <w:szCs w:val="1"/>
                <w:color w:val="auto"/>
              </w:rPr>
            </w:pPr>
          </w:p>
        </w:tc>
      </w:tr>
      <w:tr>
        <w:trPr>
          <w:trHeight w:val="263"/>
        </w:trPr>
        <w:tc>
          <w:tcPr>
            <w:tcW w:w="4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Purchased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Programs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Programs</w:t>
            </w:r>
          </w:p>
        </w:tc>
        <w:tc>
          <w:tcPr>
            <w:tcW w:w="0" w:type="dxa"/>
            <w:vAlign w:val="bottom"/>
          </w:tcPr>
          <w:p>
            <w:pPr>
              <w:spacing w:after="0"/>
              <w:rPr>
                <w:sz w:val="1"/>
                <w:szCs w:val="1"/>
                <w:color w:val="auto"/>
              </w:rPr>
            </w:pPr>
          </w:p>
        </w:tc>
      </w:tr>
      <w:tr>
        <w:trPr>
          <w:trHeight w:val="262"/>
        </w:trPr>
        <w:tc>
          <w:tcPr>
            <w:tcW w:w="4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January 1, 2026 through January 31, 2026</w:t>
            </w:r>
          </w:p>
        </w:tc>
        <w:tc>
          <w:tcPr>
            <w:tcW w:w="6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Open market and privately negotiated purchases</w:t>
            </w:r>
          </w:p>
        </w:tc>
        <w:tc>
          <w:tcPr>
            <w:tcW w:w="6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226,672</w:t>
            </w: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 2026 through February 28, 2026</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Open market and privately negotiated purchases</w:t>
            </w:r>
          </w:p>
        </w:tc>
        <w:tc>
          <w:tcPr>
            <w:tcW w:w="6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226,672</w:t>
            </w:r>
          </w:p>
        </w:tc>
        <w:tc>
          <w:tcPr>
            <w:tcW w:w="0" w:type="dxa"/>
            <w:vAlign w:val="bottom"/>
          </w:tcPr>
          <w:p>
            <w:pPr>
              <w:spacing w:after="0"/>
              <w:rPr>
                <w:sz w:val="1"/>
                <w:szCs w:val="1"/>
                <w:color w:val="auto"/>
              </w:rPr>
            </w:pPr>
          </w:p>
        </w:tc>
      </w:tr>
      <w:tr>
        <w:trPr>
          <w:trHeight w:val="285"/>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1, 2026 through March 31, 2026</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Open market and privately negotiated purchases</w:t>
            </w:r>
          </w:p>
        </w:tc>
        <w:tc>
          <w:tcPr>
            <w:tcW w:w="60" w:type="dxa"/>
            <w:vAlign w:val="bottom"/>
          </w:tcPr>
          <w:p>
            <w:pPr>
              <w:spacing w:after="0"/>
              <w:rPr>
                <w:sz w:val="24"/>
                <w:szCs w:val="24"/>
                <w:color w:val="auto"/>
              </w:rPr>
            </w:pP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226,672</w:t>
            </w:r>
          </w:p>
        </w:tc>
        <w:tc>
          <w:tcPr>
            <w:tcW w:w="0" w:type="dxa"/>
            <w:vAlign w:val="bottom"/>
          </w:tcPr>
          <w:p>
            <w:pPr>
              <w:spacing w:after="0"/>
              <w:rPr>
                <w:sz w:val="1"/>
                <w:szCs w:val="1"/>
                <w:color w:val="auto"/>
              </w:rPr>
            </w:pPr>
          </w:p>
        </w:tc>
      </w:tr>
      <w:tr>
        <w:trPr>
          <w:trHeight w:val="265"/>
        </w:trPr>
        <w:tc>
          <w:tcPr>
            <w:tcW w:w="4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Pr>
          <w:p>
            <w:pPr>
              <w:spacing w:after="0"/>
              <w:rPr>
                <w:sz w:val="23"/>
                <w:szCs w:val="23"/>
                <w:color w:val="auto"/>
              </w:rPr>
            </w:pP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-1285240</wp:posOffset>
            </wp:positionV>
            <wp:extent cx="6540500" cy="129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extLst>
                    </a:blip>
                    <a:srcRect/>
                    <a:stretch>
                      <a:fillRect/>
                    </a:stretch>
                  </pic:blipFill>
                  <pic:spPr bwMode="auto">
                    <a:xfrm>
                      <a:off x="0" y="0"/>
                      <a:ext cx="6540500" cy="1292225"/>
                    </a:xfrm>
                    <a:prstGeom prst="rect">
                      <a:avLst/>
                    </a:prstGeom>
                    <a:noFill/>
                  </pic:spPr>
                </pic:pic>
              </a:graphicData>
            </a:graphic>
          </wp:anchor>
        </w:drawing>
      </w:r>
    </w:p>
    <w:p>
      <w:pPr>
        <w:spacing w:after="0" w:line="8" w:lineRule="exact"/>
        <w:rPr>
          <w:sz w:val="20"/>
          <w:szCs w:val="20"/>
          <w:color w:val="auto"/>
        </w:rPr>
      </w:pPr>
    </w:p>
    <w:p>
      <w:pPr>
        <w:ind w:left="370" w:right="20" w:hanging="370"/>
        <w:spacing w:after="0" w:line="236" w:lineRule="auto"/>
        <w:tabs>
          <w:tab w:leader="none" w:pos="37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2023, our Board authorized the 2023 Share Repurchase Program pursuant to which we may repurchase up to $250.0 million of our common stock on or before September 21, 2026. We may repurchase shares of our common stock via the open market and/or privately negotiated transactions. Repurchases will be made in accordance with applicable securities laws and may be effected pursuant to Rule 10b5-1 trading plans. The manner, timing and amount of any share repurchases will be determined by us based on a variety of factors, including proceeds from customer contracts, the timing of which is unpredictable, as well as general business and market conditions, our capital position, and other strategic considerations. The 2023 Share Repurchase Program does not obligate us to repurchase any particular amount of our common stock.</w:t>
      </w:r>
    </w:p>
    <w:p>
      <w:pPr>
        <w:spacing w:after="0" w:line="4" w:lineRule="exact"/>
        <w:rPr>
          <w:rFonts w:ascii="Times New Roman" w:cs="Times New Roman" w:eastAsia="Times New Roman" w:hAnsi="Times New Roman"/>
          <w:sz w:val="20"/>
          <w:szCs w:val="20"/>
          <w:color w:val="auto"/>
        </w:rPr>
      </w:pPr>
    </w:p>
    <w:p>
      <w:pPr>
        <w:ind w:left="370" w:right="20" w:hanging="370"/>
        <w:spacing w:after="0" w:line="259" w:lineRule="auto"/>
        <w:tabs>
          <w:tab w:leader="none" w:pos="37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price paid per share includes cost associated with the repurchases, excluding excise taxes associated with the share repurchases.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3937635</wp:posOffset>
                </wp:positionV>
                <wp:extent cx="65055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10.05pt" to="512.6pt,310.05pt" o:allowincell="f" strokecolor="#000000" strokeweight="1pt"/>
            </w:pict>
          </mc:Fallback>
        </mc:AlternateContent>
      </w:r>
    </w:p>
    <w:p>
      <w:pPr>
        <w:sectPr>
          <w:pgSz w:w="12240" w:h="15840" w:orient="portrait"/>
          <w:cols w:equalWidth="0" w:num="1">
            <w:col w:w="10270"/>
          </w:cols>
          <w:pgMar w:left="99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570"/>
        <w:spacing w:after="0"/>
        <w:rPr>
          <w:sz w:val="20"/>
          <w:szCs w:val="20"/>
          <w:color w:val="auto"/>
        </w:rPr>
      </w:pPr>
      <w:r>
        <w:rPr>
          <w:rFonts w:ascii="Times New Roman" w:cs="Times New Roman" w:eastAsia="Times New Roman" w:hAnsi="Times New Roman"/>
          <w:sz w:val="19"/>
          <w:szCs w:val="19"/>
          <w:color w:val="auto"/>
        </w:rPr>
        <w:t>Page 33</w:t>
      </w:r>
    </w:p>
    <w:p>
      <w:pPr>
        <w:sectPr>
          <w:pgSz w:w="12240" w:h="15840" w:orient="portrait"/>
          <w:cols w:equalWidth="0" w:num="1">
            <w:col w:w="10270"/>
          </w:cols>
          <w:pgMar w:left="990" w:top="201"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55"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The following management’s discussion and analysis of financial condition and results of operations should be read in conjunction with our historical consolidated financial statements and the related notes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This management’s discussion and analysis contains forward-looking statements that involve risks and uncertainties, such as statements of our plans, objectives, expectations and intentions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Any statements that are not statements of historical fact are forward-looking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These forward-looking statements are subject to risks and uncertainties that could cause our actual results or events to differ materially from those expressed or implied by the forward-looking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Factors that could cause or contribute to such differences include, but are not limited to, those identified below and those discussed in the section entitled “Risk Factors” included elsewhere in this Annual Report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Except as required by applicable law we do not undertake any obligation to update forward-looking statements to reflect events or circumstances occurring after the date of this Annual Report.</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This management’s discussion and analysis of financial condition and results of operations is based on our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consolidated financial statements, which we have prepared in accordance with accounting principles generally accepted in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 of America (“U.S. GAAP”)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preparation of these financial statements requires us to make estimates and</w:t>
      </w:r>
    </w:p>
    <w:p>
      <w:pPr>
        <w:spacing w:after="0"/>
        <w:rPr>
          <w:sz w:val="20"/>
          <w:szCs w:val="20"/>
          <w:color w:val="auto"/>
        </w:rPr>
      </w:pPr>
      <w:r>
        <w:rPr>
          <w:rFonts w:ascii="Times New Roman" w:cs="Times New Roman" w:eastAsia="Times New Roman" w:hAnsi="Times New Roman"/>
          <w:sz w:val="19"/>
          <w:szCs w:val="19"/>
          <w:b w:val="1"/>
          <w:bCs w:val="1"/>
          <w:i w:val="1"/>
          <w:iCs w:val="1"/>
          <w:color w:val="auto"/>
        </w:rPr>
        <w:t>assumptions that affect the reported amounts of assets and liabilities and the disclosure of contingent assets and liabilities at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date of the consolidated financial statements, as well as the reported revenues and expenses during the reporting</w:t>
      </w:r>
    </w:p>
    <w:p>
      <w:pPr>
        <w:spacing w:after="0"/>
        <w:rPr>
          <w:sz w:val="20"/>
          <w:szCs w:val="20"/>
          <w:color w:val="auto"/>
        </w:rPr>
      </w:pPr>
      <w:r>
        <w:rPr>
          <w:rFonts w:ascii="Times New Roman" w:cs="Times New Roman" w:eastAsia="Times New Roman" w:hAnsi="Times New Roman"/>
          <w:sz w:val="19"/>
          <w:szCs w:val="19"/>
          <w:b w:val="1"/>
          <w:bCs w:val="1"/>
          <w:i w:val="1"/>
          <w:iCs w:val="1"/>
          <w:color w:val="auto"/>
        </w:rPr>
        <w:t>periods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On an ongoing basis, we evaluate such estimates and judgments, including those described in greater detail below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base our estimates on historical experience and on various other factors that we believe are reasonable under the</w:t>
      </w:r>
    </w:p>
    <w:p>
      <w:pPr>
        <w:spacing w:after="0"/>
        <w:rPr>
          <w:sz w:val="20"/>
          <w:szCs w:val="20"/>
          <w:color w:val="auto"/>
        </w:rPr>
      </w:pPr>
      <w:r>
        <w:rPr>
          <w:rFonts w:ascii="Times New Roman" w:cs="Times New Roman" w:eastAsia="Times New Roman" w:hAnsi="Times New Roman"/>
          <w:sz w:val="19"/>
          <w:szCs w:val="19"/>
          <w:b w:val="1"/>
          <w:bCs w:val="1"/>
          <w:i w:val="1"/>
          <w:iCs w:val="1"/>
          <w:color w:val="auto"/>
        </w:rPr>
        <w:t>circumstances, the results of which form the basis for making judgments about the carrying value of assets and liabilities that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are not readily apparent from other sources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Our actual results may differ from these estimates under different assumptions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conditions.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ind w:right="380" w:firstLine="720"/>
        <w:spacing w:after="0" w:line="258" w:lineRule="auto"/>
        <w:rPr>
          <w:sz w:val="20"/>
          <w:szCs w:val="20"/>
          <w:color w:val="auto"/>
        </w:rPr>
      </w:pPr>
      <w:r>
        <w:rPr>
          <w:rFonts w:ascii="Times New Roman" w:cs="Times New Roman" w:eastAsia="Times New Roman" w:hAnsi="Times New Roman"/>
          <w:sz w:val="20"/>
          <w:szCs w:val="20"/>
          <w:color w:val="auto"/>
        </w:rPr>
        <w:t>Anterix Inc. is the nation’s largest holder of licensed 900 MHz spectrum (896-901/935-940 MHz) with coverage spanning the contiguous United States, Hawaii, Alaska, and Puerto Rico. Our mission is to transform critical infrastructure connectivity, commercialize our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spacing w:after="0" w:line="84" w:lineRule="exact"/>
        <w:rPr>
          <w:sz w:val="20"/>
          <w:szCs w:val="20"/>
          <w:color w:val="auto"/>
        </w:rPr>
      </w:pPr>
    </w:p>
    <w:p>
      <w:pPr>
        <w:ind w:right="380" w:firstLine="720"/>
        <w:spacing w:after="0" w:line="281" w:lineRule="auto"/>
        <w:rPr>
          <w:sz w:val="20"/>
          <w:szCs w:val="20"/>
          <w:color w:val="auto"/>
        </w:rPr>
      </w:pPr>
      <w:r>
        <w:rPr>
          <w:rFonts w:ascii="Times New Roman" w:cs="Times New Roman" w:eastAsia="Times New Roman" w:hAnsi="Times New Roman"/>
          <w:sz w:val="20"/>
          <w:szCs w:val="20"/>
          <w:color w:val="auto"/>
        </w:rPr>
        <w:t>Refer to our Business Section of this Annual Report for a more complete description of the nature of our business, including details regarding the process and costs to secure our broadband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Developments</w:t>
      </w:r>
    </w:p>
    <w:p>
      <w:pPr>
        <w:spacing w:after="0" w:line="137"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During fiscal 2026, we evolved our business strategy. Building on our foundational 900 MHz spectrum position, we transitioned from a model focused predominantly on long-term spectrum leasing to a broader operating model. In the ordinary course of business, we now secure and expand our spectrum position, clear and retune spectrum, monetize spectrum through both sales and long-term leases, and develop a growing portfolio of products and services offerings around our spectrum that are designed to generate recurring revenue. Together, these activities form the foundation of how we generate revenue today and how we expect to generate revenue over time. Our new brand and visual identity, introduced during the fourth quarter, reflects this evolution.</w:t>
      </w:r>
    </w:p>
    <w:p>
      <w:pPr>
        <w:spacing w:after="0" w:line="9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On April 16, 2026, we entered into a 10 MHz 900 MHz spectrum license sale agreement with Public Utility District No. 1 of Benton County (“Benton PUD”) to provide 900 MHz Broadband Spectrum in the 10 MHz broadband configuration, covering Benton County, Washington, (the “Benton Agreement”) for a total consideration of $0.8 million. This will enable Benton PUD to deploy a private wireless broadband network that will provide the taxpayer-owned utility and the community it serves with transformative communications capabilities to support its energy leadership, cooperation, and stewardship.</w:t>
      </w:r>
    </w:p>
    <w:p>
      <w:pPr>
        <w:spacing w:after="0" w:line="8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On March 30, 2026, we entered into a spectrum license sale agreement with NWE to provide 900 MHz Broadband Spectrum in the 10 MHz broadband configuration, (the “NWE Agreement”) for a total consideration of $7.7 million. This agreement marks our first deployment of 10 MHz broadband configuration in the 900 MHz band providing the foundation NWE needs to build a secure platform for a modern grid, enabling the delivery of safe, reliable energy for the communities they serve.</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March 25, 2026, we entered into a spectrum license sale agreement with TNMP to provide 900 MHz Broadband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Spectrum covering Brazoria County and Galveston County, Texas, (the “TNMP Agreement”) for a total consideration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$3.2 million, facilitating TNMP to deploy a mission- critical private wireless network designed to strengthen grid reliability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support essential service improvements across its territory.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552450</wp:posOffset>
                </wp:positionV>
                <wp:extent cx="65049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3.5pt" to="512.1pt,43.5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34</w:t>
      </w:r>
    </w:p>
    <w:p>
      <w:pPr>
        <w:sectPr>
          <w:pgSz w:w="12240" w:h="15840" w:orient="portrait"/>
          <w:cols w:equalWidth="0" w:num="1">
            <w:col w:w="10220"/>
          </w:cols>
          <w:pgMar w:left="1000" w:top="201" w:right="102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February 18, 2026, the FCC adopted the 2026 Report and Order to expand 900 MHz band to 10 MHz.</w:t>
      </w:r>
    </w:p>
    <w:p>
      <w:pPr>
        <w:spacing w:after="0" w:line="130"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auto"/>
        </w:rPr>
        <w:t>On January 30, 2026, we entered into a spectrum license sale agreement with CPS to provide 900 MHz broadband license covering Bexar County, Texas, (the “CPS Agreement”) for a total payment of $13.0 million, facilitating CPS to deploy a utility private wireless broadband network that will strengthen its grid operations, enhance reliability, and accelerate innovation at scale.</w:t>
      </w:r>
    </w:p>
    <w:p>
      <w:pPr>
        <w:spacing w:after="0" w:line="83" w:lineRule="exact"/>
        <w:rPr>
          <w:sz w:val="20"/>
          <w:szCs w:val="20"/>
          <w:color w:val="auto"/>
        </w:rPr>
      </w:pPr>
    </w:p>
    <w:p>
      <w:pPr>
        <w:ind w:right="160" w:firstLine="720"/>
        <w:spacing w:after="0"/>
        <w:rPr>
          <w:sz w:val="20"/>
          <w:szCs w:val="20"/>
          <w:color w:val="auto"/>
        </w:rPr>
      </w:pPr>
      <w:r>
        <w:rPr>
          <w:rFonts w:ascii="Times New Roman" w:cs="Times New Roman" w:eastAsia="Times New Roman" w:hAnsi="Times New Roman"/>
          <w:sz w:val="20"/>
          <w:szCs w:val="20"/>
          <w:color w:val="auto"/>
        </w:rPr>
        <w:t>In November 2025, Anterix, Inc. and Crown Castle, one of the nation’s largest tower companies, announced a new turnkey tower service, TowerX</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that helps utilities accelerate buildout timelines by providing access to pre-negotiated tower sites, centralized data and expert support. We also relaunched CatalyX®, a turnkey SIM provisioning, connectivity management and roaming solution that helps utilities efficiently and securely activate and manage devices across public and private networks.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w:t>
      </w:r>
    </w:p>
    <w:p>
      <w:pPr>
        <w:spacing w:after="0" w:line="137"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auto"/>
        </w:rPr>
        <w:t>A discussion and analysis of the primary factors contributing to our results of operations are presented below. The following tables summarize our results of operations and financial data for the years ended March 31, 2026 (“Fiscal 2026”) and March 31, 2025 (“Fiscal 2025”). The following data should be read in conjunction with our Consolidated Financial Statements and the notes thereto included in “Item 8. Financial Statements and Supplementary Data” of this Form 10-K.</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Spectrum revenue</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6,031</w:t>
            </w:r>
          </w:p>
        </w:tc>
      </w:tr>
      <w:tr>
        <w:trPr>
          <w:trHeight w:val="57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42,671</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Sales and support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6,110</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Product development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5,735</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Severance and other related charges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3,771</w:t>
            </w:r>
          </w:p>
        </w:tc>
      </w:tr>
      <w:tr>
        <w:trPr>
          <w:trHeight w:val="288"/>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548</w:t>
            </w:r>
          </w:p>
        </w:tc>
      </w:tr>
      <w:tr>
        <w:trPr>
          <w:trHeight w:val="265"/>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52,726</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58,835</w:t>
            </w:r>
          </w:p>
        </w:tc>
      </w:tr>
      <w:tr>
        <w:trPr>
          <w:trHeight w:val="262"/>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exchange of intangible assets, net</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(22,799)</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sale of intangible assets, net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(18,294)</w:t>
            </w:r>
          </w:p>
        </w:tc>
      </w:tr>
      <w:tr>
        <w:trPr>
          <w:trHeight w:val="288"/>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Loss from disposal of long-lived assets, net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r>
      <w:tr>
        <w:trPr>
          <w:trHeight w:val="262"/>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Income (loss) from operations</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93,930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(11,714)</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2,159</w:t>
            </w: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75</w:t>
            </w:r>
          </w:p>
        </w:tc>
      </w:tr>
      <w:tr>
        <w:trPr>
          <w:trHeight w:val="262"/>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95,706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(9,480)</w:t>
            </w: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1,892</w:t>
            </w:r>
          </w:p>
        </w:tc>
      </w:tr>
      <w:tr>
        <w:trPr>
          <w:trHeight w:val="24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90,635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(11,372)</w:t>
            </w:r>
          </w:p>
        </w:tc>
      </w:tr>
      <w:tr>
        <w:trPr>
          <w:trHeight w:val="20"/>
        </w:trPr>
        <w:tc>
          <w:tcPr>
            <w:tcW w:w="7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-3288665</wp:posOffset>
            </wp:positionV>
            <wp:extent cx="6553200" cy="3308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a:extLst>
                        <a:ext uri="{28A0092B-C50C-407E-A947-70E740481C1C}"/>
                      </a:extLst>
                    </a:blip>
                    <a:srcRect/>
                    <a:stretch>
                      <a:fillRect/>
                    </a:stretch>
                  </pic:blipFill>
                  <pic:spPr bwMode="auto">
                    <a:xfrm>
                      <a:off x="0" y="0"/>
                      <a:ext cx="6553200" cy="330835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w:t>
      </w:r>
    </w:p>
    <w:p>
      <w:pPr>
        <w:spacing w:after="0" w:line="134" w:lineRule="exact"/>
        <w:rPr>
          <w:sz w:val="20"/>
          <w:szCs w:val="20"/>
          <w:color w:val="auto"/>
        </w:rPr>
      </w:pPr>
    </w:p>
    <w:p>
      <w:pPr>
        <w:ind w:right="160" w:firstLine="720"/>
        <w:spacing w:after="0" w:line="281" w:lineRule="auto"/>
        <w:rPr>
          <w:sz w:val="20"/>
          <w:szCs w:val="20"/>
          <w:color w:val="auto"/>
        </w:rPr>
      </w:pPr>
      <w:r>
        <w:rPr>
          <w:rFonts w:ascii="Times New Roman" w:cs="Times New Roman" w:eastAsia="Times New Roman" w:hAnsi="Times New Roman"/>
          <w:sz w:val="20"/>
          <w:szCs w:val="20"/>
          <w:color w:val="auto"/>
        </w:rPr>
        <w:t>Our net income for Fiscal 2026 increased by approximately $102.0 million, or 897%, to $90.6 million from a net loss of $11.4 million in Fiscal 2025. The increase in net income was primarily due to the following:</w:t>
      </w:r>
    </w:p>
    <w:p>
      <w:pPr>
        <w:spacing w:after="0" w:line="61"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Spectrum revenues increased by $0.5 million, or 8%, to $6.5 million in Fiscal 2026 from $6.0 million in Fiscal</w:t>
      </w:r>
    </w:p>
    <w:p>
      <w:pPr>
        <w:spacing w:after="0" w:line="30" w:lineRule="exact"/>
        <w:rPr>
          <w:rFonts w:ascii="Times New Roman" w:cs="Times New Roman" w:eastAsia="Times New Roman" w:hAnsi="Times New Roman"/>
          <w:sz w:val="20"/>
          <w:szCs w:val="20"/>
          <w:b w:val="1"/>
          <w:bCs w:val="1"/>
          <w:i w:val="1"/>
          <w:iCs w:val="1"/>
          <w:color w:val="auto"/>
        </w:rPr>
      </w:pPr>
    </w:p>
    <w:p>
      <w:pPr>
        <w:ind w:left="720" w:right="260"/>
        <w:spacing w:after="0" w:line="253"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 xml:space="preserve">2025. The increase in our spectrum revenue was primarily attributable to revenue recognized in connection with our agreements with TECO of approximately $0.6 million, Xcel Energy of approximately $0.3 million, and Ameren of approximately $0.1 million, partially offset by $0.5 million lower revenue from our agreement with Motorola Solutions. For a discussion of our revenue recognition policy, refer to Note 2 </w:t>
      </w:r>
      <w:r>
        <w:rPr>
          <w:rFonts w:ascii="Times New Roman" w:cs="Times New Roman" w:eastAsia="Times New Roman" w:hAnsi="Times New Roman"/>
          <w:sz w:val="20"/>
          <w:szCs w:val="20"/>
          <w:b w:val="1"/>
          <w:bCs w:val="1"/>
          <w:i w:val="1"/>
          <w:iCs w:val="1"/>
          <w:color w:val="auto"/>
        </w:rPr>
        <w:t>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Policies </w:t>
      </w:r>
      <w:r>
        <w:rPr>
          <w:rFonts w:ascii="Times New Roman" w:cs="Times New Roman" w:eastAsia="Times New Roman" w:hAnsi="Times New Roman"/>
          <w:sz w:val="20"/>
          <w:szCs w:val="20"/>
          <w:color w:val="auto"/>
        </w:rPr>
        <w:t>in the Notes to the Consolidated Financial Statements contained within this Annual Report.</w:t>
      </w:r>
    </w:p>
    <w:p>
      <w:pPr>
        <w:spacing w:after="0" w:line="87" w:lineRule="exact"/>
        <w:rPr>
          <w:rFonts w:ascii="Times New Roman" w:cs="Times New Roman" w:eastAsia="Times New Roman" w:hAnsi="Times New Roman"/>
          <w:sz w:val="20"/>
          <w:szCs w:val="20"/>
          <w:b w:val="1"/>
          <w:bCs w:val="1"/>
          <w:i w:val="1"/>
          <w:iCs w:val="1"/>
          <w:color w:val="auto"/>
        </w:rPr>
      </w:pPr>
    </w:p>
    <w:p>
      <w:pPr>
        <w:ind w:left="720" w:right="60" w:hanging="37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expenses decreased by $6.6 million, or 15%, to $36.1 million in Fiscal 2026 from $42.7 million in Fiscal 2025. The decrease resulted from $1.7 million lower stock compensation expense, $3.0 million headcount related costs, $1.5 million professional services and $0.6 million contract consulting fees, partially offset by $0.2 million higher travel and entertainment expense.</w:t>
      </w:r>
    </w:p>
    <w:p>
      <w:pPr>
        <w:spacing w:after="0" w:line="83"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support expense increased by $0.8 million, or 13%, to $6.9 million in Fiscal 2026 from $6.1 million in Fiscal 2025. The increase primarily resulted from $0.4 million higher headcount related costs, $0.2 million contract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284480</wp:posOffset>
                </wp:positionV>
                <wp:extent cx="650494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2.4pt" to="512.1pt,22.4pt" o:allowincell="f" strokecolor="#000000" strokeweight="1pt"/>
            </w:pict>
          </mc:Fallback>
        </mc:AlternateContent>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35</w:t>
      </w:r>
    </w:p>
    <w:p>
      <w:pPr>
        <w:sectPr>
          <w:pgSz w:w="12240" w:h="15840" w:orient="portrait"/>
          <w:cols w:equalWidth="0" w:num="1">
            <w:col w:w="10260"/>
          </w:cols>
          <w:pgMar w:left="1000" w:top="201" w:right="9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720" w:right="80"/>
        <w:spacing w:after="0" w:line="281" w:lineRule="auto"/>
        <w:rPr>
          <w:sz w:val="20"/>
          <w:szCs w:val="20"/>
          <w:color w:val="auto"/>
        </w:rPr>
      </w:pPr>
      <w:r>
        <w:rPr>
          <w:rFonts w:ascii="Times New Roman" w:cs="Times New Roman" w:eastAsia="Times New Roman" w:hAnsi="Times New Roman"/>
          <w:sz w:val="20"/>
          <w:szCs w:val="20"/>
          <w:color w:val="auto"/>
        </w:rPr>
        <w:t>consulting fees, $0.2 million stock compensation expense and $0.1 million marketing expense, partially offset by $0.1 million lower professional services fees.</w:t>
      </w:r>
    </w:p>
    <w:p>
      <w:pPr>
        <w:spacing w:after="0" w:line="61" w:lineRule="exact"/>
        <w:rPr>
          <w:sz w:val="20"/>
          <w:szCs w:val="20"/>
          <w:color w:val="auto"/>
        </w:rPr>
      </w:pPr>
    </w:p>
    <w:p>
      <w:pPr>
        <w:jc w:val="both"/>
        <w:ind w:left="720" w:right="120" w:hanging="370"/>
        <w:spacing w:after="0" w:line="286" w:lineRule="auto"/>
        <w:tabs>
          <w:tab w:leader="none" w:pos="7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 development expenses decreased by $1.0 million, or 18%, to $4.7 million in Fiscal 2026 from $5.7 million in Fiscal 2025. The decrease primarily resulted from $1.2 million lower contract consulting fees, $0.4 million IT related costs, partially offset by $0.5 million higher stock compensation expense and $0.1 million headcount related costs.</w:t>
      </w:r>
    </w:p>
    <w:p>
      <w:pPr>
        <w:spacing w:after="0" w:line="58" w:lineRule="exact"/>
        <w:rPr>
          <w:rFonts w:ascii="Times New Roman" w:cs="Times New Roman" w:eastAsia="Times New Roman" w:hAnsi="Times New Roman"/>
          <w:sz w:val="19"/>
          <w:szCs w:val="19"/>
          <w:color w:val="auto"/>
        </w:rPr>
      </w:pPr>
    </w:p>
    <w:p>
      <w:pPr>
        <w:ind w:left="720" w:right="240" w:hanging="37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and other related expenses increased by $0.8 million, or 22%, to $4.6 million in Fiscal 2026 from $3.8 million for Fiscal 2025. The increase is primarily attributable to $2.7 million higher severance related to the Fiscal 2026 workforce reduction, partially offset by $1.9 million due to severance payments and lower stock compensation expenses related to the most recent CEO transition and Fiscal 2025 workforce reduction.</w:t>
      </w:r>
    </w:p>
    <w:p>
      <w:pPr>
        <w:spacing w:after="0" w:line="83" w:lineRule="exact"/>
        <w:rPr>
          <w:rFonts w:ascii="Times New Roman" w:cs="Times New Roman" w:eastAsia="Times New Roman" w:hAnsi="Times New Roman"/>
          <w:sz w:val="20"/>
          <w:szCs w:val="20"/>
          <w:color w:val="auto"/>
        </w:rPr>
      </w:pPr>
    </w:p>
    <w:p>
      <w:pPr>
        <w:ind w:left="720" w:hanging="370"/>
        <w:spacing w:after="0" w:line="25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Gain on exchange of intangible assets, net increased by $82.6 million, or 362%, to $105.4 million in Fiscal 2026 from $22.8 million for Fiscal 2025. During Fiscal 2026, we exchanged our narrowband licenses for broadband licenses in 219 counties. In connection with the exchange, we recorded $139.6 million for the new broadband licenses and disposed of $34.2 million related to the value ascribed to the narrowband licenses we relinquished to the FCC for those same 219 counties (including additional clearing cost for previously exchanged narrowband licenses). As a result, we recorded a $105.4 million non-monetary gain on exchange of the intangible assets on our Consolidated Statements of Operations. During Fiscal 2025, we exchanged our narrowband licenses for broadband licenses in 67 counties. In connection with the exchange, we recorded $27.0 million for the new broadband licenses and disposed of $4.2 million related to the value ascribed to the narrowband licenses we relinquished to the FCC for those same 67 counties (including additional clearing cost for previously exchanged narrowband licenses). As a result, we recorded a $22.8 million non-monetary gain on exchange of the intangible assets on our Consolidated Statements of Operations. Refer to Note 7 </w:t>
      </w:r>
      <w:r>
        <w:rPr>
          <w:rFonts w:ascii="Times New Roman" w:cs="Times New Roman" w:eastAsia="Times New Roman" w:hAnsi="Times New Roman"/>
          <w:sz w:val="20"/>
          <w:szCs w:val="20"/>
          <w:b w:val="1"/>
          <w:bCs w:val="1"/>
          <w:i w:val="1"/>
          <w:iCs w:val="1"/>
          <w:color w:val="auto"/>
        </w:rPr>
        <w:t>Intangible Assets</w:t>
      </w:r>
      <w:r>
        <w:rPr>
          <w:rFonts w:ascii="Times New Roman" w:cs="Times New Roman" w:eastAsia="Times New Roman" w:hAnsi="Times New Roman"/>
          <w:sz w:val="20"/>
          <w:szCs w:val="20"/>
          <w:color w:val="auto"/>
        </w:rPr>
        <w:t xml:space="preserve"> in the Notes to the Consolidated Financial Statements contained within this Annual Report for further discussion on the exchanges.</w:t>
      </w:r>
    </w:p>
    <w:p>
      <w:pPr>
        <w:spacing w:after="0" w:line="88" w:lineRule="exact"/>
        <w:rPr>
          <w:rFonts w:ascii="Times New Roman" w:cs="Times New Roman" w:eastAsia="Times New Roman" w:hAnsi="Times New Roman"/>
          <w:sz w:val="20"/>
          <w:szCs w:val="20"/>
          <w:color w:val="auto"/>
        </w:rPr>
      </w:pPr>
    </w:p>
    <w:p>
      <w:pPr>
        <w:ind w:left="720" w:right="40" w:hanging="370"/>
        <w:spacing w:after="0" w:line="255"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Gain on sale of intangible assets, net increased by $16.5 million, or 90%, to $34.8 million in Fiscal 2026 from $18.3 million for Fiscal 2025. During Fiscal 2026, we transferred to LCRA and Oncor 64 and 91 broadband licenses, respectively, and recorded a $34.8 million gain on sale of intangible assets on our Consolidated Statements of Operations. During Fiscal 2025, we transferred to Oncor four broadband licenses and recorded a $18.3 million gain on sale of intangible assets on our Consolidated Statements of Operations. Refer to Note 7 </w:t>
      </w:r>
      <w:r>
        <w:rPr>
          <w:rFonts w:ascii="Times New Roman" w:cs="Times New Roman" w:eastAsia="Times New Roman" w:hAnsi="Times New Roman"/>
          <w:sz w:val="20"/>
          <w:szCs w:val="20"/>
          <w:b w:val="1"/>
          <w:bCs w:val="1"/>
          <w:i w:val="1"/>
          <w:iCs w:val="1"/>
          <w:color w:val="auto"/>
        </w:rPr>
        <w:t>Intangible Assets</w:t>
      </w:r>
      <w:r>
        <w:rPr>
          <w:rFonts w:ascii="Times New Roman" w:cs="Times New Roman" w:eastAsia="Times New Roman" w:hAnsi="Times New Roman"/>
          <w:sz w:val="20"/>
          <w:szCs w:val="20"/>
          <w:color w:val="auto"/>
        </w:rPr>
        <w:t xml:space="preserve"> in the Notes to the Consolidated Financial Statements contained within this Annual Report for further discussion on the sale of intangible assets.</w:t>
      </w:r>
    </w:p>
    <w:p>
      <w:pPr>
        <w:spacing w:after="0" w:line="89"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decreased by $0.5 million, or 24%, to $1.6 million in Fiscal 2026 as compared to $2.2 million from Fiscal 2025. The decrease was primarily attributable to a lower average cash balance during the period.</w:t>
      </w:r>
    </w:p>
    <w:p>
      <w:pPr>
        <w:spacing w:after="0" w:line="61" w:lineRule="exact"/>
        <w:rPr>
          <w:rFonts w:ascii="Times New Roman" w:cs="Times New Roman" w:eastAsia="Times New Roman" w:hAnsi="Times New Roman"/>
          <w:sz w:val="20"/>
          <w:szCs w:val="20"/>
          <w:color w:val="auto"/>
        </w:rPr>
      </w:pPr>
    </w:p>
    <w:p>
      <w:pPr>
        <w:jc w:val="both"/>
        <w:ind w:left="720" w:right="4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expense increased by $3.2 million, or 168%, to $5.1 million in Fiscal 2026 from $1.9 million in Fiscal 2025. The increase primarily resulted from higher provisions of $1.9 million for federal and $1.3 million for state driven by the gain on sales and exchanges of intangible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37" w:lineRule="exact"/>
        <w:rPr>
          <w:sz w:val="20"/>
          <w:szCs w:val="20"/>
          <w:color w:val="auto"/>
        </w:rPr>
      </w:pPr>
    </w:p>
    <w:p>
      <w:pPr>
        <w:ind w:right="540" w:firstLine="720"/>
        <w:spacing w:after="0" w:line="281" w:lineRule="auto"/>
        <w:rPr>
          <w:sz w:val="20"/>
          <w:szCs w:val="20"/>
          <w:color w:val="auto"/>
        </w:rPr>
      </w:pPr>
      <w:r>
        <w:rPr>
          <w:rFonts w:ascii="Times New Roman" w:cs="Times New Roman" w:eastAsia="Times New Roman" w:hAnsi="Times New Roman"/>
          <w:sz w:val="20"/>
          <w:szCs w:val="20"/>
          <w:color w:val="auto"/>
        </w:rPr>
        <w:t>Our principal source of liquidity is our cash and cash equivalents generated from customer contract proceeds. At March 31, 2026, we had cash and cash equivalents of $98.5 million.</w:t>
      </w:r>
    </w:p>
    <w:p>
      <w:pPr>
        <w:spacing w:after="0" w:line="61"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19"/>
          <w:szCs w:val="19"/>
          <w:color w:val="auto"/>
        </w:rPr>
        <w:t>We believe our cash and cash equivalents on hand, along with contracted proceeds from customers, will be sufficient to meet our financial obligations through at least 12 months from the date of this Annual Report. As noted above, our future capital requirements will depend on a number of factors, including among others, future customer contracts, the costs and timing of our spectrum retuning activities, spectrum acquisitions and the Anti-Windfall Payments to the U.S. Treasury, our operating activities, any cash proceeds we generate through our commercialization activities, our ability to timely deliver broadband licenses to our customers in accordance with our contractual obligations and our obligation to refund payments or pay penalties if we do not meet our commercial obligations. The repurchase of shares of our common stock under our share repurchase program would also reduce our available cash and cash equivalents. We deploy this capital at our determined pace based on several key ongoing factors, including customer demand, market opportunity, and offsetting income from spectrum leases. We cannot reasonably estimate any potential impact to our results of operations, commercialization efforts and financial condition arising from changes to our macroeconomic, legal or regulatory environment, including potential legislation affecting the energy or utility industry, the telecommunications environment, or supply chains. We are actively managing our business to maintain our cash flow and believe that we currently have adequate liquidity. To implement our business plans and initiatives, however, we may need to raise additional capital. We cannot predict with certainty the exact amount or timing for any future capital raises. See “Risk Factors” in Item 1A of Part I of this Annual Report for a reference to the risks and uncertainties that could cause our costs to be more than we currently anticipate and/or our revenue and operating results to be lower than we currently anticipate. If required, we intend to raise additional capital through debt or equity financing or through some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190500</wp:posOffset>
                </wp:positionV>
                <wp:extent cx="650494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5pt" to="512.1pt,15pt" o:allowincell="f" strokecolor="#000000" strokeweight="1pt"/>
            </w:pict>
          </mc:Fallback>
        </mc:AlternateContent>
      </w:r>
    </w:p>
    <w:p>
      <w:pPr>
        <w:spacing w:after="0" w:line="30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color w:val="auto"/>
        </w:rPr>
        <w:t>Page 36</w:t>
      </w:r>
    </w:p>
    <w:p>
      <w:pPr>
        <w:sectPr>
          <w:pgSz w:w="12240" w:h="15840" w:orient="portrait"/>
          <w:cols w:equalWidth="0" w:num="1">
            <w:col w:w="10240"/>
          </w:cols>
          <w:pgMar w:left="1000" w:top="201" w:right="1000"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financing arrangement. However, we cannot be sure that additional financing will be available if and when needed, or that, if available, we can obtain financing on terms favorable to our stockholders and to us. Any failure to obtain financing when required will have a material adverse effect on our business, operating results, financial condition and liquidity.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Investing and Financing Activities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For the years ended March 31,</w:t>
            </w:r>
          </w:p>
        </w:tc>
      </w:tr>
      <w:tr>
        <w:trPr>
          <w:trHeight w:val="220"/>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5,511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(29,263)</w:t>
            </w:r>
          </w:p>
        </w:tc>
      </w:tr>
      <w:tr>
        <w:trPr>
          <w:trHeight w:val="28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40,534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22,753</w:t>
            </w:r>
          </w:p>
        </w:tc>
      </w:tr>
      <w:tr>
        <w:trPr>
          <w:trHeight w:val="28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3,594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521450" cy="568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2">
                      <a:extLst>
                        <a:ext uri="{28A0092B-C50C-407E-A947-70E740481C1C}"/>
                      </a:extLst>
                    </a:blip>
                    <a:srcRect/>
                    <a:stretch>
                      <a:fillRect/>
                    </a:stretch>
                  </pic:blipFill>
                  <pic:spPr bwMode="auto">
                    <a:xfrm>
                      <a:off x="0" y="0"/>
                      <a:ext cx="6521450" cy="56832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(used in) operating activities</w:t>
      </w:r>
    </w:p>
    <w:p>
      <w:pPr>
        <w:spacing w:after="0" w:line="134"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Our principal source of cash provided by operating activities is our customer contract proceeds in the form of advanced payments. For spectrum lease agreements, we record these advanced payments as deferred revenue on our Consolidated Balance Sheets and recognize revenue over the term of the lease, which is typically 20 to 30 years. For spectrum sale agreements, we record advanced payments as a contingent liability on our Consolidated Balance Sheets and derecognize this liability upon closing of the sale along with recording a gain or loss on sale. In addition, our cash flows reflect a non-cash gain or loss on disposal of intangible assets for our exchange of narrowband licenses for broadband licenses. We expect net cash provided by (used in) operating activities to be affected by the progress on our customer agreements as well as changes in other operating assets and liabilities. The following represents our changes in net cash provided by (used in) operating activities for Fiscal 2026 and Fiscal 2025.</w:t>
      </w:r>
    </w:p>
    <w:p>
      <w:pPr>
        <w:spacing w:after="0" w:line="89" w:lineRule="exact"/>
        <w:rPr>
          <w:sz w:val="20"/>
          <w:szCs w:val="20"/>
          <w:color w:val="auto"/>
        </w:rPr>
      </w:pPr>
    </w:p>
    <w:p>
      <w:pPr>
        <w:ind w:right="340" w:firstLine="720"/>
        <w:spacing w:after="0" w:line="281" w:lineRule="auto"/>
        <w:rPr>
          <w:sz w:val="20"/>
          <w:szCs w:val="20"/>
          <w:color w:val="auto"/>
        </w:rPr>
      </w:pPr>
      <w:r>
        <w:rPr>
          <w:rFonts w:ascii="Times New Roman" w:cs="Times New Roman" w:eastAsia="Times New Roman" w:hAnsi="Times New Roman"/>
          <w:sz w:val="20"/>
          <w:szCs w:val="20"/>
          <w:color w:val="auto"/>
        </w:rPr>
        <w:t>Net cash provided by operating activities was approximately $5.5 million in Fiscal 2026. The net cash provided by operating activities in Fiscal 2026 was primarily due to the following:</w:t>
      </w:r>
    </w:p>
    <w:p>
      <w:pPr>
        <w:spacing w:after="0" w:line="61" w:lineRule="exact"/>
        <w:rPr>
          <w:sz w:val="20"/>
          <w:szCs w:val="20"/>
          <w:color w:val="auto"/>
        </w:rPr>
      </w:pPr>
    </w:p>
    <w:p>
      <w:pPr>
        <w:ind w:left="720" w:hanging="370"/>
        <w:spacing w:after="0" w:line="26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$90.6 million increase related to our operating income, which includes a reduction of $127.7 million of non-cash items primarily driven by the gain on exchange of intangible assets of $105.4 million and the gain on sale of $34.8 million. Refer to the </w:t>
      </w:r>
      <w:r>
        <w:rPr>
          <w:rFonts w:ascii="Times New Roman" w:cs="Times New Roman" w:eastAsia="Times New Roman" w:hAnsi="Times New Roman"/>
          <w:sz w:val="20"/>
          <w:szCs w:val="20"/>
          <w:b w:val="1"/>
          <w:bCs w:val="1"/>
          <w:i w:val="1"/>
          <w:iCs w:val="1"/>
          <w:color w:val="auto"/>
        </w:rPr>
        <w:t>Results of Operations;</w:t>
      </w:r>
    </w:p>
    <w:p>
      <w:pPr>
        <w:spacing w:after="0" w:line="75" w:lineRule="exact"/>
        <w:rPr>
          <w:rFonts w:ascii="Times New Roman" w:cs="Times New Roman" w:eastAsia="Times New Roman" w:hAnsi="Times New Roman"/>
          <w:sz w:val="20"/>
          <w:szCs w:val="20"/>
          <w:color w:val="auto"/>
        </w:rPr>
      </w:pPr>
    </w:p>
    <w:p>
      <w:pPr>
        <w:ind w:left="720" w:right="40" w:hanging="370"/>
        <w:spacing w:after="0" w:line="26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$36.5 million increase in deferred revenue due to $27.6 million cash proceeds from TECO, $8.9 million cash proceeds from Xcel Energy and $6.5 million from CPS related to our 900 MHz Broadband Spectrum contracts offset by $6.5 million in revenue recognition in connection with the delivery of cleared 900 MHz Broadband Spectrum; and</w:t>
      </w:r>
    </w:p>
    <w:p>
      <w:pPr>
        <w:spacing w:after="0" w:line="75" w:lineRule="exact"/>
        <w:rPr>
          <w:rFonts w:ascii="Times New Roman" w:cs="Times New Roman" w:eastAsia="Times New Roman" w:hAnsi="Times New Roman"/>
          <w:sz w:val="20"/>
          <w:szCs w:val="20"/>
          <w:color w:val="auto"/>
        </w:rPr>
      </w:pPr>
    </w:p>
    <w:p>
      <w:pPr>
        <w:ind w:left="720" w:right="26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 million increase in contingent liability primarily related to the LCRA Agreements net of transferred broadband licenses.</w:t>
      </w:r>
    </w:p>
    <w:p>
      <w:pPr>
        <w:spacing w:after="0" w:line="61" w:lineRule="exact"/>
        <w:rPr>
          <w:sz w:val="20"/>
          <w:szCs w:val="20"/>
          <w:color w:val="auto"/>
        </w:rPr>
      </w:pPr>
    </w:p>
    <w:p>
      <w:pPr>
        <w:ind w:right="200" w:firstLine="720"/>
        <w:spacing w:after="0" w:line="281" w:lineRule="auto"/>
        <w:rPr>
          <w:sz w:val="20"/>
          <w:szCs w:val="20"/>
          <w:color w:val="auto"/>
        </w:rPr>
      </w:pPr>
      <w:r>
        <w:rPr>
          <w:rFonts w:ascii="Times New Roman" w:cs="Times New Roman" w:eastAsia="Times New Roman" w:hAnsi="Times New Roman"/>
          <w:sz w:val="20"/>
          <w:szCs w:val="20"/>
          <w:color w:val="auto"/>
        </w:rPr>
        <w:t>Net cash used in operating activities was approximately $29.3 million in Fiscal 2025. The net cash used in operating activities in Fiscal 2025 was primarily due to the following:</w:t>
      </w:r>
    </w:p>
    <w:p>
      <w:pPr>
        <w:spacing w:after="0" w:line="61" w:lineRule="exact"/>
        <w:rPr>
          <w:sz w:val="20"/>
          <w:szCs w:val="20"/>
          <w:color w:val="auto"/>
        </w:rPr>
      </w:pPr>
    </w:p>
    <w:p>
      <w:pPr>
        <w:ind w:left="720" w:right="300" w:hanging="370"/>
        <w:spacing w:after="0" w:line="282"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$11.4 million decrease related to our operating loss, which includes a reduction of $25.0 million of non-cash items. Refer to the </w:t>
      </w:r>
      <w:r>
        <w:rPr>
          <w:rFonts w:ascii="Times New Roman" w:cs="Times New Roman" w:eastAsia="Times New Roman" w:hAnsi="Times New Roman"/>
          <w:sz w:val="20"/>
          <w:szCs w:val="20"/>
          <w:b w:val="1"/>
          <w:bCs w:val="1"/>
          <w:i w:val="1"/>
          <w:iCs w:val="1"/>
          <w:color w:val="auto"/>
        </w:rPr>
        <w:t>Results of Operations;</w:t>
      </w:r>
    </w:p>
    <w:p>
      <w:pPr>
        <w:spacing w:after="0" w:line="59" w:lineRule="exact"/>
        <w:rPr>
          <w:rFonts w:ascii="Times New Roman" w:cs="Times New Roman" w:eastAsia="Times New Roman" w:hAnsi="Times New Roman"/>
          <w:sz w:val="20"/>
          <w:szCs w:val="20"/>
          <w:color w:val="auto"/>
        </w:rPr>
      </w:pPr>
    </w:p>
    <w:p>
      <w:pPr>
        <w:ind w:left="720" w:right="780" w:hanging="370"/>
        <w:spacing w:after="0" w:line="281" w:lineRule="auto"/>
        <w:tabs>
          <w:tab w:leader="none" w:pos="720" w:val="left"/>
        </w:tabs>
        <w:numPr>
          <w:ilvl w:val="0"/>
          <w:numId w:val="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$2.7 million increase in accrued severance and other related charges primarily due to the CEO Transition and workforce reduction offset by $0.4 million in cash payments;</w:t>
      </w:r>
    </w:p>
    <w:p>
      <w:pPr>
        <w:spacing w:after="0" w:line="61" w:lineRule="exact"/>
        <w:rPr>
          <w:rFonts w:ascii="Times New Roman" w:cs="Times New Roman" w:eastAsia="Times New Roman" w:hAnsi="Times New Roman"/>
          <w:sz w:val="20"/>
          <w:szCs w:val="20"/>
          <w:b w:val="1"/>
          <w:bCs w:val="1"/>
          <w:i w:val="1"/>
          <w:iCs w:val="1"/>
          <w:color w:val="auto"/>
        </w:rPr>
      </w:pPr>
    </w:p>
    <w:p>
      <w:pPr>
        <w:ind w:left="720" w:right="400" w:hanging="370"/>
        <w:spacing w:after="0" w:line="266" w:lineRule="auto"/>
        <w:tabs>
          <w:tab w:leader="none" w:pos="720" w:val="left"/>
        </w:tabs>
        <w:numPr>
          <w:ilvl w:val="0"/>
          <w:numId w:val="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$2.5 million increase in deferred revenue due to $8.5 million cash proceeds from Ameren related to cash proceeds from our 900 MHz Broadband Spectrum customer prepayments offset by $6.0 million in revenue recognition in connection with the delivery of cleared 900 MHz Broadband Spectrum; and</w:t>
      </w:r>
    </w:p>
    <w:p>
      <w:pPr>
        <w:spacing w:after="0" w:line="75" w:lineRule="exact"/>
        <w:rPr>
          <w:rFonts w:ascii="Times New Roman" w:cs="Times New Roman" w:eastAsia="Times New Roman" w:hAnsi="Times New Roman"/>
          <w:sz w:val="20"/>
          <w:szCs w:val="20"/>
          <w:b w:val="1"/>
          <w:bCs w:val="1"/>
          <w:i w:val="1"/>
          <w:iCs w:val="1"/>
          <w:color w:val="auto"/>
        </w:rPr>
      </w:pPr>
    </w:p>
    <w:p>
      <w:pPr>
        <w:ind w:left="720" w:right="20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million increase in contingent liability related to the Oncor Agreement net of transferred broadband licenses for four counties.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investing activities</w:t>
      </w:r>
    </w:p>
    <w:p>
      <w:pPr>
        <w:spacing w:after="0" w:line="13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Our principal outflow of cash used in investing activities is our purchases of intangible assets, including refundable deposits, retuning costs and swaps, which represent our spectrum clearing efforts as we work toward the conversion from narrowband to broadband spectrum. The purchases of intangible assets may be offset by current period cash proceeds from the sale of intangible assets, with a potential non-cash derecognition of the contingent liability for any proceeds received and recognized in operating activities in a prior period. Payments received in the current period are reflected as investing activities on the Consolidated Statements of Cash Flows upon the sale of intangible assets. We expect net cash provided by investing activities to be affected by the timing of our spectrum clearing efforts and the closing of our sale transactions and the related transfer of broadband licenses. The following represents our changes in net cash provided by investing activities for Fiscal 2026 and Fiscal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210185</wp:posOffset>
                </wp:positionV>
                <wp:extent cx="650494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55pt" to="512.1pt,16.55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358"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37</w:t>
      </w:r>
    </w:p>
    <w:p>
      <w:pPr>
        <w:sectPr>
          <w:pgSz w:w="12240" w:h="15840" w:orient="portrait"/>
          <w:cols w:equalWidth="0" w:num="1">
            <w:col w:w="10220"/>
          </w:cols>
          <w:pgMar w:left="1000" w:top="201" w:right="1020" w:bottom="0" w:gutter="0" w:footer="0" w:header="0"/>
          <w:type w:val="continuous"/>
        </w:sectPr>
      </w:pPr>
    </w:p>
    <w:bookmarkStart w:id="43" w:name="page44"/>
    <w:bookmarkEnd w:id="43"/>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10" w:right="40" w:firstLine="720"/>
        <w:spacing w:after="0" w:line="255" w:lineRule="auto"/>
        <w:rPr>
          <w:sz w:val="20"/>
          <w:szCs w:val="20"/>
          <w:color w:val="auto"/>
        </w:rPr>
      </w:pPr>
      <w:r>
        <w:rPr>
          <w:rFonts w:ascii="Times New Roman" w:cs="Times New Roman" w:eastAsia="Times New Roman" w:hAnsi="Times New Roman"/>
          <w:sz w:val="20"/>
          <w:szCs w:val="20"/>
          <w:color w:val="auto"/>
        </w:rPr>
        <w:t>Net cash provided by investing activities was approximately $40.5 million and $22.8 million in Fiscal 2026 and Fiscal 2025, respectively. For Fiscal 2026, the net cash provided by investing activities resulted from $67.7 million sale of spectrum related to our transfer of 64 and 91 broadband licenses to LCRA and Oncor, respectively, offset by $27.2 million in payments made to acquire, swap or retune wireless licenses in markets across the United States and $31 thousand for purchases of equipment. For Fiscal 2025, the net cash provided by investing activities resulted from $40.9 million sale of spectrum related to our transfer of four broadband licenses to Oncor, offset by $18.1 million in payments made to acquire, swap or retune wireless licenses in markets across the United States and $0.1 million for purchases of equipment.</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(used in) financing activities</w:t>
      </w:r>
    </w:p>
    <w:p>
      <w:pPr>
        <w:spacing w:after="0" w:line="134" w:lineRule="exact"/>
        <w:rPr>
          <w:sz w:val="20"/>
          <w:szCs w:val="20"/>
          <w:color w:val="auto"/>
        </w:rPr>
      </w:pPr>
    </w:p>
    <w:p>
      <w:pPr>
        <w:ind w:left="10" w:firstLine="720"/>
        <w:spacing w:after="0" w:line="258" w:lineRule="auto"/>
        <w:rPr>
          <w:sz w:val="20"/>
          <w:szCs w:val="20"/>
          <w:color w:val="auto"/>
        </w:rPr>
      </w:pPr>
      <w:r>
        <w:rPr>
          <w:rFonts w:ascii="Times New Roman" w:cs="Times New Roman" w:eastAsia="Times New Roman" w:hAnsi="Times New Roman"/>
          <w:sz w:val="20"/>
          <w:szCs w:val="20"/>
          <w:color w:val="auto"/>
        </w:rPr>
        <w:t>Our principal outflow of cash used in financing activities is a result of our equity transactions, including repurchases of common stock and taxes and fees associated with the issuance of restricted stock awards, offset by proceeds from stock options exercised in the period. We expect net cash used in financing activities to be affected by the timing of future equity transactions including the timing of our repurchases of common stock. The following represents our changes in net cash provided by (used in) financing activities for Fiscal 2026 and Fiscal 2025.</w:t>
      </w:r>
    </w:p>
    <w:p>
      <w:pPr>
        <w:spacing w:after="0" w:line="84" w:lineRule="exact"/>
        <w:rPr>
          <w:sz w:val="20"/>
          <w:szCs w:val="20"/>
          <w:color w:val="auto"/>
        </w:rPr>
      </w:pPr>
    </w:p>
    <w:p>
      <w:pPr>
        <w:ind w:left="10" w:right="20" w:firstLine="720"/>
        <w:spacing w:after="0" w:line="256" w:lineRule="auto"/>
        <w:rPr>
          <w:sz w:val="20"/>
          <w:szCs w:val="20"/>
          <w:color w:val="auto"/>
        </w:rPr>
      </w:pPr>
      <w:r>
        <w:rPr>
          <w:rFonts w:ascii="Times New Roman" w:cs="Times New Roman" w:eastAsia="Times New Roman" w:hAnsi="Times New Roman"/>
          <w:sz w:val="20"/>
          <w:szCs w:val="20"/>
          <w:color w:val="auto"/>
        </w:rPr>
        <w:t>Net cash provided by (used in) financing activities was approximately $3.6 million and $6.6 million in Fiscal 2026 and Fiscal 2025, respectively. For Fiscal 2026, net cash provided by financing activities was primarily from the proceeds of stock option exercises of $5.4 million, partially offset by the repurchase of common stock of $1.0 million, and payments of withholding tax on net issuance of restricted stock of $0.8 million. For Fiscal 2025, net cash used in financing activities was primarily for the repurchase of common stock of $8.4 million, payments of withholding tax on net issuance of restricted stock of $1.8 million, partially offset by the proceeds from stock option exercises of $3.7 million.</w:t>
      </w:r>
    </w:p>
    <w:p>
      <w:pPr>
        <w:spacing w:after="0" w:line="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Expected future cash proceeds</w:t>
      </w:r>
    </w:p>
    <w:p>
      <w:pPr>
        <w:spacing w:after="0" w:line="139" w:lineRule="exact"/>
        <w:rPr>
          <w:sz w:val="20"/>
          <w:szCs w:val="20"/>
          <w:color w:val="auto"/>
        </w:rPr>
      </w:pPr>
    </w:p>
    <w:p>
      <w:pPr>
        <w:ind w:left="10" w:right="90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illustrates the estimated contracted customer proceeds for Fiscal 2027 and thereafter (in thousands):</w:t>
      </w:r>
    </w:p>
    <w:p>
      <w:pPr>
        <w:spacing w:after="0" w:line="123"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Fiscal 2027</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5"/>
              </w:rPr>
              <w:t>Thereafter</w:t>
            </w:r>
            <w:r>
              <w:rPr>
                <w:rFonts w:ascii="Times New Roman" w:cs="Times New Roman" w:eastAsia="Times New Roman" w:hAnsi="Times New Roman"/>
                <w:sz w:val="20"/>
                <w:szCs w:val="20"/>
                <w:b w:val="1"/>
                <w:bCs w:val="1"/>
                <w:color w:val="auto"/>
                <w:w w:val="95"/>
                <w:vertAlign w:val="superscript"/>
              </w:rPr>
              <w:t>(1)(2)</w:t>
            </w:r>
          </w:p>
        </w:tc>
      </w:tr>
      <w:tr>
        <w:trPr>
          <w:trHeight w:val="262"/>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Ameren</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16,300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SDG&amp;E</w:t>
            </w:r>
          </w:p>
        </w:tc>
        <w:tc>
          <w:tcPr>
            <w:tcW w:w="2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w:t>
            </w:r>
          </w:p>
        </w:tc>
      </w:tr>
      <w:tr>
        <w:trPr>
          <w:trHeight w:val="285"/>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Xcel Energy</w:t>
            </w:r>
          </w:p>
        </w:tc>
        <w:tc>
          <w:tcPr>
            <w:tcW w:w="2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r>
      <w:tr>
        <w:trPr>
          <w:trHeight w:val="285"/>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LCRA</w:t>
            </w:r>
          </w:p>
        </w:tc>
        <w:tc>
          <w:tcPr>
            <w:tcW w:w="2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w:t>
            </w:r>
          </w:p>
        </w:tc>
      </w:tr>
      <w:tr>
        <w:trPr>
          <w:trHeight w:val="285"/>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CPS</w:t>
            </w:r>
          </w:p>
        </w:tc>
        <w:tc>
          <w:tcPr>
            <w:tcW w:w="2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TNMP</w:t>
            </w:r>
          </w:p>
        </w:tc>
        <w:tc>
          <w:tcPr>
            <w:tcW w:w="2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r>
      <w:tr>
        <w:trPr>
          <w:trHeight w:val="285"/>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NWE</w:t>
            </w:r>
          </w:p>
        </w:tc>
        <w:tc>
          <w:tcPr>
            <w:tcW w:w="2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w:t>
            </w:r>
          </w:p>
        </w:tc>
      </w:tr>
      <w:tr>
        <w:trPr>
          <w:trHeight w:val="288"/>
        </w:trPr>
        <w:tc>
          <w:tcPr>
            <w:tcW w:w="7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Benton PUD</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200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4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25,300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23,400</w:t>
            </w:r>
          </w:p>
        </w:tc>
      </w:tr>
      <w:tr>
        <w:trPr>
          <w:trHeight w:val="20"/>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534150" cy="1679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extLst>
                        <a:ext uri="{28A0092B-C50C-407E-A947-70E740481C1C}"/>
                      </a:extLst>
                    </a:blip>
                    <a:srcRect/>
                    <a:stretch>
                      <a:fillRect/>
                    </a:stretch>
                  </pic:blipFill>
                  <pic:spPr bwMode="auto">
                    <a:xfrm>
                      <a:off x="0" y="0"/>
                      <a:ext cx="6534150" cy="1679575"/>
                    </a:xfrm>
                    <a:prstGeom prst="rect">
                      <a:avLst/>
                    </a:prstGeom>
                    <a:noFill/>
                  </pic:spPr>
                </pic:pic>
              </a:graphicData>
            </a:graphic>
          </wp:anchor>
        </w:drawing>
      </w:r>
    </w:p>
    <w:p>
      <w:pPr>
        <w:ind w:left="370" w:right="60" w:hanging="370"/>
        <w:spacing w:after="0" w:line="260" w:lineRule="auto"/>
        <w:tabs>
          <w:tab w:leader="none" w:pos="21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proceeds are subject to change based on final delivery date of the broadband licenses for the associated milestone, which may include penalties associated with delayed deliveries.</w:t>
      </w:r>
    </w:p>
    <w:p>
      <w:pPr>
        <w:spacing w:after="0" w:line="1" w:lineRule="exact"/>
        <w:rPr>
          <w:rFonts w:ascii="Times New Roman" w:cs="Times New Roman" w:eastAsia="Times New Roman" w:hAnsi="Times New Roman"/>
          <w:sz w:val="20"/>
          <w:szCs w:val="20"/>
          <w:color w:val="auto"/>
        </w:rPr>
      </w:pPr>
    </w:p>
    <w:p>
      <w:pPr>
        <w:ind w:left="210" w:hanging="210"/>
        <w:spacing w:after="0"/>
        <w:tabs>
          <w:tab w:leader="none" w:pos="21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expected cash proceeds range from FY28 through FY34.</w:t>
      </w:r>
    </w:p>
    <w:p>
      <w:pPr>
        <w:spacing w:after="0" w:line="1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Material Cash Requirements</w:t>
      </w:r>
    </w:p>
    <w:p>
      <w:pPr>
        <w:spacing w:after="0" w:line="139" w:lineRule="exact"/>
        <w:rPr>
          <w:sz w:val="20"/>
          <w:szCs w:val="20"/>
          <w:color w:val="auto"/>
        </w:rPr>
      </w:pPr>
    </w:p>
    <w:p>
      <w:pPr>
        <w:ind w:left="10" w:right="100" w:firstLine="720"/>
        <w:spacing w:after="0" w:line="254" w:lineRule="auto"/>
        <w:rPr>
          <w:sz w:val="20"/>
          <w:szCs w:val="20"/>
          <w:color w:val="auto"/>
        </w:rPr>
      </w:pPr>
      <w:r>
        <w:rPr>
          <w:rFonts w:ascii="Times New Roman" w:cs="Times New Roman" w:eastAsia="Times New Roman" w:hAnsi="Times New Roman"/>
          <w:sz w:val="20"/>
          <w:szCs w:val="20"/>
          <w:color w:val="auto"/>
        </w:rPr>
        <w:t>Our future capital requirements will depend on many factors, including: costs and time related to the commercialization of our spectrum assets; and our ability to sign customer contracts and generate revenues from the license or transfer of any broadband licenses we secure; our ability to timely deliver broadband licenses and clear spectrum to our customers in accordance with our contractual obligation; any requirement to refund payments or pay penalties if we do not satisfy our contractual obligations; the timeline and costs to acquire broadband licenses pursuant to the Report and Order, including the costs to acquire additional spectrum, the costs related to retuning, or swapping spectrum held by 900 MHz site-based licensees in the broadband segment that is required under section 90.621(b) to be protected by a broadband licensee with a base station at any location within the county, or any 900 MHz geographic-based SMR licensee in the broadband segment whose license area completely or partially overlaps the county, and the costs of paying Anti-Windfall Payments.</w:t>
      </w:r>
    </w:p>
    <w:p>
      <w:pPr>
        <w:spacing w:after="0" w:line="89" w:lineRule="exact"/>
        <w:rPr>
          <w:sz w:val="20"/>
          <w:szCs w:val="20"/>
          <w:color w:val="auto"/>
        </w:rPr>
      </w:pPr>
    </w:p>
    <w:p>
      <w:pPr>
        <w:ind w:left="10" w:right="40" w:firstLine="720"/>
        <w:spacing w:after="0" w:line="255" w:lineRule="auto"/>
        <w:rPr>
          <w:sz w:val="20"/>
          <w:szCs w:val="20"/>
          <w:color w:val="auto"/>
        </w:rPr>
      </w:pPr>
      <w:r>
        <w:rPr>
          <w:rFonts w:ascii="Times New Roman" w:cs="Times New Roman" w:eastAsia="Times New Roman" w:hAnsi="Times New Roman"/>
          <w:sz w:val="20"/>
          <w:szCs w:val="20"/>
          <w:color w:val="auto"/>
        </w:rPr>
        <w:t>We are obligated under certain lease agreements for office space with lease terms expiring on various dates from June 30, 2027 through January 31, 2029, which includes a three to ten-year lease extension for our corporate offices. We have also entered into multiple lease agreements for tower space related to our spectrum holdings. These lease expiration dates range from April 8, 2026 to February 28, 2033. Total estimated payments for these lease agreements are approximately $5.1 million (exclusive of real estate taxes, utilities, maintenance and other costs borne by us). We also had an obligation to clear the tower site locations, for which we previously recorded an asset retirement obligation (the “ARO”). During the year ended March 31, 2026, we cleared its tower site locations that were associated with its ARO balances and as a result, we no longer have an ARO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178435</wp:posOffset>
                </wp:positionV>
                <wp:extent cx="650557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05pt" to="512.6pt,14.05pt" o:allowincell="f" strokecolor="#000000" strokeweight="1pt"/>
            </w:pict>
          </mc:Fallback>
        </mc:AlternateContent>
      </w:r>
    </w:p>
    <w:p>
      <w:pPr>
        <w:spacing w:after="0" w:line="288" w:lineRule="exact"/>
        <w:rPr>
          <w:sz w:val="20"/>
          <w:szCs w:val="20"/>
          <w:color w:val="auto"/>
        </w:rPr>
      </w:pPr>
    </w:p>
    <w:p>
      <w:pPr>
        <w:ind w:left="9570"/>
        <w:spacing w:after="0"/>
        <w:rPr>
          <w:sz w:val="20"/>
          <w:szCs w:val="20"/>
          <w:color w:val="auto"/>
        </w:rPr>
      </w:pPr>
      <w:r>
        <w:rPr>
          <w:rFonts w:ascii="Times New Roman" w:cs="Times New Roman" w:eastAsia="Times New Roman" w:hAnsi="Times New Roman"/>
          <w:sz w:val="20"/>
          <w:szCs w:val="20"/>
          <w:color w:val="auto"/>
        </w:rPr>
        <w:t>Page 38</w:t>
      </w:r>
    </w:p>
    <w:p>
      <w:pPr>
        <w:sectPr>
          <w:pgSz w:w="12240" w:h="15840" w:orient="portrait"/>
          <w:cols w:equalWidth="0" w:num="1">
            <w:col w:w="10250"/>
          </w:cols>
          <w:pgMar w:left="990" w:top="201" w:right="1000" w:bottom="0" w:gutter="0" w:footer="0" w:header="0"/>
        </w:sectPr>
      </w:pPr>
    </w:p>
    <w:bookmarkStart w:id="44" w:name="page45"/>
    <w:bookmarkEnd w:id="44"/>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6" w:lineRule="exact"/>
        <w:rPr>
          <w:sz w:val="20"/>
          <w:szCs w:val="20"/>
          <w:color w:val="auto"/>
        </w:rPr>
      </w:pPr>
    </w:p>
    <w:p>
      <w:pPr>
        <w:ind w:left="10"/>
        <w:spacing w:after="0" w:line="259" w:lineRule="auto"/>
        <w:rPr>
          <w:sz w:val="20"/>
          <w:szCs w:val="20"/>
          <w:color w:val="auto"/>
        </w:rPr>
      </w:pPr>
      <w:r>
        <w:rPr>
          <w:rFonts w:ascii="Times New Roman" w:cs="Times New Roman" w:eastAsia="Times New Roman" w:hAnsi="Times New Roman"/>
          <w:sz w:val="20"/>
          <w:szCs w:val="20"/>
          <w:color w:val="auto"/>
        </w:rPr>
        <w:t xml:space="preserve">balance as of March 31, 2026. 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xml:space="preserve"> in the Notes to the Consolidated Financial Statements contained within this Annual Report for further information on the ARO. In addition to the lease payments and ARO for our tower site locations, we entered into agreements with several third parties in multiple U.S. markets to acquire, retune or swap wireless licenses for cash consideration. As of March 31, 2026, our total estimated future payments for these agreements with incumbents are approximately $36.4 million.</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Guaranties</w:t>
      </w:r>
    </w:p>
    <w:p>
      <w:pPr>
        <w:spacing w:after="0" w:line="139" w:lineRule="exact"/>
        <w:rPr>
          <w:sz w:val="20"/>
          <w:szCs w:val="20"/>
          <w:color w:val="auto"/>
        </w:rPr>
      </w:pPr>
    </w:p>
    <w:p>
      <w:pPr>
        <w:ind w:left="10" w:right="60" w:firstLine="720"/>
        <w:spacing w:after="0" w:line="253" w:lineRule="auto"/>
        <w:rPr>
          <w:sz w:val="20"/>
          <w:szCs w:val="20"/>
          <w:color w:val="auto"/>
        </w:rPr>
      </w:pPr>
      <w:r>
        <w:rPr>
          <w:rFonts w:ascii="Times New Roman" w:cs="Times New Roman" w:eastAsia="Times New Roman" w:hAnsi="Times New Roman"/>
          <w:sz w:val="20"/>
          <w:szCs w:val="20"/>
          <w:color w:val="auto"/>
        </w:rPr>
        <w:t>In October 2022, we entered into an agreement with Xcel Energy providing Xcel Energy dedicated long-term usage of our 900 MHz Broadband Spectrum for a term of 20 years throughout Xcel Energy’s service territory in eight states (the “Xcel Energy Agreement”). In connection with Xcel Energy Agreement, we entered into a guaranty agreement, under which we guaranteed the delivery of the relevant 900 MHz Broadband Spectrum and the associated broadband licenses in Xcel Energy’s service territory in eight states along with other commercial obligations. In the event of default or non-delivery of the specific territory’s 900 MHz Broadband Spectrum, we are required to refund payments we have received. In addition, to the extent we have performed any obligations, our liability and remaining obligations under the Xcel Energy Agreement will extend only to the remaining unperformed obligations. We recorded $76.0 million in deferred revenue in connection with the prepayments received as of March 31, 2026. We commenced delivery of the relevant cleared 900 MHz Broadband Spectrum and the associated broadband leases in the first quarter of fiscal year 2024 and will continue through 2029. As of March 31, 2026, the maximum potential liability of future undiscounted payments under this agreement is approximately $67.4 million, reflecting a reduction in liability due to the obligations performed to date and revenue recognized.</w:t>
      </w:r>
    </w:p>
    <w:p>
      <w:pPr>
        <w:spacing w:after="0" w:line="91" w:lineRule="exact"/>
        <w:rPr>
          <w:sz w:val="20"/>
          <w:szCs w:val="20"/>
          <w:color w:val="auto"/>
        </w:rPr>
      </w:pPr>
    </w:p>
    <w:p>
      <w:pPr>
        <w:ind w:left="10" w:right="40" w:firstLine="720"/>
        <w:spacing w:after="0" w:line="256" w:lineRule="auto"/>
        <w:rPr>
          <w:sz w:val="20"/>
          <w:szCs w:val="20"/>
          <w:color w:val="auto"/>
        </w:rPr>
      </w:pPr>
      <w:r>
        <w:rPr>
          <w:rFonts w:ascii="Times New Roman" w:cs="Times New Roman" w:eastAsia="Times New Roman" w:hAnsi="Times New Roman"/>
          <w:sz w:val="20"/>
          <w:szCs w:val="20"/>
          <w:color w:val="auto"/>
        </w:rPr>
        <w:t>In June 2025, we entered into an agreement to retune and acquire wireless licenses for approximately $28.0 million. In connection with this agreement, we entered into a guaranty agreement with the incumbent, under which we guaranteed the payment and performance of all obligations under the agreement to the incumbent in the event of default. In addition, to the extent we have performed any obligations under the agreement, our liability and remaining obligations will extend only to the remaining obligations. As of March 31, 2026, the maximum potential liability of future undiscounted payments under this agreement is approximately $18.2 million.</w:t>
      </w:r>
    </w:p>
    <w:p>
      <w:pPr>
        <w:spacing w:after="0" w:line="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39" w:lineRule="exact"/>
        <w:rPr>
          <w:sz w:val="20"/>
          <w:szCs w:val="20"/>
          <w:color w:val="auto"/>
        </w:rPr>
      </w:pPr>
    </w:p>
    <w:p>
      <w:pPr>
        <w:ind w:left="10" w:right="40" w:firstLine="720"/>
        <w:spacing w:after="0" w:line="271" w:lineRule="auto"/>
        <w:rPr>
          <w:sz w:val="20"/>
          <w:szCs w:val="20"/>
          <w:color w:val="auto"/>
        </w:rPr>
      </w:pPr>
      <w:r>
        <w:rPr>
          <w:rFonts w:ascii="Times New Roman" w:cs="Times New Roman" w:eastAsia="Times New Roman" w:hAnsi="Times New Roman"/>
          <w:sz w:val="19"/>
          <w:szCs w:val="19"/>
          <w:color w:val="auto"/>
        </w:rPr>
        <w:t>In September 2023, our Board authorized the 2023 Share Repurchase Program pursuant to which we may repurchase up to $250.0 million of our common stock on or before September 21, 2026. We may repurchase shares of our common stock via the open market and/or privately negotiated transactions. Repurchases will be made in accordance with applicable securities laws and may be effected pursuant to Rule 10b5-1 trading plans. The manner, timing and amount of any share repurchases will be determined by us based on a variety of factors, including, proceeds from customer contracts, the timing of which is unpredictable, as well as general business and market conditions, our capital position and other strategic considerations. The 2023 Share Repurchase Program does not obligate us to repurchase any particular amount of our common stock.</w:t>
      </w:r>
    </w:p>
    <w:p>
      <w:pPr>
        <w:spacing w:after="0" w:line="73" w:lineRule="exact"/>
        <w:rPr>
          <w:sz w:val="20"/>
          <w:szCs w:val="20"/>
          <w:color w:val="auto"/>
        </w:rPr>
      </w:pPr>
    </w:p>
    <w:p>
      <w:pPr>
        <w:jc w:val="both"/>
        <w:ind w:left="10" w:right="260" w:firstLine="720"/>
        <w:spacing w:after="0" w:line="266" w:lineRule="auto"/>
        <w:rPr>
          <w:sz w:val="20"/>
          <w:szCs w:val="20"/>
          <w:color w:val="auto"/>
        </w:rPr>
      </w:pPr>
      <w:r>
        <w:rPr>
          <w:rFonts w:ascii="Times New Roman" w:cs="Times New Roman" w:eastAsia="Times New Roman" w:hAnsi="Times New Roman"/>
          <w:sz w:val="20"/>
          <w:szCs w:val="20"/>
          <w:color w:val="auto"/>
        </w:rPr>
        <w:t>The Inflation Reduction Act of 2022, which was enacted into law on August 16, 2022, imposed a nondeductible 1% excise tax on the net value of certain stock repurchases made after December 31, 2022. For the year end March 31, 2026 and 2025, we had no excise tax expense.</w:t>
      </w:r>
    </w:p>
    <w:p>
      <w:pPr>
        <w:spacing w:after="0" w:line="75" w:lineRule="exact"/>
        <w:rPr>
          <w:sz w:val="20"/>
          <w:szCs w:val="20"/>
          <w:color w:val="auto"/>
        </w:rPr>
      </w:pPr>
    </w:p>
    <w:p>
      <w:pPr>
        <w:ind w:left="10" w:right="30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share repurchase activity for Fiscal 2026 and Fiscal 2025 (in thousands, except per share data):</w: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For the years ended March 31,</w:t>
            </w:r>
          </w:p>
        </w:tc>
      </w:tr>
      <w:tr>
        <w:trPr>
          <w:trHeight w:val="220"/>
        </w:trPr>
        <w:tc>
          <w:tcPr>
            <w:tcW w:w="7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repurchased and retired</w:t>
            </w:r>
          </w:p>
        </w:tc>
        <w:tc>
          <w:tcPr>
            <w:tcW w:w="8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28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Average price paid per share*</w:t>
            </w: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22.94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w:t>
            </w:r>
          </w:p>
        </w:tc>
      </w:tr>
      <w:tr>
        <w:trPr>
          <w:trHeight w:val="28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cost to repurchase</w:t>
            </w: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521450" cy="568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4">
                      <a:extLst>
                        <a:ext uri="{28A0092B-C50C-407E-A947-70E740481C1C}"/>
                      </a:extLst>
                    </a:blip>
                    <a:srcRect/>
                    <a:stretch>
                      <a:fillRect/>
                    </a:stretch>
                  </pic:blipFill>
                  <pic:spPr bwMode="auto">
                    <a:xfrm>
                      <a:off x="0" y="0"/>
                      <a:ext cx="6521450" cy="568325"/>
                    </a:xfrm>
                    <a:prstGeom prst="rect">
                      <a:avLst/>
                    </a:prstGeom>
                    <a:noFill/>
                  </pic:spPr>
                </pic:pic>
              </a:graphicData>
            </a:graphic>
          </wp:anchor>
        </w:drawing>
      </w:r>
    </w:p>
    <w:p>
      <w:pPr>
        <w:spacing w:after="0" w:line="151" w:lineRule="exact"/>
        <w:rPr>
          <w:sz w:val="20"/>
          <w:szCs w:val="20"/>
          <w:color w:val="auto"/>
        </w:rPr>
      </w:pPr>
    </w:p>
    <w:p>
      <w:pPr>
        <w:ind w:left="10" w:right="140" w:hanging="10"/>
        <w:spacing w:after="0" w:line="281" w:lineRule="auto"/>
        <w:tabs>
          <w:tab w:leader="none" w:pos="1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price paid per share includes costs associated with the repurchases, excluding excise taxes associated with the share repurchases.</w:t>
      </w:r>
    </w:p>
    <w:p>
      <w:pPr>
        <w:spacing w:after="0" w:line="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March 31, 2026, $226.7 million is remaining under the 2023 Share Repurchase Program.</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34" w:lineRule="exact"/>
        <w:rPr>
          <w:sz w:val="20"/>
          <w:szCs w:val="20"/>
          <w:color w:val="auto"/>
        </w:rPr>
      </w:pPr>
    </w:p>
    <w:p>
      <w:pPr>
        <w:ind w:left="10" w:right="40" w:firstLine="720"/>
        <w:spacing w:after="0" w:line="272"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in accordance with U.S. GAAP, which require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Accordingly, our actual results could differ from those based on such estimates and assumptions. Further, to the extent that there are differences between our estimates and our actual results, our future financial statement presentation, financial condition, results of operations and cash flows will be affected. We believe that the accounting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187325</wp:posOffset>
                </wp:positionV>
                <wp:extent cx="65055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75pt" to="512.6pt,14.75pt" o:allowincell="f" strokecolor="#000000" strokeweight="1pt"/>
            </w:pict>
          </mc:Fallback>
        </mc:AlternateContent>
      </w:r>
    </w:p>
    <w:p>
      <w:pPr>
        <w:spacing w:after="0" w:line="303" w:lineRule="exact"/>
        <w:rPr>
          <w:sz w:val="20"/>
          <w:szCs w:val="20"/>
          <w:color w:val="auto"/>
        </w:rPr>
      </w:pPr>
    </w:p>
    <w:p>
      <w:pPr>
        <w:ind w:left="9570"/>
        <w:spacing w:after="0"/>
        <w:rPr>
          <w:sz w:val="20"/>
          <w:szCs w:val="20"/>
          <w:color w:val="auto"/>
        </w:rPr>
      </w:pPr>
      <w:r>
        <w:rPr>
          <w:rFonts w:ascii="Times New Roman" w:cs="Times New Roman" w:eastAsia="Times New Roman" w:hAnsi="Times New Roman"/>
          <w:sz w:val="20"/>
          <w:szCs w:val="20"/>
          <w:color w:val="auto"/>
        </w:rPr>
        <w:t>Page 39</w:t>
      </w:r>
    </w:p>
    <w:p>
      <w:pPr>
        <w:sectPr>
          <w:pgSz w:w="12240" w:h="15840" w:orient="portrait"/>
          <w:cols w:equalWidth="0" w:num="1">
            <w:col w:w="10250"/>
          </w:cols>
          <w:pgMar w:left="990" w:top="201" w:right="1000"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policies discussed below are critical to understanding our historical performance, as these policies relate to the more significant areas involving our judgments and estimates.</w:t>
      </w:r>
    </w:p>
    <w:p>
      <w:pPr>
        <w:spacing w:after="0" w:line="61" w:lineRule="exact"/>
        <w:rPr>
          <w:sz w:val="20"/>
          <w:szCs w:val="20"/>
          <w:color w:val="auto"/>
        </w:rPr>
      </w:pPr>
    </w:p>
    <w:p>
      <w:pPr>
        <w:ind w:right="120" w:firstLine="720"/>
        <w:spacing w:after="0" w:line="255" w:lineRule="auto"/>
        <w:rPr>
          <w:sz w:val="20"/>
          <w:szCs w:val="20"/>
          <w:color w:val="auto"/>
        </w:rPr>
      </w:pPr>
      <w:r>
        <w:rPr>
          <w:rFonts w:ascii="Times New Roman" w:cs="Times New Roman" w:eastAsia="Times New Roman" w:hAnsi="Times New Roman"/>
          <w:sz w:val="20"/>
          <w:szCs w:val="20"/>
          <w:color w:val="auto"/>
        </w:rPr>
        <w:t xml:space="preserve">We believe that the areas described below are the most critical to aid in fully understanding and evaluating our reported financial results, as they require management’s significant judgments in the application of accounting policy or in making estimates and assumptions that are inherently uncertain and that may change in subsequent periods. Our significant accounting policies are set forth in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xml:space="preserve"> in the Notes to the Consolidated Financial Statements contained within this Annual Report. Of those policies, we believe that the policy discussed below may involve a higher degree of judgment and may be more critical to an accurate reflection of our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Indefinite-Lived Intangible Assets for Impairment</w:t>
      </w:r>
    </w:p>
    <w:p>
      <w:pPr>
        <w:spacing w:after="0" w:line="13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Unit of accounting of wireless licenses not associated with closed deals is based on geographic markets. Unit of accounting of wireless licenses associated with closed deals is based on the deal markets. Our wireless licenses not associated with closed deals are tested for impairment based on the geographic markets, as we will be utilizing the existing wireless narrowband licenses, or broadband licenses if applicable, as part of facilitating broadband spectrum networks at a geographic market level. Our wireless licenses associated with closed deals are tested for impairment based at the deal market level. We use a market-based approach to estimate fair value for impairment testing purposes. We may elect to first perform a qualitative assessment to determine whether it is more likely than not that the fair value of an intangible asset is less than its carrying value. If we do not perform the qualitative assessment, or if the qualitative assessment indicates it is more likely than not that the fair value of the intangible asset is less than its carrying amount, we will calculate the estimated fair value of the intangible asset. If the estimated fair value of the spectrum licenses is lower than their carrying amount, an impairment loss is recognized. We will use a market-based approach to estimate fair value for impairment testing purposes except for deals that were realized as of the valuation date, for which a transaction specific market approach will be used.</w:t>
      </w:r>
    </w:p>
    <w:p>
      <w:pPr>
        <w:spacing w:after="0" w:line="91"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valuation approach used to estimate fair value for the purpose of impairment testing requires management to use complex assumptions and estimates such as population, discount rates, industry and market considerations, long-term market equity risk, as well as other factors. These assumptions and estimates depend on our ability to accurately predict forward looking assumptions including successfully applying for broadband licenses, commercializing our 900 MHz Broadband Spectrum and properly estimating favorable deal terms over the life of the contract. For impairment testing, estimated fair value of counties without an associated deal is determined using a market-based approach primarily using the 600 MHz auction price. The FCC will use the spectrum price based on the average price paid in the FCC’s 600 MHz auction to calculate the Anti-Windfall Payments. The estimated fair value of realized deals is determined using a transaction specific market approach based on the deal specific terms and adjusted for our rate of return and present value taking into consideration the timing of payments. In addition, we performed a sensitivity analysis to recent auctions and transactions noting that while in some cases the value was lower than the 600 MHz auction price, the values were well above our carrying value. Furthermore, if management determines that for impairment testing purposes, the 600 MHz auction price is not the appropriate market-based fair value, and the new estimated fair value is lower by over 50%, our intangible assets would still not be impaired as the current estimated fair value for impairment testing purposes exceeds book value by more than 50%.</w:t>
      </w:r>
    </w:p>
    <w:p>
      <w:pPr>
        <w:spacing w:after="0" w:line="99"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During the year ended March 31, 2026, we performed a step zero qualitative approach impairment test as of January 1, 2026, for each geographical market or deal market, to test indefinite-lived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Per the results of the step zero test, we were not required to perform a step one analysis. During the year ended March 31, 2025, we performed a step one quantitative approach impairment test as of January 1, 2025, to determine if the fair value of the combined licenses by the associated geographical or deal market exceeds the carrying value for each geographical or deal market. Based on the results of the impairment tests, there were no impairment charges recorded during the year ended March 31, 2026 and 2025.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7" w:lineRule="exact"/>
        <w:rPr>
          <w:sz w:val="20"/>
          <w:szCs w:val="20"/>
          <w:color w:val="auto"/>
        </w:rPr>
      </w:pPr>
    </w:p>
    <w:p>
      <w:pPr>
        <w:jc w:val="both"/>
        <w:ind w:right="440" w:firstLine="720"/>
        <w:spacing w:after="0" w:line="266" w:lineRule="auto"/>
        <w:rPr>
          <w:sz w:val="20"/>
          <w:szCs w:val="20"/>
          <w:color w:val="auto"/>
        </w:rPr>
      </w:pPr>
      <w:r>
        <w:rPr>
          <w:rFonts w:ascii="Times New Roman" w:cs="Times New Roman" w:eastAsia="Times New Roman" w:hAnsi="Times New Roman"/>
          <w:sz w:val="20"/>
          <w:szCs w:val="20"/>
          <w:color w:val="auto"/>
        </w:rPr>
        <w:t xml:space="preserve">Information regarding recent accounting pronouncements, including those recently adopted, is provided in Note 2 </w:t>
      </w:r>
      <w:r>
        <w:rPr>
          <w:rFonts w:ascii="Times New Roman" w:cs="Times New Roman" w:eastAsia="Times New Roman" w:hAnsi="Times New Roman"/>
          <w:sz w:val="20"/>
          <w:szCs w:val="20"/>
          <w:b w:val="1"/>
          <w:bCs w:val="1"/>
          <w:i w:val="1"/>
          <w:iCs w:val="1"/>
          <w:color w:val="auto"/>
        </w:rPr>
        <w:t xml:space="preserve">Summary of Significant Accounting Policies </w:t>
      </w:r>
      <w:r>
        <w:rPr>
          <w:rFonts w:ascii="Times New Roman" w:cs="Times New Roman" w:eastAsia="Times New Roman" w:hAnsi="Times New Roman"/>
          <w:sz w:val="20"/>
          <w:szCs w:val="20"/>
          <w:color w:val="auto"/>
        </w:rPr>
        <w:t>in the Notes to the Consolidated Financial Statements contained within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Annual Report.</w:t>
      </w:r>
    </w:p>
    <w:p>
      <w:pPr>
        <w:spacing w:after="0" w:line="68" w:lineRule="exact"/>
        <w:rPr>
          <w:sz w:val="20"/>
          <w:szCs w:val="20"/>
          <w:color w:val="auto"/>
        </w:rPr>
      </w:pPr>
    </w:p>
    <w:p>
      <w:pPr>
        <w:ind w:right="2100"/>
        <w:spacing w:after="0" w:line="379"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b w:val="1"/>
          <w:bCs w:val="1"/>
          <w:i w:val="1"/>
          <w:iCs w:val="1"/>
          <w:color w:val="auto"/>
        </w:rPr>
        <w:t>Interest Rate Risk</w:t>
      </w:r>
    </w:p>
    <w:p>
      <w:pPr>
        <w:spacing w:after="0" w:line="1" w:lineRule="exact"/>
        <w:rPr>
          <w:sz w:val="20"/>
          <w:szCs w:val="20"/>
          <w:color w:val="auto"/>
        </w:rPr>
      </w:pPr>
    </w:p>
    <w:p>
      <w:pPr>
        <w:jc w:val="both"/>
        <w:ind w:right="220" w:firstLine="720"/>
        <w:spacing w:after="0" w:line="286" w:lineRule="auto"/>
        <w:rPr>
          <w:sz w:val="20"/>
          <w:szCs w:val="20"/>
          <w:color w:val="auto"/>
        </w:rPr>
      </w:pPr>
      <w:r>
        <w:rPr>
          <w:rFonts w:ascii="Times New Roman" w:cs="Times New Roman" w:eastAsia="Times New Roman" w:hAnsi="Times New Roman"/>
          <w:sz w:val="19"/>
          <w:szCs w:val="19"/>
          <w:color w:val="auto"/>
        </w:rPr>
        <w:t>Our financial instruments consist of cash, cash equivalents, non-trade accounts receivable and accounts payable. We consider investments in highly liquid instruments purchased with original maturities of 90 days or less to be cash equivalents. Our primary exposure to market risk is interest income sensitivity, which is affected by changes in the general level of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250825</wp:posOffset>
                </wp:positionV>
                <wp:extent cx="650494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9.75pt" to="512.1pt,19.7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22"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40</w:t>
      </w:r>
    </w:p>
    <w:p>
      <w:pPr>
        <w:sectPr>
          <w:pgSz w:w="12240" w:h="15840" w:orient="portrait"/>
          <w:cols w:equalWidth="0" w:num="1">
            <w:col w:w="10240"/>
          </w:cols>
          <w:pgMar w:left="1000" w:top="201" w:right="100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60"/>
        <w:spacing w:after="0" w:line="309" w:lineRule="auto"/>
        <w:rPr>
          <w:sz w:val="20"/>
          <w:szCs w:val="20"/>
          <w:color w:val="auto"/>
        </w:rPr>
      </w:pPr>
      <w:r>
        <w:rPr>
          <w:rFonts w:ascii="Times New Roman" w:cs="Times New Roman" w:eastAsia="Times New Roman" w:hAnsi="Times New Roman"/>
          <w:sz w:val="19"/>
          <w:szCs w:val="19"/>
          <w:color w:val="auto"/>
        </w:rPr>
        <w:t>interest rates. However, because of the short-term nature of the highly liquid instruments in our portfolio, a 10% change in market interest rates would not be expected to have a material impact on our financial condition and/or results of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 Fluctuations</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operations are based in the United States and, accordingly, all of our transactions are denominated in U.S. dollars.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currently not exposed to market risk from changes in foreign currency.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139"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Inflationary factors may adversely affect our operating results. As a result of recent increases in inflation, certain of our operating expenses have increased. Additionally, although difficult to quantify, we believe that the current macroeconomic environment, including inflation, could have an adverse effect on our target customers’ businesses, which may harm our commercialization efforts and negatively impact our revenues. Continued periods of high inflation could have a material adverse effect on our business, operating results and financial condition if we are not able to control our operating costs or if our commercialization efforts are slowed or negatively impacted, continued periods of high inflation could have a material adverse effect on our business, operating results and financial condition.</w:t>
      </w:r>
    </w:p>
    <w:p>
      <w:pPr>
        <w:spacing w:after="0" w:line="90" w:lineRule="exact"/>
        <w:rPr>
          <w:sz w:val="20"/>
          <w:szCs w:val="20"/>
          <w:color w:val="auto"/>
        </w:rPr>
      </w:pPr>
    </w:p>
    <w:p>
      <w:pPr>
        <w:ind w:right="80" w:firstLine="720"/>
        <w:spacing w:after="0" w:line="311" w:lineRule="auto"/>
        <w:rPr>
          <w:sz w:val="20"/>
          <w:szCs w:val="20"/>
          <w:color w:val="auto"/>
        </w:rPr>
      </w:pPr>
      <w:r>
        <w:rPr>
          <w:rFonts w:ascii="Times New Roman" w:cs="Times New Roman" w:eastAsia="Times New Roman" w:hAnsi="Times New Roman"/>
          <w:sz w:val="20"/>
          <w:szCs w:val="20"/>
          <w:color w:val="auto"/>
        </w:rPr>
        <w:t>We continue to monitor our market risk exposure, including any adverse impacts related to public health emergencies or the current macroeconomic environment, which has resulted in significant market volatility.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37" w:lineRule="exact"/>
        <w:rPr>
          <w:sz w:val="20"/>
          <w:szCs w:val="20"/>
          <w:color w:val="auto"/>
        </w:rPr>
      </w:pPr>
    </w:p>
    <w:p>
      <w:pPr>
        <w:ind w:right="260" w:firstLine="720"/>
        <w:spacing w:after="0" w:line="281" w:lineRule="auto"/>
        <w:rPr>
          <w:sz w:val="20"/>
          <w:szCs w:val="20"/>
          <w:color w:val="auto"/>
        </w:rPr>
      </w:pPr>
      <w:r>
        <w:rPr>
          <w:rFonts w:ascii="Times New Roman" w:cs="Times New Roman" w:eastAsia="Times New Roman" w:hAnsi="Times New Roman"/>
          <w:sz w:val="20"/>
          <w:szCs w:val="20"/>
          <w:color w:val="auto"/>
        </w:rPr>
        <w:t>The financial statements required by this item are set forth in Item 15 beginning on page F-1 and are filed as part of this Annual Report.</w:t>
      </w:r>
    </w:p>
    <w:p>
      <w:pPr>
        <w:spacing w:after="0" w:line="5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13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We maintain disclosure controls and procedures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President and Chief Executive Officer and our Chief Financial Officer, as appropriate, to allow timely decisions regarding required disclosure.</w:t>
      </w:r>
    </w:p>
    <w:p>
      <w:pPr>
        <w:spacing w:after="0" w:line="84"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President and Chief Executive Officer and our Chief Financial Officer, we conducted an evaluation of the effectiveness of the design and operation of our disclosure controls and procedures, as such term is defined in Rule 13a-15(e) of the Exchange Act. Based upon that evaluation, our Principal Executive Officer and Principal Financial and Accounting Officer have concluded that the Company’s disclosure controls and procedures, as defined in Rule 13a-15(e) of the Exchange Act, were effective as of the end of the period covered by this Annual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39" w:lineRule="exact"/>
        <w:rPr>
          <w:sz w:val="20"/>
          <w:szCs w:val="20"/>
          <w:color w:val="auto"/>
        </w:rPr>
      </w:pPr>
    </w:p>
    <w:p>
      <w:pPr>
        <w:ind w:right="140" w:firstLine="720"/>
        <w:spacing w:after="0" w:line="28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of the Exchange Act.</w:t>
      </w:r>
    </w:p>
    <w:p>
      <w:pPr>
        <w:spacing w:after="0" w:line="61"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auto"/>
        </w:rPr>
        <w:t>Internal control over financial reporting is a process designed under the supervision and with the participation of our management, including our Principal Executive Officer and Principal Financial and Accounting Officer, to provide reasonable assurance regarding the reliability of our financial reporting and the preparation of our financial statements for external purposes in accordance with U.S. GAAP.</w:t>
      </w:r>
    </w:p>
    <w:p>
      <w:pPr>
        <w:spacing w:after="0" w:line="83"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Our management, under the supervision of our President and Chief Executive Officer and our Chief Financial Officer, conducted an assessment of the effectiveness of our internal control over financial reporting based on the criteria set forth by the Committee of Sponsoring Organizations of the Treadway Commission in Internal Control—Integrated Framework. Based on this assessment, our management determined that, as of March 31, 2026, we maintained effective internal control over financial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769620</wp:posOffset>
                </wp:positionV>
                <wp:extent cx="650494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60.6pt" to="512.1pt,60.6pt" o:allowincell="f" strokecolor="#000000" strokeweight="1pt"/>
            </w:pict>
          </mc:Fallback>
        </mc:AlternateContent>
      </w:r>
    </w:p>
    <w:p>
      <w:pPr>
        <w:sectPr>
          <w:pgSz w:w="12240" w:h="15840" w:orient="portrait"/>
          <w:cols w:equalWidth="0" w:num="1">
            <w:col w:w="10200"/>
          </w:cols>
          <w:pgMar w:left="1000" w:top="20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41</w:t>
      </w:r>
    </w:p>
    <w:p>
      <w:pPr>
        <w:sectPr>
          <w:pgSz w:w="12240" w:h="15840" w:orient="portrait"/>
          <w:cols w:equalWidth="0" w:num="1">
            <w:col w:w="10200"/>
          </w:cols>
          <w:pgMar w:left="1000" w:top="201" w:right="104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Attestation Report on Internal Control over Financial Reporting</w:t>
      </w:r>
    </w:p>
    <w:p>
      <w:pPr>
        <w:spacing w:after="0" w:line="139"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auto"/>
        </w:rPr>
        <w:t>Our management’s report was not subject to attestation by our registered public accounting firm pursuant to the rules of the SEC that exempt non-accelerated filers, as that term is defined in Rule 12-b2 of the Exchange Act, from such requirement.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39" w:lineRule="exact"/>
        <w:rPr>
          <w:sz w:val="20"/>
          <w:szCs w:val="20"/>
          <w:color w:val="auto"/>
        </w:rPr>
      </w:pPr>
    </w:p>
    <w:p>
      <w:pPr>
        <w:jc w:val="both"/>
        <w:ind w:right="220" w:firstLine="720"/>
        <w:spacing w:after="0" w:line="26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or 15d-15(d) of the Exchange Act, during the quarterly period ended March 31, 2026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on Effectiveness of Controls</w:t>
      </w:r>
    </w:p>
    <w:p>
      <w:pPr>
        <w:spacing w:after="0" w:line="139"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Our management, including our President and Chief Executive Officer and our Chief Financial Officer,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that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w:t>
      </w:r>
    </w:p>
    <w:p>
      <w:pPr>
        <w:spacing w:after="0" w:line="9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and Executive Officer Trading</w:t>
      </w:r>
    </w:p>
    <w:p>
      <w:pPr>
        <w:spacing w:after="0" w:line="137" w:lineRule="exact"/>
        <w:rPr>
          <w:sz w:val="20"/>
          <w:szCs w:val="20"/>
          <w:color w:val="auto"/>
        </w:rPr>
      </w:pPr>
    </w:p>
    <w:p>
      <w:pPr>
        <w:ind w:right="140" w:firstLine="720"/>
        <w:spacing w:after="0" w:line="281" w:lineRule="auto"/>
        <w:rPr>
          <w:sz w:val="20"/>
          <w:szCs w:val="20"/>
          <w:color w:val="auto"/>
        </w:rPr>
      </w:pPr>
      <w:r>
        <w:rPr>
          <w:rFonts w:ascii="Times New Roman" w:cs="Times New Roman" w:eastAsia="Times New Roman" w:hAnsi="Times New Roman"/>
          <w:sz w:val="20"/>
          <w:szCs w:val="20"/>
          <w:color w:val="auto"/>
        </w:rPr>
        <w:t>During the three months ended March 31, 2026, no director or officer adopted or terminated any Rule 10b5-1 or non-Rule 10b5-1 trading arrangement (as defined in Item 408 of Regulation S-K).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DISCLOSURES REGARDING FOREIGN JURISDICTIONS THAT PREVENT INSPECTIONS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3877310</wp:posOffset>
                </wp:positionV>
                <wp:extent cx="650494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05.3pt" to="512.1pt,305.3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42</w:t>
      </w:r>
    </w:p>
    <w:p>
      <w:pPr>
        <w:sectPr>
          <w:pgSz w:w="12240" w:h="15840" w:orient="portrait"/>
          <w:cols w:equalWidth="0" w:num="1">
            <w:col w:w="10240"/>
          </w:cols>
          <w:pgMar w:left="1000" w:top="201" w:right="10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37"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Information relating to our directors, executive officers and corporate governance, including our Code of Business Conduct, will be included in the proxy statement for our 2026 annual meeting of our stockholders, expected to be filed within 120 days of the end of our fiscal year, which is incorporated herein by reference. The full text of our Code of Business Conduct, which is the code of ethics that applies to all of our officers, directors and employees, can be found in the “Investors” section of our website accessible to the public at www.anterix.com.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34"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Information relating to our executive compensation will be included in the proxy statement for our 2026 annual meeting of our stockholders, expected to be filed within 120 days of the end of our fiscal year. This information (except for the disclosure under the heading “Pay-Verse-Performance”) is incorporated herein by reference.</w:t>
      </w:r>
    </w:p>
    <w:p>
      <w:pPr>
        <w:spacing w:after="0" w:line="68"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59"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20"/>
          <w:szCs w:val="20"/>
          <w:color w:val="auto"/>
        </w:rPr>
        <w:t>Information relating to the security ownership of certain beneficial owners and management will be included in the proxy statement for our 2026 annual meeting of our stockholders, expected to be filed within 120 days of the end of our fiscal year, which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auto"/>
        </w:rPr>
        <w:t>Information relating to certain relationships and related transactions and director independence will be included in the proxy statement for our 2026 annual meeting of our stockholders, expected to be filed within 120 days of the end of our fiscal year, which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37" w:lineRule="exact"/>
        <w:rPr>
          <w:sz w:val="20"/>
          <w:szCs w:val="20"/>
          <w:color w:val="auto"/>
        </w:rPr>
      </w:pPr>
    </w:p>
    <w:p>
      <w:pPr>
        <w:jc w:val="both"/>
        <w:ind w:right="340" w:firstLine="720"/>
        <w:spacing w:after="0" w:line="266" w:lineRule="auto"/>
        <w:rPr>
          <w:sz w:val="20"/>
          <w:szCs w:val="20"/>
          <w:color w:val="auto"/>
        </w:rPr>
      </w:pPr>
      <w:r>
        <w:rPr>
          <w:rFonts w:ascii="Times New Roman" w:cs="Times New Roman" w:eastAsia="Times New Roman" w:hAnsi="Times New Roman"/>
          <w:sz w:val="20"/>
          <w:szCs w:val="20"/>
          <w:color w:val="auto"/>
        </w:rPr>
        <w:t>Information relating to principal accountant fees and services will be included in the proxy statement for our 2026 annual meeting of our stockholders, expected to be filed within 120 days of the end of our fiscal year, which is incorporated herein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4680585</wp:posOffset>
                </wp:positionV>
                <wp:extent cx="650494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68.55pt" to="512.1pt,368.5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43</w:t>
      </w:r>
    </w:p>
    <w:p>
      <w:pPr>
        <w:sectPr>
          <w:pgSz w:w="12240" w:h="15840" w:orient="portrait"/>
          <w:cols w:equalWidth="0" w:num="1">
            <w:col w:w="10240"/>
          </w:cols>
          <w:pgMar w:left="1000" w:top="201" w:right="10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13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(a)(1) The following consolidated financial statements of the Company appear beginning on page F-1 of this Annual Report and are incorporated by reference in Part II, Item 8:</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0000FF"/>
        </w:rPr>
        <w:t>Reports of Independent Registered Public Accounting Firms (PCAOB ID Number 34)</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0000FF"/>
        </w:rPr>
        <w:t>Reports of Independent Registered Public Accounting Firms (PCAOB ID Number 248)</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0000FF"/>
        </w:rPr>
        <w:t>Consolidated Balance Sheets as of March 31, 2026 and 2025</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0000FF"/>
        </w:rPr>
        <w:t>Consolidated Statements of Operations for the Years Ended March 31, 2026 and 2025</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0000FF"/>
        </w:rPr>
        <w:t>Consolidated Statements of Stockholders’ Equity for the Years Ended March 31, 2026 and 2025</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0000FF"/>
        </w:rPr>
        <w:t>Consolidated Statements of Cash Flows for the Years Ended March 31, 2026 and 2025</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0000FF"/>
        </w:rPr>
        <w:t>Notes to Consolidated Financial Statements</w:t>
      </w:r>
    </w:p>
    <w:p>
      <w:pPr>
        <w:spacing w:after="0" w:line="13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(a)(2) All schedules for which provision is made in the applicable accounting regulations of the SEC are not required under the related instructions or are inapplicable and therefore have been omitted.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 The following exhibits are filed as part of, or incorporated by reference into,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96520</wp:posOffset>
            </wp:positionV>
            <wp:extent cx="6540500" cy="56451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5">
                      <a:extLst>
                        <a:ext uri="{28A0092B-C50C-407E-A947-70E740481C1C}"/>
                      </a:extLst>
                    </a:blip>
                    <a:srcRect/>
                    <a:stretch>
                      <a:fillRect/>
                    </a:stretch>
                  </pic:blipFill>
                  <pic:spPr bwMode="auto">
                    <a:xfrm>
                      <a:off x="0" y="0"/>
                      <a:ext cx="6540500" cy="564515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20" w:type="dxa"/>
            <w:vAlign w:val="bottom"/>
            <w:gridSpan w:val="3"/>
          </w:tcPr>
          <w:p>
            <w:pPr>
              <w:ind w:left="18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20" w:type="dxa"/>
            <w:vAlign w:val="bottom"/>
          </w:tcPr>
          <w:p>
            <w:pPr>
              <w:spacing w:after="0"/>
              <w:rPr>
                <w:sz w:val="22"/>
                <w:szCs w:val="22"/>
                <w:color w:val="auto"/>
              </w:rPr>
            </w:pPr>
          </w:p>
        </w:tc>
      </w:tr>
      <w:tr>
        <w:trPr>
          <w:trHeight w:val="27"/>
        </w:trPr>
        <w:tc>
          <w:tcPr>
            <w:tcW w:w="1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gridSpan w:val="31"/>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8"/>
        </w:trPr>
        <w:tc>
          <w:tcPr>
            <w:tcW w:w="1380" w:type="dxa"/>
            <w:vAlign w:val="bottom"/>
          </w:tcPr>
          <w:p>
            <w:pPr>
              <w:ind w:left="180"/>
              <w:spacing w:after="0" w:line="198" w:lineRule="exact"/>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20" w:type="dxa"/>
            <w:vAlign w:val="bottom"/>
            <w:gridSpan w:val="31"/>
          </w:tcPr>
          <w:p>
            <w:pPr>
              <w:spacing w:after="0" w:line="198" w:lineRule="exact"/>
              <w:rPr>
                <w:sz w:val="20"/>
                <w:szCs w:val="20"/>
                <w:color w:val="auto"/>
              </w:rPr>
            </w:pPr>
            <w:r>
              <w:rPr>
                <w:rFonts w:ascii="Times New Roman" w:cs="Times New Roman" w:eastAsia="Times New Roman" w:hAnsi="Times New Roman"/>
                <w:sz w:val="20"/>
                <w:szCs w:val="20"/>
                <w:color w:val="0000FF"/>
              </w:rPr>
              <w:t>Amended and Restated Certificate of Incorporation of the Company (filed as Exhibit 3.1 to the Registration</w:t>
            </w:r>
          </w:p>
        </w:tc>
        <w:tc>
          <w:tcPr>
            <w:tcW w:w="20" w:type="dxa"/>
            <w:vAlign w:val="bottom"/>
          </w:tcPr>
          <w:p>
            <w:pPr>
              <w:spacing w:after="0"/>
              <w:rPr>
                <w:sz w:val="17"/>
                <w:szCs w:val="17"/>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60" w:type="dxa"/>
            <w:vAlign w:val="bottom"/>
            <w:tcBorders>
              <w:top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Statement on Form S-1, filed with the SEC on December 19, 2014 and incorporated herein by reference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8"/>
              </w:rPr>
              <w:t>(File No. 333-201156)).</w:t>
            </w:r>
          </w:p>
        </w:tc>
        <w:tc>
          <w:tcPr>
            <w:tcW w:w="642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Certificate of Amendment No. 1 to Amended and Restated Certificate of Incorporation of the Company</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(filed as Exhibit 3.1 of the Current Report on Form 8-K, filed with the SEC on November 5, 2015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incorporated herein by reference (File No. 001-36827)).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Certificate of Amendment No. 2 to Amended and Restated Certificate of Incorporation of the Company</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(filed as Exhibit 3.1 of the Current Report on Form 8-K, filed with the SEC on August 6, 2019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94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incorporated herein by reference (File No. 001-36827)).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Amended and Restated Bylaws of the Company (filed as Exhibit 3.1 to the Current Report on Form 8-K,</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9"/>
              </w:rPr>
              <w:t>filed with the SEC on June 27, 2017 and incorporated herein by reference (File No. 001-36827)).</w:t>
            </w:r>
          </w:p>
        </w:tc>
        <w:tc>
          <w:tcPr>
            <w:tcW w:w="66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20"/>
                <w:szCs w:val="20"/>
                <w:color w:val="0000FF"/>
              </w:rPr>
              <w:t>Amendment No. 1 to the Amended and Restated Bylaws of the Company (filed as Exhibit 3.1 to the Current</w:t>
            </w:r>
          </w:p>
        </w:tc>
        <w:tc>
          <w:tcPr>
            <w:tcW w:w="20" w:type="dxa"/>
            <w:vAlign w:val="bottom"/>
          </w:tcPr>
          <w:p>
            <w:pPr>
              <w:spacing w:after="0"/>
              <w:rPr>
                <w:sz w:val="24"/>
                <w:szCs w:val="24"/>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720" w:type="dxa"/>
            <w:vAlign w:val="bottom"/>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Report on Form 8-K, filed with the SEC on May 8, 2020 and incorporated herein by reference (File No.</w:t>
            </w: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001-36827)).</w:t>
            </w:r>
          </w:p>
        </w:tc>
        <w:tc>
          <w:tcPr>
            <w:tcW w:w="1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Form of Common Stock Certificate of the Company (filed as Exhibit 4.1 to the Registration Statement on</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80" w:type="dxa"/>
            <w:vAlign w:val="bottom"/>
            <w:tcBorders>
              <w:top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Form S-1, filed with the SEC on December 19, 2014 and incorporated herein by reference (File No.</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7"/>
              </w:rPr>
              <w:t>333-201156)).</w:t>
            </w:r>
          </w:p>
        </w:tc>
        <w:tc>
          <w:tcPr>
            <w:tcW w:w="78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Description of Common Stock (filed as Exhibit 4.5 to the Annual Report on Form 10-K for the year ended</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6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March 31, 2020, filed with the SEC on May 28, 2020 and incorporated herein by reference (File No.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001-36827)).</w:t>
            </w:r>
          </w:p>
        </w:tc>
        <w:tc>
          <w:tcPr>
            <w:tcW w:w="1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2014 Stock Plan (filed as Exhibit 10.6 to the Registration Statement on Form S-1, filed with the SEC on</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6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December 19, 2014 and incorporated herein by reference (File No. 333-201156)).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Executive Form of Notice of Grant of Stock Option and Stock Option Agreement under 2014 Stock Plan</w:t>
            </w:r>
          </w:p>
        </w:tc>
        <w:tc>
          <w:tcPr>
            <w:tcW w:w="28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720" w:type="dxa"/>
            <w:vAlign w:val="bottom"/>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(filed as Exhibit 10.7 to the Annual Report on Form 10-K for the year ended March 31, 2015, filed with the</w:t>
            </w: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40" w:type="dxa"/>
            <w:vAlign w:val="bottom"/>
            <w:tcBorders>
              <w:top w:val="single" w:sz="8" w:color="0000FF"/>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SEC on June 10, 2015 and incorporated herein by reference (File No. 001-36827)).</w:t>
            </w:r>
          </w:p>
        </w:tc>
        <w:tc>
          <w:tcPr>
            <w:tcW w:w="2000" w:type="dxa"/>
            <w:vAlign w:val="bottom"/>
            <w:tcBorders>
              <w:top w:val="single" w:sz="8" w:color="0000FF"/>
            </w:tcBorders>
            <w:gridSpan w:val="1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Non-Employee Director Form of Notice of Grant of Stock Option and Stock Option Agreement under 2014</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700" w:type="dxa"/>
            <w:vAlign w:val="bottom"/>
            <w:tcBorders>
              <w:top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Stock Plan (filed as Exhibit 10.8 to the Annual Report on Form 10-K for the year ended March 31, 2015,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9"/>
              </w:rPr>
              <w:t>filed with the SEC on June 10, 2015 and incorporated herein by reference (File No. 001-36827)).</w:t>
            </w:r>
          </w:p>
        </w:tc>
        <w:tc>
          <w:tcPr>
            <w:tcW w:w="700" w:type="dxa"/>
            <w:vAlign w:val="bottom"/>
            <w:tcBorders>
              <w:top w:val="single" w:sz="8" w:color="0000FF"/>
            </w:tcBorders>
            <w:gridSpan w:val="13"/>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Non-Employee Director Form of Notice of Grant of Restricted Stock Units and Restricted Stock Units</w:t>
            </w:r>
          </w:p>
        </w:tc>
        <w:tc>
          <w:tcPr>
            <w:tcW w:w="480" w:type="dxa"/>
            <w:vAlign w:val="bottom"/>
            <w:gridSpan w:val="17"/>
          </w:tcPr>
          <w:p>
            <w:pPr>
              <w:spacing w:after="0"/>
              <w:rPr>
                <w:sz w:val="22"/>
                <w:szCs w:val="22"/>
                <w:color w:val="auto"/>
              </w:rPr>
            </w:pP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40" w:type="dxa"/>
            <w:vAlign w:val="bottom"/>
            <w:tcBorders>
              <w:bottom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Agreement under 2014 Stock Plan (filed as Exhibit 10.9 to the Annual Report on Form 10-K for the year</w:t>
            </w:r>
          </w:p>
        </w:tc>
        <w:tc>
          <w:tcPr>
            <w:tcW w:w="28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0" w:type="dxa"/>
            <w:vAlign w:val="bottom"/>
            <w:tcBorders>
              <w:bottom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ended March 31, 2015, filed with the SEC on June 10, 2015 and incorporated herein by reference (File No.</w:t>
            </w: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Form of Notice of Grant of Restricted Stock Units and Restricted Stock Units Agreement under 2014 Stock</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80" w:type="dxa"/>
            <w:vAlign w:val="bottom"/>
            <w:tcBorders>
              <w:top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rPr>
              <w:t>Plan (filed as Exhibit 10.8 to the Registration Statement on Form S-1, filed with the SEC on December 19,</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36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2014 and incorporated herein by reference (File No. 333-201156)).</w:t>
            </w:r>
          </w:p>
        </w:tc>
        <w:tc>
          <w:tcPr>
            <w:tcW w:w="3220" w:type="dxa"/>
            <w:vAlign w:val="bottom"/>
            <w:tcBorders>
              <w:top w:val="single" w:sz="8" w:color="0000FF"/>
            </w:tcBorders>
            <w:gridSpan w:val="19"/>
          </w:tcPr>
          <w:p>
            <w:pPr>
              <w:spacing w:after="0"/>
              <w:rPr>
                <w:sz w:val="15"/>
                <w:szCs w:val="15"/>
                <w:color w:val="auto"/>
              </w:rPr>
            </w:pPr>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Form of Indemnification Agreement by and among the Company and its officers and directors (filed as</w:t>
            </w:r>
          </w:p>
        </w:tc>
        <w:tc>
          <w:tcPr>
            <w:tcW w:w="20" w:type="dxa"/>
            <w:vAlign w:val="bottom"/>
          </w:tcPr>
          <w:p>
            <w:pPr>
              <w:spacing w:after="0"/>
              <w:rPr>
                <w:sz w:val="22"/>
                <w:szCs w:val="22"/>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80" w:type="dxa"/>
            <w:vAlign w:val="bottom"/>
            <w:tcBorders>
              <w:top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Exhibit 10.9 to the Registration Statement on Form S-1, filed with the SEC on December 19, 2014 and</w:t>
            </w:r>
          </w:p>
        </w:tc>
        <w:tc>
          <w:tcPr>
            <w:tcW w:w="440" w:type="dxa"/>
            <w:vAlign w:val="bottom"/>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60" w:type="dxa"/>
            <w:vAlign w:val="bottom"/>
            <w:tcBorders>
              <w:top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incorporated herein by reference (File No. 333-201156)).</w:t>
            </w:r>
          </w:p>
        </w:tc>
        <w:tc>
          <w:tcPr>
            <w:tcW w:w="460" w:type="dxa"/>
            <w:vAlign w:val="bottom"/>
            <w:gridSpan w:val="16"/>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471170</wp:posOffset>
                </wp:positionV>
                <wp:extent cx="650494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7.1pt" to="512.1pt,37.1pt" o:allowincell="f" strokecolor="#000000" strokeweight="1pt"/>
            </w:pict>
          </mc:Fallback>
        </mc:AlternateContent>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44</w:t>
      </w:r>
    </w:p>
    <w:p>
      <w:pPr>
        <w:sectPr>
          <w:pgSz w:w="12240" w:h="15840" w:orient="portrait"/>
          <w:cols w:equalWidth="0" w:num="1">
            <w:col w:w="10260"/>
          </w:cols>
          <w:pgMar w:left="1000" w:top="201" w:right="9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540500" cy="8474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6">
                      <a:extLst>
                        <a:ext uri="{28A0092B-C50C-407E-A947-70E740481C1C}"/>
                      </a:extLst>
                    </a:blip>
                    <a:srcRect/>
                    <a:stretch>
                      <a:fillRect/>
                    </a:stretch>
                  </pic:blipFill>
                  <pic:spPr bwMode="auto">
                    <a:xfrm>
                      <a:off x="0" y="0"/>
                      <a:ext cx="6540500" cy="8474075"/>
                    </a:xfrm>
                    <a:prstGeom prst="rect">
                      <a:avLst/>
                    </a:prstGeom>
                    <a:noFill/>
                  </pic:spPr>
                </pic:pic>
              </a:graphicData>
            </a:graphic>
          </wp:anchor>
        </w:drawing>
      </w:r>
    </w:p>
    <w:p>
      <w:pPr>
        <w:spacing w:after="0" w:line="382"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tcPr>
          <w:p>
            <w:pPr>
              <w:spacing w:after="0"/>
              <w:rPr>
                <w:sz w:val="19"/>
                <w:szCs w:val="19"/>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The Company’s Executive Severance Plan as amended December 5, 2024 (filed as Exhibit 10.17 to the</w:t>
            </w:r>
          </w:p>
        </w:tc>
        <w:tc>
          <w:tcPr>
            <w:tcW w:w="20" w:type="dxa"/>
            <w:vAlign w:val="bottom"/>
          </w:tcPr>
          <w:p>
            <w:pPr>
              <w:spacing w:after="0"/>
              <w:rPr>
                <w:sz w:val="19"/>
                <w:szCs w:val="19"/>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Annual Report on Form 10-K for the year ended March 31, 2025, filed with the SEC on June 24, 2025</w:t>
            </w:r>
          </w:p>
        </w:tc>
        <w:tc>
          <w:tcPr>
            <w:tcW w:w="38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top w:val="single" w:sz="8" w:color="0000FF"/>
            </w:tcBorders>
            <w:gridSpan w:val="35"/>
          </w:tcPr>
          <w:p>
            <w:pPr>
              <w:spacing w:after="0" w:line="180" w:lineRule="exact"/>
              <w:rPr>
                <w:sz w:val="20"/>
                <w:szCs w:val="20"/>
                <w:color w:val="auto"/>
              </w:rPr>
            </w:pPr>
            <w:r>
              <w:rPr>
                <w:rFonts w:ascii="Times New Roman" w:cs="Times New Roman" w:eastAsia="Times New Roman" w:hAnsi="Times New Roman"/>
                <w:sz w:val="20"/>
                <w:szCs w:val="20"/>
                <w:color w:val="0000FF"/>
              </w:rPr>
              <w:t>incorporated herein by reference (File No. 001-36827)).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20" w:type="dxa"/>
            <w:vAlign w:val="bottom"/>
          </w:tcPr>
          <w:p>
            <w:pPr>
              <w:spacing w:after="0"/>
              <w:rPr>
                <w:sz w:val="22"/>
                <w:szCs w:val="22"/>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The Company’s Form of Executive Severance Plan Participation Agreement (filed as Exhibit 99.2 to the</w:t>
            </w:r>
          </w:p>
        </w:tc>
        <w:tc>
          <w:tcPr>
            <w:tcW w:w="20" w:type="dxa"/>
            <w:vAlign w:val="bottom"/>
          </w:tcPr>
          <w:p>
            <w:pPr>
              <w:spacing w:after="0"/>
              <w:rPr>
                <w:sz w:val="22"/>
                <w:szCs w:val="22"/>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0000FF"/>
              <w:bottom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w w:val="99"/>
              </w:rPr>
              <w:t>Current Report on Form 8-K, filed with the SEC on March 27, 2015 and incorporated herein by reference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8"/>
              </w:rPr>
              <w:t>(File No. 001-36827)).</w:t>
            </w:r>
          </w:p>
        </w:tc>
        <w:tc>
          <w:tcPr>
            <w:tcW w:w="6700" w:type="dxa"/>
            <w:vAlign w:val="bottom"/>
            <w:gridSpan w:val="2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22"/>
                <w:szCs w:val="22"/>
                <w:color w:val="auto"/>
              </w:rPr>
            </w:pP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Executive Form of Performance-Based Stock Option Agreement and Grant Notice under the 2014 Stock</w:t>
            </w:r>
          </w:p>
        </w:tc>
        <w:tc>
          <w:tcPr>
            <w:tcW w:w="260" w:type="dxa"/>
            <w:vAlign w:val="bottom"/>
            <w:gridSpan w:val="20"/>
          </w:tcPr>
          <w:p>
            <w:pPr>
              <w:spacing w:after="0"/>
              <w:rPr>
                <w:sz w:val="22"/>
                <w:szCs w:val="22"/>
                <w:color w:val="auto"/>
              </w:rPr>
            </w:pPr>
          </w:p>
        </w:tc>
        <w:tc>
          <w:tcPr>
            <w:tcW w:w="20" w:type="dxa"/>
            <w:vAlign w:val="bottom"/>
          </w:tcPr>
          <w:p>
            <w:pPr>
              <w:spacing w:after="0"/>
              <w:rPr>
                <w:sz w:val="22"/>
                <w:szCs w:val="22"/>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Plan (filed as Exhibit 10.1 to the Quarterly Report on Form 10-Q for the quarter ended December 31, 2015,</w:t>
            </w: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60" w:type="dxa"/>
            <w:vAlign w:val="bottom"/>
            <w:tcBorders>
              <w:top w:val="single" w:sz="8" w:color="0000FF"/>
            </w:tcBorders>
            <w:gridSpan w:val="42"/>
          </w:tcPr>
          <w:p>
            <w:pPr>
              <w:spacing w:after="0" w:line="180" w:lineRule="exact"/>
              <w:rPr>
                <w:sz w:val="20"/>
                <w:szCs w:val="20"/>
                <w:color w:val="auto"/>
              </w:rPr>
            </w:pPr>
            <w:r>
              <w:rPr>
                <w:rFonts w:ascii="Times New Roman" w:cs="Times New Roman" w:eastAsia="Times New Roman" w:hAnsi="Times New Roman"/>
                <w:sz w:val="20"/>
                <w:szCs w:val="20"/>
                <w:color w:val="0000FF"/>
              </w:rPr>
              <w:t>filed with the SEC on February 16, 2016 and incorporated herein by reference (File No. 001-36827)).</w:t>
            </w: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20" w:type="dxa"/>
            <w:vAlign w:val="bottom"/>
          </w:tcPr>
          <w:p>
            <w:pPr>
              <w:spacing w:after="0"/>
              <w:rPr>
                <w:sz w:val="22"/>
                <w:szCs w:val="22"/>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Executive Form of Performance-Based Restricted Stock Units Agreement and Grant Notice under the 2014</w:t>
            </w:r>
          </w:p>
        </w:tc>
        <w:tc>
          <w:tcPr>
            <w:tcW w:w="20" w:type="dxa"/>
            <w:vAlign w:val="bottom"/>
          </w:tcPr>
          <w:p>
            <w:pPr>
              <w:spacing w:after="0"/>
              <w:rPr>
                <w:sz w:val="22"/>
                <w:szCs w:val="22"/>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top w:val="single" w:sz="8" w:color="0000FF"/>
              <w:bottom w:val="single" w:sz="8" w:color="0000FF"/>
            </w:tcBorders>
            <w:gridSpan w:val="41"/>
          </w:tcPr>
          <w:p>
            <w:pPr>
              <w:spacing w:after="0" w:line="180" w:lineRule="exact"/>
              <w:rPr>
                <w:sz w:val="20"/>
                <w:szCs w:val="20"/>
                <w:color w:val="auto"/>
              </w:rPr>
            </w:pPr>
            <w:r>
              <w:rPr>
                <w:rFonts w:ascii="Times New Roman" w:cs="Times New Roman" w:eastAsia="Times New Roman" w:hAnsi="Times New Roman"/>
                <w:sz w:val="20"/>
                <w:szCs w:val="20"/>
                <w:color w:val="0000FF"/>
              </w:rPr>
              <w:t>Stock Plan (filed as Exhibit 10.2 to the Quarterly Report on Form 10-Q for the quarter ended December 31,</w:t>
            </w:r>
          </w:p>
        </w:tc>
        <w:tc>
          <w:tcPr>
            <w:tcW w:w="40" w:type="dxa"/>
            <w:vAlign w:val="bottom"/>
            <w:tcBorders>
              <w:bottom w:val="single" w:sz="8" w:color="0000FF"/>
            </w:tcBorders>
            <w:gridSpan w:val="2"/>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00" w:type="dxa"/>
            <w:vAlign w:val="bottom"/>
            <w:tcBorders>
              <w:bottom w:val="single" w:sz="8" w:color="0000FF"/>
            </w:tcBorders>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2015, filed with the SEC on February 16, 2016 and incorporated herein by reference (File No. 001-36827)).</w:t>
            </w:r>
          </w:p>
        </w:tc>
        <w:tc>
          <w:tcPr>
            <w:tcW w:w="80" w:type="dxa"/>
            <w:vAlign w:val="bottom"/>
            <w:gridSpan w:val="4"/>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20" w:type="dxa"/>
            <w:vAlign w:val="bottom"/>
          </w:tcPr>
          <w:p>
            <w:pPr>
              <w:spacing w:after="0"/>
              <w:rPr>
                <w:sz w:val="22"/>
                <w:szCs w:val="22"/>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Non-Employee Director Form of Restricted Stock Award Agreement and Grant Notice under the 2014</w:t>
            </w:r>
          </w:p>
        </w:tc>
        <w:tc>
          <w:tcPr>
            <w:tcW w:w="20" w:type="dxa"/>
            <w:vAlign w:val="bottom"/>
          </w:tcPr>
          <w:p>
            <w:pPr>
              <w:spacing w:after="0"/>
              <w:rPr>
                <w:sz w:val="22"/>
                <w:szCs w:val="22"/>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6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w w:val="99"/>
              </w:rPr>
              <w:t>Stock Plan (filed as Exhibit 10.3 to the Quarterly Report on Form 10-Q for the quarter ended December</w:t>
            </w:r>
          </w:p>
        </w:tc>
        <w:tc>
          <w:tcPr>
            <w:tcW w:w="400" w:type="dxa"/>
            <w:vAlign w:val="bottom"/>
            <w:gridSpan w:val="17"/>
          </w:tcPr>
          <w:p>
            <w:pPr>
              <w:jc w:val="right"/>
              <w:ind w:right="80"/>
              <w:spacing w:after="0" w:line="180" w:lineRule="exact"/>
              <w:rPr>
                <w:sz w:val="20"/>
                <w:szCs w:val="20"/>
                <w:color w:val="auto"/>
              </w:rPr>
            </w:pPr>
            <w:r>
              <w:rPr>
                <w:rFonts w:ascii="Times New Roman" w:cs="Times New Roman" w:eastAsia="Times New Roman" w:hAnsi="Times New Roman"/>
                <w:sz w:val="20"/>
                <w:szCs w:val="20"/>
                <w:color w:val="0000FF"/>
              </w:rPr>
              <w:t>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00" w:type="dxa"/>
            <w:vAlign w:val="bottom"/>
            <w:tcBorders>
              <w:top w:val="single" w:sz="8" w:color="0000FF"/>
              <w:bottom w:val="single" w:sz="8" w:color="0000FF"/>
            </w:tcBorders>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2015, filed with the SEC on February 16, 2016 and incorporated herein by reference (File No. 001-36827)).</w:t>
            </w:r>
          </w:p>
        </w:tc>
        <w:tc>
          <w:tcPr>
            <w:tcW w:w="80" w:type="dxa"/>
            <w:vAlign w:val="bottom"/>
            <w:tcBorders>
              <w:top w:val="single" w:sz="8" w:color="0000FF"/>
            </w:tcBorders>
            <w:gridSpan w:val="4"/>
          </w:tcPr>
          <w:p>
            <w:pPr>
              <w:spacing w:after="0"/>
              <w:rPr>
                <w:sz w:val="15"/>
                <w:szCs w:val="15"/>
                <w:color w:val="auto"/>
              </w:rPr>
            </w:pPr>
          </w:p>
        </w:tc>
        <w:tc>
          <w:tcPr>
            <w:tcW w:w="4294967197"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20" w:type="dxa"/>
            <w:vAlign w:val="bottom"/>
          </w:tcPr>
          <w:p>
            <w:pPr>
              <w:spacing w:after="0"/>
              <w:rPr>
                <w:sz w:val="22"/>
                <w:szCs w:val="22"/>
                <w:color w:val="auto"/>
              </w:rPr>
            </w:pPr>
          </w:p>
        </w:tc>
        <w:tc>
          <w:tcPr>
            <w:tcW w:w="868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20"/>
                <w:szCs w:val="20"/>
                <w:color w:val="0000FF"/>
              </w:rPr>
              <w:t>Executive Form of Time-Based Stock Option Agreement and Grant Notice under the 2014 Stock Plan (filed</w:t>
            </w:r>
          </w:p>
        </w:tc>
        <w:tc>
          <w:tcPr>
            <w:tcW w:w="20" w:type="dxa"/>
            <w:vAlign w:val="bottom"/>
          </w:tcPr>
          <w:p>
            <w:pPr>
              <w:spacing w:after="0"/>
              <w:rPr>
                <w:sz w:val="22"/>
                <w:szCs w:val="22"/>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as Exhibit 10.4 to the Quarterly Report on Form 10-Q for the quarter ended December 31, 2015, filed with</w:t>
            </w: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0" w:type="dxa"/>
            <w:vAlign w:val="bottom"/>
            <w:tcBorders>
              <w:top w:val="single" w:sz="8" w:color="0000FF"/>
            </w:tcBorders>
            <w:gridSpan w:val="34"/>
          </w:tcPr>
          <w:p>
            <w:pPr>
              <w:spacing w:after="0" w:line="180" w:lineRule="exact"/>
              <w:rPr>
                <w:sz w:val="20"/>
                <w:szCs w:val="20"/>
                <w:color w:val="auto"/>
              </w:rPr>
            </w:pPr>
            <w:r>
              <w:rPr>
                <w:rFonts w:ascii="Times New Roman" w:cs="Times New Roman" w:eastAsia="Times New Roman" w:hAnsi="Times New Roman"/>
                <w:sz w:val="20"/>
                <w:szCs w:val="20"/>
                <w:color w:val="0000FF"/>
              </w:rPr>
              <w:t>the SEC on February 16, 2016 and incorporated herein by reference (File No. 001-36827)).</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20" w:type="dxa"/>
            <w:vAlign w:val="bottom"/>
          </w:tcPr>
          <w:p>
            <w:pPr>
              <w:spacing w:after="0"/>
              <w:rPr>
                <w:sz w:val="22"/>
                <w:szCs w:val="22"/>
                <w:color w:val="auto"/>
              </w:rPr>
            </w:pPr>
          </w:p>
        </w:tc>
        <w:tc>
          <w:tcPr>
            <w:tcW w:w="868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20"/>
                <w:szCs w:val="20"/>
                <w:color w:val="0000FF"/>
              </w:rPr>
              <w:t>Executive Form of Time-Based Restricted Stock Award Agreement and Grant Notice under the 2014 Stock</w:t>
            </w:r>
          </w:p>
        </w:tc>
        <w:tc>
          <w:tcPr>
            <w:tcW w:w="20" w:type="dxa"/>
            <w:vAlign w:val="bottom"/>
          </w:tcPr>
          <w:p>
            <w:pPr>
              <w:spacing w:after="0"/>
              <w:rPr>
                <w:sz w:val="22"/>
                <w:szCs w:val="22"/>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Plan (filed as Exhibit 10.5 to the Quarterly Report on Form 10-Q for the quarter ended December 31, 2015,</w:t>
            </w: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filed with the SEC on February 16, 2016 and incorporated herein by reference).</w:t>
            </w:r>
          </w:p>
        </w:tc>
        <w:tc>
          <w:tcPr>
            <w:tcW w:w="2400" w:type="dxa"/>
            <w:vAlign w:val="bottom"/>
            <w:tcBorders>
              <w:top w:val="single" w:sz="8" w:color="0000FF"/>
            </w:tcBorders>
            <w:gridSpan w:val="32"/>
          </w:tcPr>
          <w:p>
            <w:pPr>
              <w:spacing w:after="0"/>
              <w:rPr>
                <w:sz w:val="15"/>
                <w:szCs w:val="15"/>
                <w:color w:val="auto"/>
              </w:rPr>
            </w:pPr>
          </w:p>
        </w:tc>
        <w:tc>
          <w:tcPr>
            <w:tcW w:w="4294967217"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20" w:type="dxa"/>
            <w:vAlign w:val="bottom"/>
          </w:tcPr>
          <w:p>
            <w:pPr>
              <w:spacing w:after="0"/>
              <w:rPr>
                <w:sz w:val="22"/>
                <w:szCs w:val="22"/>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Senior Executive Form of Performance-Based Restricted Stock Units Agreement and Grant Notice (2021</w:t>
            </w:r>
          </w:p>
        </w:tc>
        <w:tc>
          <w:tcPr>
            <w:tcW w:w="20" w:type="dxa"/>
            <w:vAlign w:val="bottom"/>
          </w:tcPr>
          <w:p>
            <w:pPr>
              <w:spacing w:after="0"/>
              <w:rPr>
                <w:sz w:val="22"/>
                <w:szCs w:val="22"/>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tcBorders>
              <w:top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Short-Term Incentive Plan) under the 2014 Stock Plan (filed as Exhibit 10.1 to the Quarterly Report on</w:t>
            </w: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2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Form 10-Q for the quarter ended September 30, 2020, filed with the SEC on November 16, 2020 and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2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incorporated herein by reference (File No. 001-36827)).</w:t>
            </w:r>
          </w:p>
        </w:tc>
        <w:tc>
          <w:tcPr>
            <w:tcW w:w="10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20" w:type="dxa"/>
            <w:vAlign w:val="bottom"/>
          </w:tcPr>
          <w:p>
            <w:pPr>
              <w:spacing w:after="0"/>
              <w:rPr>
                <w:sz w:val="23"/>
                <w:szCs w:val="23"/>
                <w:color w:val="auto"/>
              </w:rPr>
            </w:pPr>
          </w:p>
        </w:tc>
        <w:tc>
          <w:tcPr>
            <w:tcW w:w="84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Executive Form of Performance-Based Restricted Stock Units Agreement and Grant Notice (2021 Short-</w:t>
            </w:r>
          </w:p>
        </w:tc>
        <w:tc>
          <w:tcPr>
            <w:tcW w:w="240" w:type="dxa"/>
            <w:vAlign w:val="bottom"/>
            <w:gridSpan w:val="19"/>
          </w:tcPr>
          <w:p>
            <w:pPr>
              <w:spacing w:after="0"/>
              <w:rPr>
                <w:sz w:val="23"/>
                <w:szCs w:val="23"/>
                <w:color w:val="auto"/>
              </w:rPr>
            </w:pPr>
          </w:p>
        </w:tc>
        <w:tc>
          <w:tcPr>
            <w:tcW w:w="20" w:type="dxa"/>
            <w:vAlign w:val="bottom"/>
          </w:tcPr>
          <w:p>
            <w:pPr>
              <w:spacing w:after="0"/>
              <w:rPr>
                <w:sz w:val="23"/>
                <w:szCs w:val="23"/>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Term Incentive Plan) under the 2014 Stock Plan (filed as Exhibit 10.2 to the Quarterly Report on Form 10-</w:t>
            </w: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tcBorders>
              <w:top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Q for the quarter ended September 30, 2020, filed with the SEC on November 16, 2020 and incorporated</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herein by reference (File No. 001-36827)).</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700" w:type="dxa"/>
            <w:vAlign w:val="bottom"/>
            <w:gridSpan w:val="45"/>
          </w:tcPr>
          <w:p>
            <w:pPr>
              <w:spacing w:after="0"/>
              <w:rPr>
                <w:sz w:val="20"/>
                <w:szCs w:val="20"/>
                <w:color w:val="auto"/>
              </w:rPr>
            </w:pPr>
            <w:r>
              <w:rPr>
                <w:rFonts w:ascii="Times New Roman" w:cs="Times New Roman" w:eastAsia="Times New Roman" w:hAnsi="Times New Roman"/>
                <w:sz w:val="20"/>
                <w:szCs w:val="20"/>
                <w:color w:val="0000FF"/>
              </w:rPr>
              <w:t>Amendment No. 1 to 2014 Stock Plan, dated June 14, 2021 (filed as Exhibit 10.40 to the Annual Report on</w:t>
            </w:r>
          </w:p>
        </w:tc>
        <w:tc>
          <w:tcPr>
            <w:tcW w:w="20" w:type="dxa"/>
            <w:vAlign w:val="bottom"/>
          </w:tcPr>
          <w:p>
            <w:pPr>
              <w:spacing w:after="0"/>
              <w:rPr>
                <w:sz w:val="23"/>
                <w:szCs w:val="23"/>
                <w:color w:val="auto"/>
              </w:rPr>
            </w:pPr>
          </w:p>
        </w:tc>
      </w:tr>
      <w:tr>
        <w:trPr>
          <w:trHeight w:val="204"/>
        </w:trPr>
        <w:tc>
          <w:tcPr>
            <w:tcW w:w="1320" w:type="dxa"/>
            <w:vAlign w:val="bottom"/>
          </w:tcPr>
          <w:p>
            <w:pPr>
              <w:spacing w:after="0"/>
              <w:rPr>
                <w:sz w:val="17"/>
                <w:szCs w:val="17"/>
                <w:color w:val="auto"/>
              </w:rPr>
            </w:pPr>
          </w:p>
        </w:tc>
        <w:tc>
          <w:tcPr>
            <w:tcW w:w="8680" w:type="dxa"/>
            <w:vAlign w:val="bottom"/>
            <w:tcBorders>
              <w:top w:val="single" w:sz="8" w:color="0000FF"/>
              <w:bottom w:val="single" w:sz="8" w:color="0000FF"/>
            </w:tcBorders>
            <w:gridSpan w:val="38"/>
          </w:tcPr>
          <w:p>
            <w:pPr>
              <w:spacing w:after="0" w:line="204" w:lineRule="exact"/>
              <w:rPr>
                <w:sz w:val="20"/>
                <w:szCs w:val="20"/>
                <w:color w:val="auto"/>
              </w:rPr>
            </w:pPr>
            <w:r>
              <w:rPr>
                <w:rFonts w:ascii="Times New Roman" w:cs="Times New Roman" w:eastAsia="Times New Roman" w:hAnsi="Times New Roman"/>
                <w:sz w:val="20"/>
                <w:szCs w:val="20"/>
                <w:color w:val="0000FF"/>
                <w:w w:val="99"/>
              </w:rPr>
              <w:t>Form 10-K for the year ended March 31, 2021, filed with the SEC on June 15, 2021 and incorporated herein</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7257" w:type="dxa"/>
            <w:vAlign w:val="bottom"/>
            <w:tcBorders>
              <w:bottom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1320" w:type="dxa"/>
            <w:vAlign w:val="bottom"/>
          </w:tcPr>
          <w:p>
            <w:pPr>
              <w:spacing w:after="0"/>
              <w:rPr>
                <w:sz w:val="17"/>
                <w:szCs w:val="17"/>
                <w:color w:val="auto"/>
              </w:rPr>
            </w:pPr>
          </w:p>
        </w:tc>
        <w:tc>
          <w:tcPr>
            <w:tcW w:w="8700" w:type="dxa"/>
            <w:vAlign w:val="bottom"/>
            <w:gridSpan w:val="45"/>
          </w:tcPr>
          <w:p>
            <w:pPr>
              <w:spacing w:after="0" w:line="204" w:lineRule="exact"/>
              <w:rPr>
                <w:sz w:val="20"/>
                <w:szCs w:val="20"/>
                <w:color w:val="auto"/>
              </w:rPr>
            </w:pPr>
            <w:r>
              <w:rPr>
                <w:rFonts w:ascii="Times New Roman" w:cs="Times New Roman" w:eastAsia="Times New Roman" w:hAnsi="Times New Roman"/>
                <w:sz w:val="20"/>
                <w:szCs w:val="20"/>
                <w:color w:val="0000FF"/>
              </w:rPr>
              <w:t>by reference (File No. 001-36827)).</w:t>
            </w:r>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8700" w:type="dxa"/>
            <w:vAlign w:val="bottom"/>
            <w:gridSpan w:val="45"/>
          </w:tcPr>
          <w:p>
            <w:pPr>
              <w:spacing w:after="0"/>
              <w:rPr>
                <w:sz w:val="20"/>
                <w:szCs w:val="20"/>
                <w:color w:val="auto"/>
              </w:rPr>
            </w:pPr>
            <w:r>
              <w:rPr>
                <w:rFonts w:ascii="Times New Roman" w:cs="Times New Roman" w:eastAsia="Times New Roman" w:hAnsi="Times New Roman"/>
                <w:sz w:val="20"/>
                <w:szCs w:val="20"/>
                <w:color w:val="0000FF"/>
              </w:rPr>
              <w:t>Anterix Inc. 2023 Stock Plan (filed as Exhibit B of the Definitive Proxy Statement, filed with the SEC on</w:t>
            </w:r>
          </w:p>
        </w:tc>
        <w:tc>
          <w:tcPr>
            <w:tcW w:w="20" w:type="dxa"/>
            <w:vAlign w:val="bottom"/>
          </w:tcPr>
          <w:p>
            <w:pPr>
              <w:spacing w:after="0"/>
              <w:rPr>
                <w:sz w:val="21"/>
                <w:szCs w:val="21"/>
                <w:color w:val="auto"/>
              </w:rPr>
            </w:pPr>
          </w:p>
        </w:tc>
      </w:tr>
      <w:tr>
        <w:trPr>
          <w:trHeight w:val="204"/>
        </w:trPr>
        <w:tc>
          <w:tcPr>
            <w:tcW w:w="1320" w:type="dxa"/>
            <w:vAlign w:val="bottom"/>
          </w:tcPr>
          <w:p>
            <w:pPr>
              <w:spacing w:after="0"/>
              <w:rPr>
                <w:sz w:val="17"/>
                <w:szCs w:val="17"/>
                <w:color w:val="auto"/>
              </w:rPr>
            </w:pPr>
          </w:p>
        </w:tc>
        <w:tc>
          <w:tcPr>
            <w:tcW w:w="8500" w:type="dxa"/>
            <w:vAlign w:val="bottom"/>
            <w:tcBorders>
              <w:top w:val="single" w:sz="8" w:color="0000FF"/>
            </w:tcBorders>
            <w:gridSpan w:val="28"/>
          </w:tcPr>
          <w:p>
            <w:pPr>
              <w:spacing w:after="0" w:line="204" w:lineRule="exact"/>
              <w:rPr>
                <w:sz w:val="20"/>
                <w:szCs w:val="20"/>
                <w:color w:val="auto"/>
              </w:rPr>
            </w:pPr>
            <w:r>
              <w:rPr>
                <w:rFonts w:ascii="Times New Roman" w:cs="Times New Roman" w:eastAsia="Times New Roman" w:hAnsi="Times New Roman"/>
                <w:sz w:val="20"/>
                <w:szCs w:val="20"/>
                <w:color w:val="0000FF"/>
              </w:rPr>
              <w:t>July 14, 2023 and incorporated herein by reference (File No. 001-36827)).</w:t>
            </w:r>
          </w:p>
        </w:tc>
        <w:tc>
          <w:tcPr>
            <w:tcW w:w="60" w:type="dxa"/>
            <w:vAlign w:val="bottom"/>
            <w:gridSpan w:val="3"/>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57"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8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rPr>
              <w:t>Executive Form of Notice of Grant of Stock Option and Stock Option Agreement under 2023 Stock Plan</w:t>
            </w:r>
          </w:p>
        </w:tc>
        <w:tc>
          <w:tcPr>
            <w:tcW w:w="24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20" w:type="dxa"/>
            <w:vAlign w:val="bottom"/>
          </w:tcPr>
          <w:p>
            <w:pPr>
              <w:spacing w:after="0"/>
              <w:rPr>
                <w:sz w:val="23"/>
                <w:szCs w:val="23"/>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Executive Form of Performance-Based Stock Option Agreement and Grant Notice under the 2023 Stock</w:t>
            </w:r>
          </w:p>
        </w:tc>
        <w:tc>
          <w:tcPr>
            <w:tcW w:w="20" w:type="dxa"/>
            <w:vAlign w:val="bottom"/>
          </w:tcPr>
          <w:p>
            <w:pPr>
              <w:spacing w:after="0"/>
              <w:rPr>
                <w:sz w:val="23"/>
                <w:szCs w:val="23"/>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2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Plan</w:t>
            </w: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20" w:type="dxa"/>
            <w:vAlign w:val="bottom"/>
          </w:tcPr>
          <w:p>
            <w:pPr>
              <w:spacing w:after="0"/>
              <w:rPr>
                <w:sz w:val="21"/>
                <w:szCs w:val="21"/>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Executive Form of Restricted Stock Units Agreement and Grant Notice under the 2023 Stock Plan</w:t>
            </w:r>
          </w:p>
        </w:tc>
        <w:tc>
          <w:tcPr>
            <w:tcW w:w="20" w:type="dxa"/>
            <w:vAlign w:val="bottom"/>
          </w:tcPr>
          <w:p>
            <w:pPr>
              <w:spacing w:after="0"/>
              <w:rPr>
                <w:sz w:val="21"/>
                <w:szCs w:val="2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20" w:type="dxa"/>
            <w:vAlign w:val="bottom"/>
          </w:tcPr>
          <w:p>
            <w:pPr>
              <w:spacing w:after="0"/>
              <w:rPr>
                <w:sz w:val="23"/>
                <w:szCs w:val="23"/>
                <w:color w:val="auto"/>
              </w:rPr>
            </w:pPr>
          </w:p>
        </w:tc>
        <w:tc>
          <w:tcPr>
            <w:tcW w:w="86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Executive Form of Performance-Based Restricted Stock Units Agreement and Grant Notice under the 2023</w:t>
            </w:r>
          </w:p>
        </w:tc>
        <w:tc>
          <w:tcPr>
            <w:tcW w:w="20" w:type="dxa"/>
            <w:vAlign w:val="bottom"/>
          </w:tcPr>
          <w:p>
            <w:pPr>
              <w:spacing w:after="0"/>
              <w:rPr>
                <w:sz w:val="23"/>
                <w:szCs w:val="23"/>
                <w:color w:val="auto"/>
              </w:rPr>
            </w:pPr>
          </w:p>
        </w:tc>
      </w:tr>
      <w:tr>
        <w:trPr>
          <w:trHeight w:val="180"/>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7"/>
              </w:rPr>
              <w:t>Stock Plan</w:t>
            </w:r>
          </w:p>
        </w:tc>
        <w:tc>
          <w:tcPr>
            <w:tcW w:w="7880" w:type="dxa"/>
            <w:vAlign w:val="bottom"/>
            <w:tcBorders>
              <w:top w:val="single" w:sz="8" w:color="0000FF"/>
            </w:tcBorders>
            <w:gridSpan w:val="39"/>
          </w:tcPr>
          <w:p>
            <w:pPr>
              <w:spacing w:after="0"/>
              <w:rPr>
                <w:sz w:val="15"/>
                <w:szCs w:val="15"/>
                <w:color w:val="auto"/>
              </w:rPr>
            </w:pPr>
          </w:p>
        </w:tc>
        <w:tc>
          <w:tcPr>
            <w:tcW w:w="4294967237"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4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8700" w:type="dxa"/>
            <w:vAlign w:val="bottom"/>
            <w:gridSpan w:val="45"/>
          </w:tcPr>
          <w:p>
            <w:pPr>
              <w:spacing w:after="0"/>
              <w:rPr>
                <w:sz w:val="20"/>
                <w:szCs w:val="20"/>
                <w:color w:val="auto"/>
              </w:rPr>
            </w:pPr>
            <w:r>
              <w:rPr>
                <w:rFonts w:ascii="Times New Roman" w:cs="Times New Roman" w:eastAsia="Times New Roman" w:hAnsi="Times New Roman"/>
                <w:sz w:val="20"/>
                <w:szCs w:val="20"/>
                <w:color w:val="0000FF"/>
              </w:rPr>
              <w:t>Non-Employee Director Form of Notice of Grant of Restricted Stock Awards and Restricted Stock Awards</w:t>
            </w:r>
          </w:p>
        </w:tc>
        <w:tc>
          <w:tcPr>
            <w:tcW w:w="20" w:type="dxa"/>
            <w:vAlign w:val="bottom"/>
          </w:tcPr>
          <w:p>
            <w:pPr>
              <w:spacing w:after="0"/>
              <w:rPr>
                <w:sz w:val="21"/>
                <w:szCs w:val="21"/>
                <w:color w:val="auto"/>
              </w:rPr>
            </w:pPr>
          </w:p>
        </w:tc>
      </w:tr>
      <w:tr>
        <w:trPr>
          <w:trHeight w:val="196"/>
        </w:trPr>
        <w:tc>
          <w:tcPr>
            <w:tcW w:w="1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20"/>
                <w:szCs w:val="20"/>
                <w:color w:val="0000FF"/>
                <w:w w:val="99"/>
              </w:rPr>
              <w:t>Agreement under 2023 Stock Plan</w:t>
            </w:r>
          </w:p>
        </w:tc>
        <w:tc>
          <w:tcPr>
            <w:tcW w:w="5940" w:type="dxa"/>
            <w:vAlign w:val="bottom"/>
            <w:tcBorders>
              <w:top w:val="single" w:sz="8" w:color="0000FF"/>
            </w:tcBorders>
            <w:gridSpan w:val="3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57"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8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rPr>
              <w:t>Employee Form of Notice of Grant of Stock Option and Stock Option Agreement under 2023 Stock Plan</w:t>
            </w:r>
          </w:p>
        </w:tc>
        <w:tc>
          <w:tcPr>
            <w:tcW w:w="240" w:type="dxa"/>
            <w:vAlign w:val="bottom"/>
            <w:gridSpan w:val="19"/>
          </w:tcPr>
          <w:p>
            <w:pPr>
              <w:spacing w:after="0"/>
              <w:rPr>
                <w:sz w:val="22"/>
                <w:szCs w:val="22"/>
                <w:color w:val="auto"/>
              </w:rPr>
            </w:pPr>
          </w:p>
        </w:tc>
        <w:tc>
          <w:tcPr>
            <w:tcW w:w="20" w:type="dxa"/>
            <w:vAlign w:val="bottom"/>
          </w:tcPr>
          <w:p>
            <w:pPr>
              <w:spacing w:after="0"/>
              <w:rPr>
                <w:sz w:val="22"/>
                <w:szCs w:val="22"/>
                <w:color w:val="auto"/>
              </w:rPr>
            </w:pPr>
          </w:p>
        </w:tc>
      </w:tr>
      <w:tr>
        <w:trPr>
          <w:trHeight w:val="26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20" w:type="dxa"/>
            <w:vAlign w:val="bottom"/>
          </w:tcPr>
          <w:p>
            <w:pPr>
              <w:spacing w:after="0"/>
              <w:rPr>
                <w:sz w:val="23"/>
                <w:szCs w:val="23"/>
                <w:color w:val="auto"/>
              </w:rPr>
            </w:pPr>
          </w:p>
        </w:tc>
        <w:tc>
          <w:tcPr>
            <w:tcW w:w="7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Employee Form of Restricted Stock Units Agreement and Grant Notice under the 2023 Stock Plan</w:t>
            </w:r>
          </w:p>
        </w:tc>
        <w:tc>
          <w:tcPr>
            <w:tcW w:w="800" w:type="dxa"/>
            <w:vAlign w:val="bottom"/>
            <w:gridSpan w:val="28"/>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8700" w:type="dxa"/>
            <w:vAlign w:val="bottom"/>
            <w:gridSpan w:val="45"/>
          </w:tcPr>
          <w:p>
            <w:pPr>
              <w:spacing w:after="0"/>
              <w:rPr>
                <w:sz w:val="20"/>
                <w:szCs w:val="20"/>
                <w:color w:val="auto"/>
              </w:rPr>
            </w:pPr>
            <w:r>
              <w:rPr>
                <w:rFonts w:ascii="Times New Roman" w:cs="Times New Roman" w:eastAsia="Times New Roman" w:hAnsi="Times New Roman"/>
                <w:sz w:val="20"/>
                <w:szCs w:val="20"/>
                <w:color w:val="0000FF"/>
              </w:rPr>
              <w:t>Transition and Separation Agreement, dated October 8, 2024, by and between the Company and Robert H.</w:t>
            </w:r>
          </w:p>
        </w:tc>
        <w:tc>
          <w:tcPr>
            <w:tcW w:w="20" w:type="dxa"/>
            <w:vAlign w:val="bottom"/>
          </w:tcPr>
          <w:p>
            <w:pPr>
              <w:spacing w:after="0"/>
              <w:rPr>
                <w:sz w:val="23"/>
                <w:szCs w:val="23"/>
                <w:color w:val="auto"/>
              </w:rPr>
            </w:pPr>
          </w:p>
        </w:tc>
      </w:tr>
      <w:tr>
        <w:trPr>
          <w:trHeight w:val="196"/>
        </w:trPr>
        <w:tc>
          <w:tcPr>
            <w:tcW w:w="1320" w:type="dxa"/>
            <w:vAlign w:val="bottom"/>
          </w:tcPr>
          <w:p>
            <w:pPr>
              <w:spacing w:after="0"/>
              <w:rPr>
                <w:sz w:val="17"/>
                <w:szCs w:val="17"/>
                <w:color w:val="auto"/>
              </w:rPr>
            </w:pPr>
          </w:p>
        </w:tc>
        <w:tc>
          <w:tcPr>
            <w:tcW w:w="8600" w:type="dxa"/>
            <w:vAlign w:val="bottom"/>
            <w:tcBorders>
              <w:top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20"/>
                <w:szCs w:val="20"/>
                <w:color w:val="0000FF"/>
              </w:rPr>
              <w:t>Schwartz (filed as Exhibit 10.1 to the Quarterly Report on Form 10-Q for the quarter ended September 30,</w:t>
            </w: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294967257"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56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20"/>
                <w:szCs w:val="20"/>
                <w:color w:val="0000FF"/>
              </w:rPr>
              <w:t>2024, filed with the SEC on November 13, 2024 and incorporated herein by reference (File No.</w:t>
            </w:r>
          </w:p>
        </w:tc>
        <w:tc>
          <w:tcPr>
            <w:tcW w:w="100" w:type="dxa"/>
            <w:vAlign w:val="bottom"/>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294967257"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0"/>
                <w:szCs w:val="20"/>
                <w:color w:val="0000FF"/>
                <w:w w:val="97"/>
              </w:rPr>
              <w:t>001-36827)).</w:t>
            </w:r>
          </w:p>
        </w:tc>
        <w:tc>
          <w:tcPr>
            <w:tcW w:w="8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197"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85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20"/>
                <w:szCs w:val="20"/>
                <w:color w:val="0000FF"/>
              </w:rPr>
              <w:t>Offer Letter and Employment Agreement, dated October 6, 2024, by and between the Company and Scott</w:t>
            </w:r>
          </w:p>
        </w:tc>
        <w:tc>
          <w:tcPr>
            <w:tcW w:w="140" w:type="dxa"/>
            <w:vAlign w:val="bottom"/>
            <w:gridSpan w:val="13"/>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320" w:type="dxa"/>
            <w:vAlign w:val="bottom"/>
          </w:tcPr>
          <w:p>
            <w:pPr>
              <w:spacing w:after="0"/>
              <w:rPr>
                <w:sz w:val="17"/>
                <w:szCs w:val="17"/>
                <w:color w:val="auto"/>
              </w:rPr>
            </w:pPr>
          </w:p>
        </w:tc>
        <w:tc>
          <w:tcPr>
            <w:tcW w:w="8700" w:type="dxa"/>
            <w:vAlign w:val="bottom"/>
            <w:tcBorders>
              <w:bottom w:val="single" w:sz="8" w:color="0000FF"/>
            </w:tcBorders>
            <w:gridSpan w:val="45"/>
          </w:tcPr>
          <w:p>
            <w:pPr>
              <w:spacing w:after="0" w:line="196" w:lineRule="exact"/>
              <w:rPr>
                <w:sz w:val="20"/>
                <w:szCs w:val="20"/>
                <w:color w:val="auto"/>
              </w:rPr>
            </w:pPr>
            <w:r>
              <w:rPr>
                <w:rFonts w:ascii="Times New Roman" w:cs="Times New Roman" w:eastAsia="Times New Roman" w:hAnsi="Times New Roman"/>
                <w:sz w:val="20"/>
                <w:szCs w:val="20"/>
                <w:color w:val="0000FF"/>
                <w:w w:val="99"/>
              </w:rPr>
              <w:t>Lang (filed as Exhibit 10.2 to the Quarterly Report on Form 10-Q for the quarter ended September 30, 2024,</w:t>
            </w:r>
          </w:p>
        </w:tc>
        <w:tc>
          <w:tcPr>
            <w:tcW w:w="20" w:type="dxa"/>
            <w:vAlign w:val="bottom"/>
            <w:tcBorders>
              <w:bottom w:val="single" w:sz="8" w:color="0000FF"/>
            </w:tcBorders>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24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20"/>
                <w:szCs w:val="20"/>
                <w:color w:val="0000FF"/>
                <w:w w:val="99"/>
              </w:rPr>
              <w:t>filed with the SEC on November 13, 2024 and incorporated herein by reference (File No. 001-36827)).</w:t>
            </w:r>
          </w:p>
        </w:tc>
        <w:tc>
          <w:tcPr>
            <w:tcW w:w="46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8700" w:type="dxa"/>
            <w:vAlign w:val="bottom"/>
            <w:gridSpan w:val="45"/>
          </w:tcPr>
          <w:p>
            <w:pPr>
              <w:spacing w:after="0"/>
              <w:rPr>
                <w:sz w:val="20"/>
                <w:szCs w:val="20"/>
                <w:color w:val="auto"/>
              </w:rPr>
            </w:pPr>
            <w:r>
              <w:rPr>
                <w:rFonts w:ascii="Times New Roman" w:cs="Times New Roman" w:eastAsia="Times New Roman" w:hAnsi="Times New Roman"/>
                <w:sz w:val="20"/>
                <w:szCs w:val="20"/>
                <w:color w:val="0000FF"/>
              </w:rPr>
              <w:t>Subsequent Release, dated November 2, 2024, by and between the Company and Robert H. Schwartz (filed</w:t>
            </w:r>
          </w:p>
        </w:tc>
        <w:tc>
          <w:tcPr>
            <w:tcW w:w="20" w:type="dxa"/>
            <w:vAlign w:val="bottom"/>
          </w:tcPr>
          <w:p>
            <w:pPr>
              <w:spacing w:after="0"/>
              <w:rPr>
                <w:sz w:val="22"/>
                <w:szCs w:val="22"/>
                <w:color w:val="auto"/>
              </w:rPr>
            </w:pPr>
          </w:p>
        </w:tc>
      </w:tr>
      <w:tr>
        <w:trPr>
          <w:trHeight w:val="196"/>
        </w:trPr>
        <w:tc>
          <w:tcPr>
            <w:tcW w:w="1320" w:type="dxa"/>
            <w:vAlign w:val="bottom"/>
          </w:tcPr>
          <w:p>
            <w:pPr>
              <w:spacing w:after="0"/>
              <w:rPr>
                <w:sz w:val="17"/>
                <w:szCs w:val="17"/>
                <w:color w:val="auto"/>
              </w:rPr>
            </w:pPr>
          </w:p>
        </w:tc>
        <w:tc>
          <w:tcPr>
            <w:tcW w:w="8720" w:type="dxa"/>
            <w:vAlign w:val="bottom"/>
            <w:tcBorders>
              <w:top w:val="single" w:sz="8" w:color="0000FF"/>
            </w:tcBorders>
            <w:gridSpan w:val="40"/>
          </w:tcPr>
          <w:p>
            <w:pPr>
              <w:spacing w:after="0" w:line="196" w:lineRule="exact"/>
              <w:rPr>
                <w:sz w:val="20"/>
                <w:szCs w:val="20"/>
                <w:color w:val="auto"/>
              </w:rPr>
            </w:pPr>
            <w:r>
              <w:rPr>
                <w:rFonts w:ascii="Times New Roman" w:cs="Times New Roman" w:eastAsia="Times New Roman" w:hAnsi="Times New Roman"/>
                <w:sz w:val="20"/>
                <w:szCs w:val="20"/>
                <w:color w:val="0000FF"/>
              </w:rPr>
              <w:t>as Exhibit 10.3 to the Quarterly Report on Form 10-Q for the quarter ended September 30, 2024, filed with</w:t>
            </w:r>
          </w:p>
        </w:tc>
        <w:tc>
          <w:tcPr>
            <w:tcW w:w="20" w:type="dxa"/>
            <w:vAlign w:val="bottom"/>
          </w:tcPr>
          <w:p>
            <w:pPr>
              <w:spacing w:after="0"/>
              <w:rPr>
                <w:sz w:val="17"/>
                <w:szCs w:val="17"/>
                <w:color w:val="auto"/>
              </w:rPr>
            </w:pPr>
          </w:p>
        </w:tc>
        <w:tc>
          <w:tcPr>
            <w:tcW w:w="4294967257"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742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20"/>
                <w:szCs w:val="20"/>
                <w:color w:val="0000FF"/>
                <w:w w:val="99"/>
              </w:rPr>
              <w:t>the SEC on November 13, 2024 and incorporated herein by reference (File No. 001-36827)).</w:t>
            </w:r>
          </w:p>
        </w:tc>
        <w:tc>
          <w:tcPr>
            <w:tcW w:w="1240" w:type="dxa"/>
            <w:vAlign w:val="bottom"/>
            <w:tcBorders>
              <w:top w:val="single" w:sz="8" w:color="0000FF"/>
            </w:tcBorders>
            <w:gridSpan w:val="23"/>
          </w:tcPr>
          <w:p>
            <w:pPr>
              <w:spacing w:after="0"/>
              <w:rPr>
                <w:sz w:val="17"/>
                <w:szCs w:val="17"/>
                <w:color w:val="auto"/>
              </w:rPr>
            </w:pPr>
          </w:p>
        </w:tc>
        <w:tc>
          <w:tcPr>
            <w:tcW w:w="80" w:type="dxa"/>
            <w:vAlign w:val="bottom"/>
            <w:gridSpan w:val="4"/>
          </w:tcPr>
          <w:p>
            <w:pPr>
              <w:spacing w:after="0"/>
              <w:rPr>
                <w:sz w:val="17"/>
                <w:szCs w:val="17"/>
                <w:color w:val="auto"/>
              </w:rPr>
            </w:pPr>
          </w:p>
        </w:tc>
        <w:tc>
          <w:tcPr>
            <w:tcW w:w="4294967257"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85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20"/>
                <w:szCs w:val="20"/>
                <w:color w:val="0000FF"/>
              </w:rPr>
              <w:t>Independent Contractor Services Agreement, by and between the Company and Morgan O’Brian (filed as</w:t>
            </w:r>
          </w:p>
        </w:tc>
        <w:tc>
          <w:tcPr>
            <w:tcW w:w="140" w:type="dxa"/>
            <w:vAlign w:val="bottom"/>
            <w:gridSpan w:val="14"/>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1320" w:type="dxa"/>
            <w:vAlign w:val="bottom"/>
          </w:tcPr>
          <w:p>
            <w:pPr>
              <w:spacing w:after="0"/>
              <w:rPr>
                <w:sz w:val="17"/>
                <w:szCs w:val="17"/>
                <w:color w:val="auto"/>
              </w:rPr>
            </w:pPr>
          </w:p>
        </w:tc>
        <w:tc>
          <w:tcPr>
            <w:tcW w:w="8700" w:type="dxa"/>
            <w:vAlign w:val="bottom"/>
            <w:gridSpan w:val="45"/>
          </w:tcPr>
          <w:p>
            <w:pPr>
              <w:spacing w:after="0" w:line="196" w:lineRule="exact"/>
              <w:rPr>
                <w:sz w:val="20"/>
                <w:szCs w:val="20"/>
                <w:color w:val="auto"/>
              </w:rPr>
            </w:pPr>
            <w:r>
              <w:rPr>
                <w:rFonts w:ascii="Times New Roman" w:cs="Times New Roman" w:eastAsia="Times New Roman" w:hAnsi="Times New Roman"/>
                <w:sz w:val="20"/>
                <w:szCs w:val="20"/>
                <w:color w:val="0000FF"/>
              </w:rPr>
              <w:t>Exhibit 10.3 to the Quarterly Report on Form 10-Q for the quarter ended December 31, 2024, filed with the</w:t>
            </w: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20"/>
                <w:szCs w:val="20"/>
                <w:color w:val="0000FF"/>
                <w:w w:val="99"/>
              </w:rPr>
              <w:t>SEC on February 11, 2025 and incorporated herein by reference (File No. 001-36827)).</w:t>
            </w:r>
          </w:p>
        </w:tc>
        <w:tc>
          <w:tcPr>
            <w:tcW w:w="1740" w:type="dxa"/>
            <w:vAlign w:val="bottom"/>
            <w:tcBorders>
              <w:top w:val="single" w:sz="8" w:color="0000FF"/>
            </w:tcBorders>
            <w:gridSpan w:val="29"/>
          </w:tcPr>
          <w:p>
            <w:pPr>
              <w:spacing w:after="0"/>
              <w:rPr>
                <w:sz w:val="17"/>
                <w:szCs w:val="17"/>
                <w:color w:val="auto"/>
              </w:rPr>
            </w:pPr>
          </w:p>
        </w:tc>
        <w:tc>
          <w:tcPr>
            <w:tcW w:w="4294967257"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676275</wp:posOffset>
                </wp:positionV>
                <wp:extent cx="650494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3.25pt" to="512.1pt,53.25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45</w:t>
      </w:r>
    </w:p>
    <w:p>
      <w:pPr>
        <w:sectPr>
          <w:pgSz w:w="12240" w:h="15840" w:orient="portrait"/>
          <w:cols w:equalWidth="0" w:num="1">
            <w:col w:w="10220"/>
          </w:cols>
          <w:pgMar w:left="1000" w:top="201" w:right="1020" w:bottom="0" w:gutter="0" w:footer="0" w:header="0"/>
          <w:type w:val="continuous"/>
        </w:sectPr>
      </w:pPr>
    </w:p>
    <w:bookmarkStart w:id="51" w:name="page52"/>
    <w:bookmarkEnd w:id="51"/>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540500" cy="4683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7">
                      <a:extLst>
                        <a:ext uri="{28A0092B-C50C-407E-A947-70E740481C1C}"/>
                      </a:extLst>
                    </a:blip>
                    <a:srcRect/>
                    <a:stretch>
                      <a:fillRect/>
                    </a:stretch>
                  </pic:blipFill>
                  <pic:spPr bwMode="auto">
                    <a:xfrm>
                      <a:off x="0" y="0"/>
                      <a:ext cx="6540500" cy="4683125"/>
                    </a:xfrm>
                    <a:prstGeom prst="rect">
                      <a:avLst/>
                    </a:prstGeom>
                    <a:noFill/>
                  </pic:spPr>
                </pic:pic>
              </a:graphicData>
            </a:graphic>
          </wp:anchor>
        </w:drawing>
      </w:r>
    </w:p>
    <w:p>
      <w:pPr>
        <w:spacing w:after="0" w:line="382" w:lineRule="exact"/>
        <w:rPr>
          <w:sz w:val="20"/>
          <w:szCs w:val="20"/>
          <w:color w:val="auto"/>
        </w:rPr>
      </w:pPr>
    </w:p>
    <w:tbl>
      <w:tblPr>
        <w:tblLayout w:type="fixed"/>
        <w:tblInd w:w="19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8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Offer Letter and Employment Agreement, dated January 22, 2025, by and between the Company and</w:t>
            </w:r>
          </w:p>
        </w:tc>
        <w:tc>
          <w:tcPr>
            <w:tcW w:w="600" w:type="dxa"/>
            <w:vAlign w:val="bottom"/>
            <w:gridSpan w:val="9"/>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8720" w:type="dxa"/>
            <w:vAlign w:val="bottom"/>
            <w:gridSpan w:val="24"/>
          </w:tcPr>
          <w:p>
            <w:pPr>
              <w:spacing w:after="0" w:line="196" w:lineRule="exact"/>
              <w:rPr>
                <w:sz w:val="20"/>
                <w:szCs w:val="20"/>
                <w:color w:val="auto"/>
              </w:rPr>
            </w:pPr>
            <w:r>
              <w:rPr>
                <w:rFonts w:ascii="Times New Roman" w:cs="Times New Roman" w:eastAsia="Times New Roman" w:hAnsi="Times New Roman"/>
                <w:sz w:val="20"/>
                <w:szCs w:val="20"/>
                <w:color w:val="0000FF"/>
              </w:rPr>
              <w:t>Thomas Kuhn (filed as Exhibit 10.4 to the Quarterly Report on Form 10-Q for the quarter ended December</w:t>
            </w:r>
          </w:p>
        </w:tc>
      </w:tr>
      <w:tr>
        <w:trPr>
          <w:trHeight w:val="196"/>
        </w:trPr>
        <w:tc>
          <w:tcPr>
            <w:tcW w:w="1340" w:type="dxa"/>
            <w:vAlign w:val="bottom"/>
          </w:tcPr>
          <w:p>
            <w:pPr>
              <w:spacing w:after="0"/>
              <w:rPr>
                <w:sz w:val="17"/>
                <w:szCs w:val="17"/>
                <w:color w:val="auto"/>
              </w:rPr>
            </w:pPr>
          </w:p>
        </w:tc>
        <w:tc>
          <w:tcPr>
            <w:tcW w:w="864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20"/>
                <w:szCs w:val="20"/>
                <w:color w:val="0000FF"/>
              </w:rPr>
              <w:t>31, 2024, filed with the SEC on February 11, 2025 and incorporated herein by reference (File No.</w:t>
            </w:r>
          </w:p>
        </w:tc>
        <w:tc>
          <w:tcPr>
            <w:tcW w:w="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0"/>
                <w:szCs w:val="20"/>
                <w:color w:val="0000FF"/>
                <w:w w:val="95"/>
              </w:rPr>
              <w:t>001-36827)).</w:t>
            </w: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7"/>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Bonus Agreement, dated as of October 03, 2025, by and between the Company and Christopher Guttman-</w:t>
            </w:r>
          </w:p>
        </w:tc>
      </w:tr>
      <w:tr>
        <w:trPr>
          <w:trHeight w:val="180"/>
        </w:trPr>
        <w:tc>
          <w:tcPr>
            <w:tcW w:w="1340" w:type="dxa"/>
            <w:vAlign w:val="bottom"/>
          </w:tcPr>
          <w:p>
            <w:pPr>
              <w:spacing w:after="0"/>
              <w:rPr>
                <w:sz w:val="15"/>
                <w:szCs w:val="15"/>
                <w:color w:val="auto"/>
              </w:rPr>
            </w:pPr>
          </w:p>
        </w:tc>
        <w:tc>
          <w:tcPr>
            <w:tcW w:w="846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w w:val="99"/>
              </w:rPr>
              <w:t>McCabe. (filed as Exhibit 10.1 to the Quarterly Report on Form 10-Q for the quarter ended December 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0"/>
        </w:trPr>
        <w:tc>
          <w:tcPr>
            <w:tcW w:w="1340" w:type="dxa"/>
            <w:vAlign w:val="bottom"/>
          </w:tcPr>
          <w:p>
            <w:pPr>
              <w:spacing w:after="0"/>
              <w:rPr>
                <w:sz w:val="15"/>
                <w:szCs w:val="15"/>
                <w:color w:val="auto"/>
              </w:rPr>
            </w:pPr>
          </w:p>
        </w:tc>
        <w:tc>
          <w:tcPr>
            <w:tcW w:w="8620" w:type="dxa"/>
            <w:vAlign w:val="bottom"/>
            <w:tcBorders>
              <w:bottom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w w:val="99"/>
              </w:rPr>
              <w:t>2025, filed with the SEC on February 11, 2026 and incorporated herein by reference (File No. 001-36827)).</w:t>
            </w:r>
          </w:p>
        </w:tc>
        <w:tc>
          <w:tcPr>
            <w:tcW w:w="100" w:type="dxa"/>
            <w:vAlign w:val="bottom"/>
            <w:gridSpan w:val="2"/>
          </w:tcPr>
          <w:p>
            <w:pPr>
              <w:spacing w:after="0"/>
              <w:rPr>
                <w:sz w:val="15"/>
                <w:szCs w:val="15"/>
                <w:color w:val="auto"/>
              </w:rPr>
            </w:pPr>
          </w:p>
        </w:tc>
      </w:tr>
      <w:tr>
        <w:trPr>
          <w:trHeight w:val="34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Insider Trading Policy.</w:t>
            </w: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Subsidiaries of Registrant.</w:t>
            </w:r>
          </w:p>
        </w:tc>
        <w:tc>
          <w:tcPr>
            <w:tcW w:w="6620" w:type="dxa"/>
            <w:vAlign w:val="bottom"/>
            <w:gridSpan w:val="18"/>
          </w:tcPr>
          <w:p>
            <w:pPr>
              <w:spacing w:after="0"/>
              <w:rPr>
                <w:sz w:val="23"/>
                <w:szCs w:val="23"/>
                <w:color w:val="auto"/>
              </w:rPr>
            </w:pPr>
          </w:p>
        </w:tc>
      </w:tr>
      <w:tr>
        <w:trPr>
          <w:trHeight w:val="26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Consent of Deloitte &amp; Touche LLP (US) Independent Registered Public Accounting Firm relating to the</w:t>
            </w:r>
          </w:p>
        </w:tc>
      </w:tr>
      <w:tr>
        <w:trPr>
          <w:trHeight w:val="180"/>
        </w:trPr>
        <w:tc>
          <w:tcPr>
            <w:tcW w:w="1340" w:type="dxa"/>
            <w:vAlign w:val="bottom"/>
          </w:tcPr>
          <w:p>
            <w:pPr>
              <w:spacing w:after="0"/>
              <w:rPr>
                <w:sz w:val="15"/>
                <w:szCs w:val="15"/>
                <w:color w:val="auto"/>
              </w:rPr>
            </w:pPr>
          </w:p>
        </w:tc>
        <w:tc>
          <w:tcPr>
            <w:tcW w:w="584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Consolidated Financial Statements of the Company, dated June 25, 2026.</w:t>
            </w:r>
          </w:p>
        </w:tc>
        <w:tc>
          <w:tcPr>
            <w:tcW w:w="2540" w:type="dxa"/>
            <w:vAlign w:val="bottom"/>
            <w:tcBorders>
              <w:top w:val="single" w:sz="8" w:color="0000FF"/>
            </w:tcBorders>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Consent of Grant Thornton LLP Independent Registered Public Accounting Firm relating to the</w:t>
            </w:r>
          </w:p>
        </w:tc>
      </w:tr>
      <w:tr>
        <w:trPr>
          <w:trHeight w:val="204"/>
        </w:trPr>
        <w:tc>
          <w:tcPr>
            <w:tcW w:w="134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20"/>
                <w:szCs w:val="20"/>
                <w:color w:val="0000FF"/>
                <w:w w:val="99"/>
              </w:rPr>
              <w:t>Consolidated Financial Statements of the Company, dated June 25, 2026.</w:t>
            </w:r>
          </w:p>
        </w:tc>
        <w:tc>
          <w:tcPr>
            <w:tcW w:w="1840" w:type="dxa"/>
            <w:vAlign w:val="bottom"/>
            <w:tcBorders>
              <w:top w:val="single" w:sz="8" w:color="0000FF"/>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64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221"/>
        </w:trPr>
        <w:tc>
          <w:tcPr>
            <w:tcW w:w="13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24.1#</w:t>
            </w:r>
          </w:p>
        </w:tc>
        <w:tc>
          <w:tcPr>
            <w:tcW w:w="4420" w:type="dxa"/>
            <w:vAlign w:val="bottom"/>
            <w:tcBorders>
              <w:bottom w:val="single" w:sz="8" w:color="0000FF"/>
            </w:tcBorders>
            <w:gridSpan w:val="9"/>
          </w:tcPr>
          <w:p>
            <w:pPr>
              <w:spacing w:after="0" w:line="221" w:lineRule="exact"/>
              <w:rPr>
                <w:sz w:val="20"/>
                <w:szCs w:val="20"/>
                <w:color w:val="auto"/>
              </w:rPr>
            </w:pPr>
            <w:r>
              <w:rPr>
                <w:rFonts w:ascii="Times New Roman" w:cs="Times New Roman" w:eastAsia="Times New Roman" w:hAnsi="Times New Roman"/>
                <w:sz w:val="20"/>
                <w:szCs w:val="20"/>
                <w:color w:val="0000FF"/>
                <w:w w:val="99"/>
              </w:rPr>
              <w:t>Power of Attorney (included on signature page hereto).</w:t>
            </w:r>
          </w:p>
        </w:tc>
        <w:tc>
          <w:tcPr>
            <w:tcW w:w="4300" w:type="dxa"/>
            <w:vAlign w:val="bottom"/>
            <w:gridSpan w:val="15"/>
          </w:tcPr>
          <w:p>
            <w:pPr>
              <w:spacing w:after="0"/>
              <w:rPr>
                <w:sz w:val="19"/>
                <w:szCs w:val="19"/>
                <w:color w:val="auto"/>
              </w:rPr>
            </w:pPr>
          </w:p>
        </w:tc>
      </w:tr>
      <w:tr>
        <w:trPr>
          <w:trHeight w:val="26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Rules 13a-14 and 15-d-14 promulgated pursuant to</w:t>
            </w:r>
          </w:p>
        </w:tc>
      </w:tr>
      <w:tr>
        <w:trPr>
          <w:trHeight w:val="180"/>
        </w:trPr>
        <w:tc>
          <w:tcPr>
            <w:tcW w:w="1340" w:type="dxa"/>
            <w:vAlign w:val="bottom"/>
          </w:tcPr>
          <w:p>
            <w:pPr>
              <w:spacing w:after="0"/>
              <w:rPr>
                <w:sz w:val="15"/>
                <w:szCs w:val="15"/>
                <w:color w:val="auto"/>
              </w:rPr>
            </w:pPr>
          </w:p>
        </w:tc>
        <w:tc>
          <w:tcPr>
            <w:tcW w:w="8600" w:type="dxa"/>
            <w:vAlign w:val="bottom"/>
            <w:tcBorders>
              <w:top w:val="single" w:sz="8" w:color="0000FF"/>
              <w:bottom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w w:val="98"/>
              </w:rPr>
              <w:t>the Securities Exchange Act of 1934, as amended, as adopted pursuant to Section 302 of the Sarbanes-Oxley</w:t>
            </w:r>
          </w:p>
        </w:tc>
        <w:tc>
          <w:tcPr>
            <w:tcW w:w="120" w:type="dxa"/>
            <w:vAlign w:val="bottom"/>
            <w:tcBorders>
              <w:bottom w:val="single" w:sz="8" w:color="0000FF"/>
            </w:tcBorders>
            <w:gridSpan w:val="3"/>
          </w:tcPr>
          <w:p>
            <w:pPr>
              <w:spacing w:after="0"/>
              <w:rPr>
                <w:sz w:val="15"/>
                <w:szCs w:val="15"/>
                <w:color w:val="auto"/>
              </w:rPr>
            </w:pPr>
          </w:p>
        </w:tc>
      </w:tr>
      <w:tr>
        <w:trPr>
          <w:trHeight w:val="180"/>
        </w:trPr>
        <w:tc>
          <w:tcPr>
            <w:tcW w:w="1340" w:type="dxa"/>
            <w:vAlign w:val="bottom"/>
          </w:tcPr>
          <w:p>
            <w:pPr>
              <w:spacing w:after="0"/>
              <w:rPr>
                <w:sz w:val="15"/>
                <w:szCs w:val="15"/>
                <w:color w:val="auto"/>
              </w:rPr>
            </w:pPr>
          </w:p>
        </w:tc>
        <w:tc>
          <w:tcPr>
            <w:tcW w:w="8720" w:type="dxa"/>
            <w:vAlign w:val="bottom"/>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Act of 2002.</w:t>
            </w: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5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Certification of Principal Financial and Accounting Officer pursuant to Rules 13a-14 and 15-d-14</w:t>
            </w:r>
          </w:p>
        </w:tc>
      </w:tr>
      <w:tr>
        <w:trPr>
          <w:trHeight w:val="180"/>
        </w:trPr>
        <w:tc>
          <w:tcPr>
            <w:tcW w:w="1340" w:type="dxa"/>
            <w:vAlign w:val="bottom"/>
          </w:tcPr>
          <w:p>
            <w:pPr>
              <w:spacing w:after="0"/>
              <w:rPr>
                <w:sz w:val="15"/>
                <w:szCs w:val="15"/>
                <w:color w:val="auto"/>
              </w:rPr>
            </w:pPr>
          </w:p>
        </w:tc>
        <w:tc>
          <w:tcPr>
            <w:tcW w:w="7860" w:type="dxa"/>
            <w:vAlign w:val="bottom"/>
            <w:tcBorders>
              <w:top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promulgated pursuant to the Securities Exchange Act of 1934, as amended, as adopted pursuant to</w:t>
            </w:r>
          </w:p>
        </w:tc>
        <w:tc>
          <w:tcPr>
            <w:tcW w:w="860" w:type="dxa"/>
            <w:vAlign w:val="bottom"/>
            <w:gridSpan w:val="10"/>
          </w:tcPr>
          <w:p>
            <w:pPr>
              <w:ind w:left="40"/>
              <w:spacing w:after="0" w:line="180" w:lineRule="exact"/>
              <w:rPr>
                <w:sz w:val="20"/>
                <w:szCs w:val="20"/>
                <w:color w:val="auto"/>
              </w:rPr>
            </w:pPr>
            <w:r>
              <w:rPr>
                <w:rFonts w:ascii="Times New Roman" w:cs="Times New Roman" w:eastAsia="Times New Roman" w:hAnsi="Times New Roman"/>
                <w:sz w:val="20"/>
                <w:szCs w:val="20"/>
                <w:color w:val="0000FF"/>
              </w:rPr>
              <w:t>Section</w:t>
            </w:r>
          </w:p>
        </w:tc>
      </w:tr>
      <w:tr>
        <w:trPr>
          <w:trHeight w:val="180"/>
        </w:trPr>
        <w:tc>
          <w:tcPr>
            <w:tcW w:w="1340" w:type="dxa"/>
            <w:vAlign w:val="bottom"/>
          </w:tcPr>
          <w:p>
            <w:pPr>
              <w:spacing w:after="0"/>
              <w:rPr>
                <w:sz w:val="15"/>
                <w:szCs w:val="15"/>
                <w:color w:val="auto"/>
              </w:rPr>
            </w:pPr>
          </w:p>
        </w:tc>
        <w:tc>
          <w:tcPr>
            <w:tcW w:w="856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302 of the Sarbanes-Oxley Act of 2002.</w:t>
            </w: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5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and Principal Financial and Accounting Officer pursuant to 18</w:t>
            </w:r>
          </w:p>
        </w:tc>
      </w:tr>
      <w:tr>
        <w:trPr>
          <w:trHeight w:val="180"/>
        </w:trPr>
        <w:tc>
          <w:tcPr>
            <w:tcW w:w="134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9"/>
              </w:rPr>
              <w:t>U.S.C. Section 1350, as adopted pursuant to Section 906 of the Sarbanes-Oxley Act of 2002.</w:t>
            </w:r>
          </w:p>
        </w:tc>
        <w:tc>
          <w:tcPr>
            <w:tcW w:w="1160" w:type="dxa"/>
            <w:vAlign w:val="bottom"/>
            <w:tcBorders>
              <w:top w:val="single" w:sz="8" w:color="0000FF"/>
            </w:tcBorders>
            <w:gridSpan w:val="9"/>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24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7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Executive Officer Compensation Recoupment Policy (filed as Exhibit 97.1 to the Annual Report on Form</w:t>
            </w:r>
          </w:p>
        </w:tc>
      </w:tr>
      <w:tr>
        <w:trPr>
          <w:trHeight w:val="180"/>
        </w:trPr>
        <w:tc>
          <w:tcPr>
            <w:tcW w:w="1340" w:type="dxa"/>
            <w:vAlign w:val="bottom"/>
          </w:tcPr>
          <w:p>
            <w:pPr>
              <w:spacing w:after="0"/>
              <w:rPr>
                <w:sz w:val="15"/>
                <w:szCs w:val="15"/>
                <w:color w:val="auto"/>
              </w:rPr>
            </w:pPr>
          </w:p>
        </w:tc>
        <w:tc>
          <w:tcPr>
            <w:tcW w:w="850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10-K for the year ended March 31, 2024, filed with the SEC on June 26, 2024 and incorporated herein by</w:t>
            </w:r>
          </w:p>
        </w:tc>
        <w:tc>
          <w:tcPr>
            <w:tcW w:w="220" w:type="dxa"/>
            <w:vAlign w:val="bottom"/>
            <w:gridSpan w:val="6"/>
          </w:tcPr>
          <w:p>
            <w:pPr>
              <w:spacing w:after="0"/>
              <w:rPr>
                <w:sz w:val="15"/>
                <w:szCs w:val="15"/>
                <w:color w:val="auto"/>
              </w:rPr>
            </w:pPr>
          </w:p>
        </w:tc>
      </w:tr>
      <w:tr>
        <w:trPr>
          <w:trHeight w:val="180"/>
        </w:trPr>
        <w:tc>
          <w:tcPr>
            <w:tcW w:w="1340" w:type="dxa"/>
            <w:vAlign w:val="bottom"/>
          </w:tcPr>
          <w:p>
            <w:pPr>
              <w:spacing w:after="0"/>
              <w:rPr>
                <w:sz w:val="15"/>
                <w:szCs w:val="15"/>
                <w:color w:val="auto"/>
              </w:rPr>
            </w:pPr>
          </w:p>
        </w:tc>
        <w:tc>
          <w:tcPr>
            <w:tcW w:w="850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reference (File No. 001-36827)).</w:t>
            </w:r>
          </w:p>
        </w:tc>
        <w:tc>
          <w:tcPr>
            <w:tcW w:w="220" w:type="dxa"/>
            <w:vAlign w:val="bottom"/>
            <w:gridSpan w:val="6"/>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8" w:lineRule="exact"/>
        <w:rPr>
          <w:sz w:val="20"/>
          <w:szCs w:val="20"/>
          <w:color w:val="auto"/>
        </w:rPr>
      </w:pPr>
    </w:p>
    <w:p>
      <w:pPr>
        <w:ind w:left="1530" w:right="320" w:hanging="1342"/>
        <w:spacing w:after="0" w:line="221" w:lineRule="auto"/>
        <w:tabs>
          <w:tab w:leader="none" w:pos="153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financial information from Anterix Inc.’s Annual Report on Form 10-K for the year ended March 31, 2026 formatted in Inline XBRL (Extensible Business Reporting Language) includes: (i) the Consolidated Balance Sheets, (ii) the Consolidated Statements of Operations, (iii) the Consolidated Statements of Changes in Stockholders Equity, (iv) the Consolidated Statements of Cash Flows, and (v) Notes to the Consolidated Financial Statements.</w:t>
      </w:r>
    </w:p>
    <w:p>
      <w:pPr>
        <w:spacing w:after="0" w:line="6" w:lineRule="exact"/>
        <w:rPr>
          <w:sz w:val="20"/>
          <w:szCs w:val="20"/>
          <w:color w:val="auto"/>
        </w:rPr>
      </w:pPr>
    </w:p>
    <w:p>
      <w:pPr>
        <w:ind w:left="1530" w:hanging="1342"/>
        <w:spacing w:after="0"/>
        <w:tabs>
          <w:tab w:leader="none" w:pos="153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02"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______________________</w:t>
      </w:r>
    </w:p>
    <w:p>
      <w:pPr>
        <w:spacing w:after="0" w:line="25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w:t>
      </w:r>
    </w:p>
    <w:p>
      <w:pPr>
        <w:spacing w:after="0" w:line="70" w:lineRule="exact"/>
        <w:rPr>
          <w:sz w:val="20"/>
          <w:szCs w:val="20"/>
          <w:color w:val="auto"/>
        </w:rPr>
      </w:pPr>
    </w:p>
    <w:p>
      <w:pPr>
        <w:ind w:left="730" w:right="160" w:hanging="730"/>
        <w:spacing w:after="0" w:line="281" w:lineRule="auto"/>
        <w:tabs>
          <w:tab w:leader="none" w:pos="73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omitted pursuant to a request for confidential treatment pursuant to either Rule 406 under the Securities Act or Rule 24b-2 of the Exchange Act which request has been granted by the SEC.</w:t>
      </w:r>
    </w:p>
    <w:p>
      <w:pPr>
        <w:spacing w:after="0" w:line="1" w:lineRule="exact"/>
        <w:rPr>
          <w:sz w:val="20"/>
          <w:szCs w:val="20"/>
          <w:color w:val="auto"/>
        </w:rPr>
      </w:pPr>
    </w:p>
    <w:p>
      <w:pPr>
        <w:ind w:left="730" w:right="120" w:hanging="730"/>
        <w:spacing w:after="0" w:line="296" w:lineRule="auto"/>
        <w:tabs>
          <w:tab w:leader="none" w:pos="73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confidential portions of this exhibit were omitted by means of marking such portions with an asterisk because the identified confidential portions (i) are not material and (ii) would be competitively harmful if publicly disclosed.</w:t>
      </w:r>
    </w:p>
    <w:p>
      <w:pPr>
        <w:spacing w:after="0" w:line="1" w:lineRule="exact"/>
        <w:rPr>
          <w:sz w:val="20"/>
          <w:szCs w:val="20"/>
          <w:color w:val="auto"/>
        </w:rPr>
      </w:pPr>
    </w:p>
    <w:p>
      <w:pPr>
        <w:ind w:left="730" w:hanging="730"/>
        <w:spacing w:after="0"/>
        <w:tabs>
          <w:tab w:leader="none" w:pos="73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70" w:lineRule="exact"/>
        <w:rPr>
          <w:sz w:val="20"/>
          <w:szCs w:val="20"/>
          <w:color w:val="auto"/>
        </w:rPr>
      </w:pPr>
    </w:p>
    <w:p>
      <w:pPr>
        <w:ind w:left="730" w:hanging="730"/>
        <w:spacing w:after="0" w:line="266" w:lineRule="auto"/>
        <w:tabs>
          <w:tab w:leader="none" w:pos="73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 furnished in Exhibit 32.1 hereto is deemed to accompany this Annual Report and will not be deemed “filed” for purposes of Section 18 of the Exchange Act except to the extent that the Registrant specifically incorporates it by reference.</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1"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2138045</wp:posOffset>
                </wp:positionV>
                <wp:extent cx="650557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8.35pt" to="512.6pt,168.35pt" o:allowincell="f" strokecolor="#000000" strokeweight="1pt"/>
            </w:pict>
          </mc:Fallback>
        </mc:AlternateContent>
      </w:r>
    </w:p>
    <w:p>
      <w:pPr>
        <w:sectPr>
          <w:pgSz w:w="12240" w:h="15840" w:orient="portrait"/>
          <w:cols w:equalWidth="0" w:num="1">
            <w:col w:w="10250"/>
          </w:cols>
          <w:pgMar w:left="99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570"/>
        <w:spacing w:after="0"/>
        <w:rPr>
          <w:sz w:val="20"/>
          <w:szCs w:val="20"/>
          <w:color w:val="auto"/>
        </w:rPr>
      </w:pPr>
      <w:r>
        <w:rPr>
          <w:rFonts w:ascii="Times New Roman" w:cs="Times New Roman" w:eastAsia="Times New Roman" w:hAnsi="Times New Roman"/>
          <w:sz w:val="19"/>
          <w:szCs w:val="19"/>
          <w:color w:val="auto"/>
        </w:rPr>
        <w:t>Page 46</w:t>
      </w:r>
    </w:p>
    <w:p>
      <w:pPr>
        <w:sectPr>
          <w:pgSz w:w="12240" w:h="15840" w:orient="portrait"/>
          <w:cols w:equalWidth="0" w:num="1">
            <w:col w:w="10250"/>
          </w:cols>
          <w:pgMar w:left="990" w:top="201" w:right="10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7" w:lineRule="exact"/>
        <w:rPr>
          <w:sz w:val="20"/>
          <w:szCs w:val="20"/>
          <w:color w:val="auto"/>
        </w:rPr>
      </w:pPr>
    </w:p>
    <w:p>
      <w:pPr>
        <w:ind w:right="260" w:firstLine="720"/>
        <w:spacing w:after="0" w:line="309" w:lineRule="auto"/>
        <w:rPr>
          <w:sz w:val="20"/>
          <w:szCs w:val="20"/>
          <w:color w:val="auto"/>
        </w:rPr>
      </w:pPr>
      <w:r>
        <w:rPr>
          <w:rFonts w:ascii="Times New Roman" w:cs="Times New Roman" w:eastAsia="Times New Roman" w:hAnsi="Times New Roman"/>
          <w:sz w:val="19"/>
          <w:szCs w:val="19"/>
          <w:color w:val="auto"/>
        </w:rPr>
        <w:t>Pursuant to the requirements of the Securities Act of 1933, the registrant has duly caused this Annual Report to be signed on its behalf by the undersigned, thereunto duly authorized in Woodland Park, State of New Jersey, on June 25, 2026.</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347" w:lineRule="exact"/>
        <w:rPr>
          <w:sz w:val="20"/>
          <w:szCs w:val="20"/>
          <w:color w:val="auto"/>
        </w:rPr>
      </w:pPr>
    </w:p>
    <w:p>
      <w:pPr>
        <w:ind w:left="5960"/>
        <w:spacing w:after="0"/>
        <w:tabs>
          <w:tab w:leader="none" w:pos="6540" w:val="left"/>
        </w:tabs>
        <w:rPr>
          <w:sz w:val="20"/>
          <w:szCs w:val="20"/>
          <w:color w:val="auto"/>
        </w:rPr>
      </w:pPr>
      <w:r>
        <w:rPr>
          <w:rFonts w:ascii="Times New Roman" w:cs="Times New Roman" w:eastAsia="Times New Roman" w:hAnsi="Times New Roman"/>
          <w:sz w:val="20"/>
          <w:szCs w:val="20"/>
          <w:color w:val="auto"/>
        </w:rPr>
        <w:t>By:</w:t>
        <w:tab/>
        <w:t>/s/ Scott A. Lang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4127500</wp:posOffset>
                </wp:positionH>
                <wp:positionV relativeFrom="paragraph">
                  <wp:posOffset>40640</wp:posOffset>
                </wp:positionV>
                <wp:extent cx="23717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1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pt,3.2pt" to="511.75pt,3.2pt" o:allowincell="f" strokecolor="#000000" strokeweight="1pt"/>
            </w:pict>
          </mc:Fallback>
        </mc:AlternateContent>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Scott A. Lang</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ind w:left="656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180"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Scott A. Lang and Elena Marquez, and each of them individually, as the undersigned’s true and lawful attorneys-in-fact and agents, with full power of substitution and resubstitution, for the undersigned and in the undersigned’s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 undersigned might or could do in person, hereby ratifying and confirming that all said attorneys-in-fact and agents, or any of them or their respective substitute or substitutes, may lawfully do or cause to be done by virtue hereof.</w:t>
      </w:r>
    </w:p>
    <w:p>
      <w:pPr>
        <w:spacing w:after="0" w:line="89" w:lineRule="exact"/>
        <w:rPr>
          <w:sz w:val="20"/>
          <w:szCs w:val="20"/>
          <w:color w:val="auto"/>
        </w:rPr>
      </w:pPr>
    </w:p>
    <w:p>
      <w:pPr>
        <w:ind w:right="580" w:firstLine="72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Annual Report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00" w:type="dxa"/>
            <w:vAlign w:val="bottom"/>
          </w:tcPr>
          <w:p>
            <w:pPr>
              <w:spacing w:after="0"/>
              <w:rPr>
                <w:sz w:val="18"/>
                <w:szCs w:val="18"/>
                <w:color w:val="auto"/>
              </w:rPr>
            </w:pPr>
          </w:p>
        </w:tc>
        <w:tc>
          <w:tcPr>
            <w:tcW w:w="5620" w:type="dxa"/>
            <w:vAlign w:val="bottom"/>
          </w:tcPr>
          <w:p>
            <w:pPr>
              <w:ind w:left="26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6"/>
        </w:trPr>
        <w:tc>
          <w:tcPr>
            <w:tcW w:w="25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490"/>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Scott A. Lang</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President and Chief Executive Officer (Principal Executive Officer)</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Scott A. Lang</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513"/>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Elena Marquez</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 (Principal Financial and Accounting Officer)</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Elena Marquez</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513"/>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Thomas Kuhn</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Chairman of the Board</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Thomas Kuhn</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513"/>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Jeffrey Altman</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Jeffrey Altman</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573"/>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Leslie B. Daniels</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Leslie B. Daniels</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513"/>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Mark Fleischhauer</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Mark Fleischhauer</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513"/>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William Heard</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William Heard</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513"/>
        </w:trPr>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Mahvash Yazdi</w:t>
            </w:r>
          </w:p>
        </w:tc>
        <w:tc>
          <w:tcPr>
            <w:tcW w:w="30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25, 2026</w:t>
            </w:r>
          </w:p>
        </w:tc>
      </w:tr>
      <w:tr>
        <w:trPr>
          <w:trHeight w:val="262"/>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Mahvash Yazdi</w:t>
            </w:r>
          </w:p>
        </w:tc>
        <w:tc>
          <w:tcPr>
            <w:tcW w:w="3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1212850</wp:posOffset>
                </wp:positionV>
                <wp:extent cx="650494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95.5pt" to="512.1pt,95.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9"/>
          <w:szCs w:val="19"/>
          <w:color w:val="auto"/>
        </w:rPr>
        <w:t>Page 47</w:t>
      </w:r>
    </w:p>
    <w:p>
      <w:pPr>
        <w:sectPr>
          <w:pgSz w:w="12240" w:h="15840" w:orient="portrait"/>
          <w:cols w:equalWidth="0" w:num="1">
            <w:col w:w="10240"/>
          </w:cols>
          <w:pgMar w:left="1000" w:top="201" w:right="100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7680" w:type="dxa"/>
            <w:vAlign w:val="bottom"/>
            <w:gridSpan w:val="9"/>
          </w:tcPr>
          <w:p>
            <w:pPr>
              <w:ind w:left="23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2300" w:type="dxa"/>
            <w:vAlign w:val="bottom"/>
          </w:tcPr>
          <w:p>
            <w:pPr>
              <w:spacing w:after="0"/>
              <w:rPr>
                <w:sz w:val="22"/>
                <w:szCs w:val="22"/>
                <w:color w:val="auto"/>
              </w:rPr>
            </w:pPr>
          </w:p>
        </w:tc>
      </w:tr>
      <w:tr>
        <w:trPr>
          <w:trHeight w:val="927"/>
        </w:trPr>
        <w:tc>
          <w:tcPr>
            <w:tcW w:w="77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For the Years ended March 31, 2026 and 2025</w:t>
            </w:r>
          </w:p>
        </w:tc>
        <w:tc>
          <w:tcPr>
            <w:tcW w:w="2300" w:type="dxa"/>
            <w:vAlign w:val="bottom"/>
          </w:tcPr>
          <w:p>
            <w:pPr>
              <w:spacing w:after="0"/>
              <w:rPr>
                <w:sz w:val="24"/>
                <w:szCs w:val="24"/>
                <w:color w:val="auto"/>
              </w:rPr>
            </w:pPr>
          </w:p>
        </w:tc>
      </w:tr>
      <w:tr>
        <w:trPr>
          <w:trHeight w:val="257"/>
        </w:trPr>
        <w:tc>
          <w:tcPr>
            <w:tcW w:w="77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E32E1"/>
              </w:rPr>
              <w:t>(PCAOB ID Number 34)</w:t>
            </w:r>
          </w:p>
        </w:tc>
        <w:tc>
          <w:tcPr>
            <w:tcW w:w="2300" w:type="dxa"/>
            <w:vAlign w:val="bottom"/>
          </w:tcPr>
          <w:p>
            <w:pPr>
              <w:ind w:left="1980"/>
              <w:spacing w:after="0"/>
              <w:rPr>
                <w:sz w:val="20"/>
                <w:szCs w:val="20"/>
                <w:color w:val="auto"/>
              </w:rPr>
            </w:pPr>
            <w:r>
              <w:rPr>
                <w:rFonts w:ascii="Times New Roman" w:cs="Times New Roman" w:eastAsia="Times New Roman" w:hAnsi="Times New Roman"/>
                <w:sz w:val="20"/>
                <w:szCs w:val="20"/>
                <w:color w:val="auto"/>
                <w:w w:val="91"/>
              </w:rPr>
              <w:t>F- 2</w:t>
            </w:r>
          </w:p>
        </w:tc>
      </w:tr>
      <w:tr>
        <w:trPr>
          <w:trHeight w:val="20"/>
        </w:trPr>
        <w:tc>
          <w:tcPr>
            <w:tcW w:w="2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8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76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E32E1"/>
              </w:rPr>
              <w:t>(PCAOB ID Number 248)</w:t>
            </w:r>
          </w:p>
        </w:tc>
        <w:tc>
          <w:tcPr>
            <w:tcW w:w="2300" w:type="dxa"/>
            <w:vAlign w:val="bottom"/>
          </w:tcPr>
          <w:p>
            <w:pPr>
              <w:ind w:left="1980"/>
              <w:spacing w:after="0"/>
              <w:rPr>
                <w:sz w:val="20"/>
                <w:szCs w:val="20"/>
                <w:color w:val="auto"/>
              </w:rPr>
            </w:pPr>
            <w:r>
              <w:rPr>
                <w:rFonts w:ascii="Times New Roman" w:cs="Times New Roman" w:eastAsia="Times New Roman" w:hAnsi="Times New Roman"/>
                <w:sz w:val="20"/>
                <w:szCs w:val="20"/>
                <w:color w:val="auto"/>
                <w:w w:val="91"/>
              </w:rPr>
              <w:t>F- 4</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80"/>
        </w:trPr>
        <w:tc>
          <w:tcPr>
            <w:tcW w:w="4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Consolidated Balance Sheets as of March 31, 2026 and 2025</w:t>
            </w:r>
          </w:p>
        </w:tc>
        <w:tc>
          <w:tcPr>
            <w:tcW w:w="2840" w:type="dxa"/>
            <w:vAlign w:val="bottom"/>
            <w:gridSpan w:val="5"/>
          </w:tcPr>
          <w:p>
            <w:pPr>
              <w:spacing w:after="0"/>
              <w:rPr>
                <w:sz w:val="24"/>
                <w:szCs w:val="24"/>
                <w:color w:val="auto"/>
              </w:rPr>
            </w:pPr>
          </w:p>
        </w:tc>
        <w:tc>
          <w:tcPr>
            <w:tcW w:w="2300" w:type="dxa"/>
            <w:vAlign w:val="bottom"/>
          </w:tcPr>
          <w:p>
            <w:pPr>
              <w:ind w:left="1980"/>
              <w:spacing w:after="0"/>
              <w:rPr>
                <w:sz w:val="20"/>
                <w:szCs w:val="20"/>
                <w:color w:val="auto"/>
              </w:rPr>
            </w:pPr>
            <w:r>
              <w:rPr>
                <w:rFonts w:ascii="Times New Roman" w:cs="Times New Roman" w:eastAsia="Times New Roman" w:hAnsi="Times New Roman"/>
                <w:sz w:val="20"/>
                <w:szCs w:val="20"/>
                <w:color w:val="auto"/>
                <w:w w:val="91"/>
              </w:rPr>
              <w:t>F- 5</w:t>
            </w:r>
          </w:p>
        </w:tc>
      </w:tr>
      <w:tr>
        <w:trPr>
          <w:trHeight w:val="280"/>
        </w:trPr>
        <w:tc>
          <w:tcPr>
            <w:tcW w:w="77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Operations for the Years Ended March 31, 2026 and 2025</w:t>
            </w:r>
          </w:p>
        </w:tc>
        <w:tc>
          <w:tcPr>
            <w:tcW w:w="2300" w:type="dxa"/>
            <w:vAlign w:val="bottom"/>
          </w:tcPr>
          <w:p>
            <w:pPr>
              <w:ind w:left="1980"/>
              <w:spacing w:after="0"/>
              <w:rPr>
                <w:sz w:val="20"/>
                <w:szCs w:val="20"/>
                <w:color w:val="auto"/>
              </w:rPr>
            </w:pPr>
            <w:r>
              <w:rPr>
                <w:rFonts w:ascii="Times New Roman" w:cs="Times New Roman" w:eastAsia="Times New Roman" w:hAnsi="Times New Roman"/>
                <w:sz w:val="20"/>
                <w:szCs w:val="20"/>
                <w:color w:val="auto"/>
                <w:w w:val="91"/>
              </w:rPr>
              <w:t>F- 6</w:t>
            </w:r>
          </w:p>
        </w:tc>
      </w:tr>
      <w:tr>
        <w:trPr>
          <w:trHeight w:val="20"/>
        </w:trPr>
        <w:tc>
          <w:tcPr>
            <w:tcW w:w="3540" w:type="dxa"/>
            <w:vAlign w:val="bottom"/>
            <w:gridSpan w:val="2"/>
            <w:shd w:val="clear" w:color="auto" w:fill="0000FF"/>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80"/>
        </w:trPr>
        <w:tc>
          <w:tcPr>
            <w:tcW w:w="7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Consolidated Statements of Stockholders’ Equity for the Years Ended March 31, 2026 and 2025</w:t>
            </w:r>
          </w:p>
        </w:tc>
        <w:tc>
          <w:tcPr>
            <w:tcW w:w="2300" w:type="dxa"/>
            <w:vAlign w:val="bottom"/>
          </w:tcPr>
          <w:p>
            <w:pPr>
              <w:ind w:left="1980"/>
              <w:spacing w:after="0"/>
              <w:rPr>
                <w:sz w:val="20"/>
                <w:szCs w:val="20"/>
                <w:color w:val="auto"/>
              </w:rPr>
            </w:pPr>
            <w:r>
              <w:rPr>
                <w:rFonts w:ascii="Times New Roman" w:cs="Times New Roman" w:eastAsia="Times New Roman" w:hAnsi="Times New Roman"/>
                <w:sz w:val="20"/>
                <w:szCs w:val="20"/>
                <w:color w:val="auto"/>
                <w:w w:val="91"/>
              </w:rPr>
              <w:t>F- 7</w:t>
            </w:r>
          </w:p>
        </w:tc>
      </w:tr>
      <w:tr>
        <w:trPr>
          <w:trHeight w:val="280"/>
        </w:trPr>
        <w:tc>
          <w:tcPr>
            <w:tcW w:w="77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Cash Flows for the Years Ended March 31, 2026 and 2025</w:t>
            </w:r>
          </w:p>
        </w:tc>
        <w:tc>
          <w:tcPr>
            <w:tcW w:w="2300" w:type="dxa"/>
            <w:vAlign w:val="bottom"/>
          </w:tcPr>
          <w:p>
            <w:pPr>
              <w:ind w:left="1980"/>
              <w:spacing w:after="0"/>
              <w:rPr>
                <w:sz w:val="20"/>
                <w:szCs w:val="20"/>
                <w:color w:val="auto"/>
              </w:rPr>
            </w:pPr>
            <w:r>
              <w:rPr>
                <w:rFonts w:ascii="Times New Roman" w:cs="Times New Roman" w:eastAsia="Times New Roman" w:hAnsi="Times New Roman"/>
                <w:sz w:val="20"/>
                <w:szCs w:val="20"/>
                <w:color w:val="auto"/>
                <w:w w:val="91"/>
              </w:rPr>
              <w:t>F- 8</w:t>
            </w:r>
          </w:p>
        </w:tc>
      </w:tr>
      <w:tr>
        <w:trPr>
          <w:trHeight w:val="280"/>
        </w:trPr>
        <w:tc>
          <w:tcPr>
            <w:tcW w:w="3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3400" w:type="dxa"/>
            <w:vAlign w:val="bottom"/>
            <w:tcBorders>
              <w:top w:val="single" w:sz="8" w:color="0000FF"/>
            </w:tcBorders>
            <w:gridSpan w:val="7"/>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ind w:left="1980"/>
              <w:spacing w:after="0"/>
              <w:rPr>
                <w:sz w:val="20"/>
                <w:szCs w:val="20"/>
                <w:color w:val="auto"/>
              </w:rPr>
            </w:pPr>
            <w:r>
              <w:rPr>
                <w:rFonts w:ascii="Times New Roman" w:cs="Times New Roman" w:eastAsia="Times New Roman" w:hAnsi="Times New Roman"/>
                <w:sz w:val="20"/>
                <w:szCs w:val="20"/>
                <w:color w:val="auto"/>
                <w:w w:val="91"/>
              </w:rPr>
              <w:t>F- 9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-1516380</wp:posOffset>
            </wp:positionV>
            <wp:extent cx="6530975" cy="1558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a:extLst>
                        <a:ext uri="{28A0092B-C50C-407E-A947-70E740481C1C}"/>
                      </a:extLst>
                    </a:blip>
                    <a:srcRect/>
                    <a:stretch>
                      <a:fillRect/>
                    </a:stretch>
                  </pic:blipFill>
                  <pic:spPr bwMode="auto">
                    <a:xfrm>
                      <a:off x="0" y="0"/>
                      <a:ext cx="6530975" cy="15589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7065010</wp:posOffset>
                </wp:positionV>
                <wp:extent cx="650494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56.3pt" to="512.1pt,556.3pt" o:allowincell="f" strokecolor="#000000" strokeweight="1pt"/>
            </w:pict>
          </mc:Fallback>
        </mc:AlternateContent>
      </w:r>
    </w:p>
    <w:p>
      <w:pPr>
        <w:sectPr>
          <w:pgSz w:w="12240" w:h="15840" w:orient="portrait"/>
          <w:cols w:equalWidth="0" w:num="1">
            <w:col w:w="10180"/>
          </w:cols>
          <w:pgMar w:left="1000" w:top="20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F- 1</w:t>
      </w:r>
    </w:p>
    <w:p>
      <w:pPr>
        <w:sectPr>
          <w:pgSz w:w="12240" w:h="15840" w:orient="portrait"/>
          <w:cols w:equalWidth="0" w:num="1">
            <w:col w:w="10180"/>
          </w:cols>
          <w:pgMar w:left="1000" w:top="201" w:right="106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ind w:right="2620" w:firstLine="2627"/>
        <w:spacing w:after="0" w:line="378"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Anterix Inc. </w:t>
      </w:r>
      <w:r>
        <w:rPr>
          <w:rFonts w:ascii="Times New Roman" w:cs="Times New Roman" w:eastAsia="Times New Roman" w:hAnsi="Times New Roman"/>
          <w:sz w:val="20"/>
          <w:szCs w:val="20"/>
          <w:b w:val="1"/>
          <w:bCs w:val="1"/>
          <w:color w:val="auto"/>
        </w:rPr>
        <w:t>Opinion on the Financial Statements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Anterix Inc. and subsidiaries (the “Company”) as of March 31, 2026, the related consolidated statements of operations, stockholders’ equity, and cash flows for the year then ended, and the related notes (collectively referred to as the “consolidated financial statements”). In our opinion, the financial statements present fairly, in all material respects, the financial position of the Company as of March 31, 2026 and the results of its operations and its cash flows for the year then ended, in conformity with accounting principles generally accepted in the United States of America (GAAP).</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 in Business Model, Which Impacted the Accounting for Spectrum Sales Transactions – Refer to Notes 2 and 3 to the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13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During the fourth quarter of fiscal 2026, the Company evolved its business strategy. Building on its foundational 900 MHz spectrum position, the Company transitioned from a model focused primarily on long-term spectrum leasing to a broader operating model which involves both leases and sales of spectrum. In the ordinary course of business, the Company seeks to secure and expand its spectrum position, clear and retune spectrum, monetize spectrum through both sales and long-term leases, and develop a growing portfolio of products and services offerings around its spectrum designed to generate recurring revenue.</w:t>
      </w:r>
    </w:p>
    <w:p>
      <w:pPr>
        <w:spacing w:after="0" w:line="6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We identified the Company’s change in business model, which impacted the accounting of its spectrum sales transactions to be recognized as revenue, as a critical audit matter due to the judgment in evaluating the change in the Company’s business strategy as well as the timing of the change and related accounting implications. This required a high degree of auditor judgment and increased audit effort.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13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Our audit procedures related to evaluating the change in business strategy and the accounting of spectrum sales transactions to be recognized as revenue included the following, among others:</w:t>
      </w:r>
    </w:p>
    <w:p>
      <w:pPr>
        <w:spacing w:after="0" w:line="18" w:lineRule="exact"/>
        <w:rPr>
          <w:sz w:val="20"/>
          <w:szCs w:val="20"/>
          <w:color w:val="auto"/>
        </w:rPr>
      </w:pPr>
    </w:p>
    <w:p>
      <w:pPr>
        <w:ind w:left="1440" w:hanging="370"/>
        <w:spacing w:after="0" w:line="284" w:lineRule="auto"/>
        <w:tabs>
          <w:tab w:leader="none" w:pos="1440" w:val="left"/>
        </w:tabs>
        <w:numPr>
          <w:ilvl w:val="0"/>
          <w:numId w:val="3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We evaluated the change in the Company’s business model as well as the timing of the change, by performing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267335</wp:posOffset>
                </wp:positionV>
                <wp:extent cx="650494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1.05pt" to="512.1pt,21.0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F- 2</w:t>
      </w:r>
    </w:p>
    <w:p>
      <w:pPr>
        <w:sectPr>
          <w:pgSz w:w="12240" w:h="15840" w:orient="portrait"/>
          <w:cols w:equalWidth="0" w:num="1">
            <w:col w:w="10240"/>
          </w:cols>
          <w:pgMar w:left="1000" w:top="201" w:right="100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2160" w:right="500" w:hanging="370"/>
        <w:spacing w:after="0" w:line="260" w:lineRule="auto"/>
        <w:tabs>
          <w:tab w:leader="none" w:pos="21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inquired of selected members of the Company’s executive management team and Board of Directors,</w:t>
      </w:r>
    </w:p>
    <w:p>
      <w:pPr>
        <w:spacing w:after="0" w:line="1" w:lineRule="exact"/>
        <w:rPr>
          <w:rFonts w:ascii="Times New Roman" w:cs="Times New Roman" w:eastAsia="Times New Roman" w:hAnsi="Times New Roman"/>
          <w:sz w:val="20"/>
          <w:szCs w:val="20"/>
          <w:color w:val="auto"/>
        </w:rPr>
      </w:pPr>
    </w:p>
    <w:p>
      <w:pPr>
        <w:ind w:left="2160" w:right="20" w:hanging="370"/>
        <w:spacing w:after="0" w:line="250" w:lineRule="auto"/>
        <w:tabs>
          <w:tab w:leader="none" w:pos="21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inspected the Company’s Board of Directors meeting materials, including agendas, presentations and meeting minutes,</w:t>
      </w:r>
    </w:p>
    <w:p>
      <w:pPr>
        <w:ind w:left="2160" w:right="100" w:hanging="370"/>
        <w:spacing w:after="0" w:line="250" w:lineRule="auto"/>
        <w:tabs>
          <w:tab w:leader="none" w:pos="21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read publicly available information, including the Company’s website, press releases, investor materials, analysts’ reports, earnings call transcripts, industry outlook reports, regulatory filings and social media posts by management,</w:t>
      </w:r>
    </w:p>
    <w:p>
      <w:pPr>
        <w:spacing w:after="0" w:line="1" w:lineRule="exact"/>
        <w:rPr>
          <w:rFonts w:ascii="Times New Roman" w:cs="Times New Roman" w:eastAsia="Times New Roman" w:hAnsi="Times New Roman"/>
          <w:sz w:val="20"/>
          <w:szCs w:val="20"/>
          <w:color w:val="auto"/>
        </w:rPr>
      </w:pPr>
    </w:p>
    <w:p>
      <w:pPr>
        <w:ind w:left="2160" w:hanging="370"/>
        <w:spacing w:after="0"/>
        <w:tabs>
          <w:tab w:leader="none" w:pos="21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inspected the Company’s marketing materials and internal strategy documents,</w:t>
      </w:r>
    </w:p>
    <w:p>
      <w:pPr>
        <w:spacing w:after="0" w:line="10" w:lineRule="exact"/>
        <w:rPr>
          <w:rFonts w:ascii="Times New Roman" w:cs="Times New Roman" w:eastAsia="Times New Roman" w:hAnsi="Times New Roman"/>
          <w:sz w:val="20"/>
          <w:szCs w:val="20"/>
          <w:color w:val="auto"/>
        </w:rPr>
      </w:pPr>
    </w:p>
    <w:p>
      <w:pPr>
        <w:ind w:left="2160" w:right="280" w:hanging="370"/>
        <w:spacing w:after="0" w:line="250" w:lineRule="auto"/>
        <w:tabs>
          <w:tab w:leader="none" w:pos="21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compared the Company’s new and historical spectrum sales contracts to identify and evaluate key differences, and</w:t>
      </w:r>
    </w:p>
    <w:p>
      <w:pPr>
        <w:ind w:left="2160" w:right="80" w:hanging="370"/>
        <w:spacing w:after="0" w:line="250" w:lineRule="auto"/>
        <w:tabs>
          <w:tab w:leader="none" w:pos="21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Company’s fiscal 2027 forecast to understand growth expectations for the sales of spectrum and customer pipeline opportunities.</w:t>
      </w:r>
    </w:p>
    <w:p>
      <w:pPr>
        <w:spacing w:after="0" w:line="8" w:lineRule="exact"/>
        <w:rPr>
          <w:rFonts w:ascii="Times New Roman" w:cs="Times New Roman" w:eastAsia="Times New Roman" w:hAnsi="Times New Roman"/>
          <w:sz w:val="20"/>
          <w:szCs w:val="20"/>
          <w:color w:val="auto"/>
        </w:rPr>
      </w:pPr>
    </w:p>
    <w:p>
      <w:pPr>
        <w:ind w:left="1440" w:right="220" w:hanging="370"/>
        <w:spacing w:after="0" w:line="260" w:lineRule="auto"/>
        <w:tabs>
          <w:tab w:leader="none" w:pos="1440"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We evaluated the Company’s revenue recognition accounting related to spectrum sales transactions entered during the fourth quarter of fiscal 2026.</w:t>
      </w:r>
    </w:p>
    <w:p>
      <w:pPr>
        <w:spacing w:after="0" w:line="27" w:lineRule="exact"/>
        <w:rPr>
          <w:rFonts w:ascii="Times New Roman" w:cs="Times New Roman" w:eastAsia="Times New Roman" w:hAnsi="Times New Roman"/>
          <w:sz w:val="24"/>
          <w:szCs w:val="24"/>
          <w:color w:val="auto"/>
        </w:rPr>
      </w:pPr>
    </w:p>
    <w:p>
      <w:pPr>
        <w:ind w:left="1440" w:right="780" w:hanging="370"/>
        <w:spacing w:after="0" w:line="260" w:lineRule="auto"/>
        <w:tabs>
          <w:tab w:leader="none" w:pos="1440"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We tested the effectiveness of controls over management’s application of the accounting for sales of spectrum.</w:t>
      </w:r>
    </w:p>
    <w:p>
      <w:pPr>
        <w:spacing w:after="0" w:line="12" w:lineRule="exact"/>
        <w:rPr>
          <w:rFonts w:ascii="Times New Roman" w:cs="Times New Roman" w:eastAsia="Times New Roman" w:hAnsi="Times New Roman"/>
          <w:sz w:val="24"/>
          <w:szCs w:val="24"/>
          <w:color w:val="auto"/>
        </w:rPr>
      </w:pPr>
    </w:p>
    <w:p>
      <w:pPr>
        <w:ind w:left="1440" w:hanging="370"/>
        <w:spacing w:after="0"/>
        <w:tabs>
          <w:tab w:leader="none" w:pos="1440"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We evaluated the Company’s financial statement disclosures with respect to the change in business strategy.</w:t>
      </w:r>
    </w:p>
    <w:p>
      <w:pPr>
        <w:spacing w:after="0" w:line="111" w:lineRule="exact"/>
        <w:rPr>
          <w:sz w:val="20"/>
          <w:szCs w:val="20"/>
          <w:color w:val="auto"/>
        </w:rPr>
      </w:pPr>
    </w:p>
    <w:p>
      <w:pPr>
        <w:ind w:right="2400"/>
        <w:spacing w:after="0" w:line="380" w:lineRule="auto"/>
        <w:rPr>
          <w:sz w:val="20"/>
          <w:szCs w:val="20"/>
          <w:color w:val="auto"/>
        </w:rPr>
      </w:pPr>
      <w:r>
        <w:rPr>
          <w:rFonts w:ascii="Times New Roman" w:cs="Times New Roman" w:eastAsia="Times New Roman" w:hAnsi="Times New Roman"/>
          <w:sz w:val="20"/>
          <w:szCs w:val="20"/>
          <w:b w:val="1"/>
          <w:bCs w:val="1"/>
          <w:i w:val="1"/>
          <w:iCs w:val="1"/>
          <w:color w:val="auto"/>
        </w:rPr>
        <w:t>Gain on Exchange of Intangible Assets, net – Refer to Notes 2 and 7 to the financial statements Critical Audit Matter Description</w:t>
      </w:r>
    </w:p>
    <w:p>
      <w:pPr>
        <w:spacing w:after="0" w:line="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 Company enters into agreements to exchange its spectrum licenses with the Federal Communications Commission (FCC). As the Company exchanges its narrowband licenses for broadband licenses, which is dependent upon approval from the FCC, the spectrum licenses acquired as part of this exchange of nonmonetary assets are recorded at their fair value, as defined by the FCC’s 2020 Report and Order (i.e., the lower of the 600 MHz auction pricing or estimated contract price). The narrowband licenses that are surrendered to the FCC upon the exchange are recorded at their carrying value, which includes the original acquisition cost, anti-windfall payments and clearing costs. The difference between the carrying value of the narrowband licenses surrendered and the fair value of the broadband licenses received is recorded as a gain or loss on exchange of intangible assets. For the year ended March 31, 2026, the Company recorded a gain on exchange of intangible assets of $105.4 million.</w:t>
      </w:r>
    </w:p>
    <w:p>
      <w:pPr>
        <w:spacing w:after="0" w:line="7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We identified the Company’s determination of fair value used to measure the gain on exchange of spectrum licenses, which are intangible assets, as a critical audit matter due to the significant judgment used by management. This required a high degree of auditor judgment and increased audit effort.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auditing the gain on exchange of intangible assets included the following, among others:</w:t>
      </w:r>
    </w:p>
    <w:p>
      <w:pPr>
        <w:spacing w:after="0" w:line="22" w:lineRule="exact"/>
        <w:rPr>
          <w:sz w:val="20"/>
          <w:szCs w:val="20"/>
          <w:color w:val="auto"/>
        </w:rPr>
      </w:pPr>
    </w:p>
    <w:p>
      <w:pPr>
        <w:ind w:left="1440" w:hanging="370"/>
        <w:spacing w:after="0"/>
        <w:tabs>
          <w:tab w:leader="none" w:pos="1440" w:val="left"/>
        </w:tabs>
        <w:numPr>
          <w:ilvl w:val="0"/>
          <w:numId w:val="40"/>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With the assistance of our Fair Value Specialists, we performed the following:</w:t>
      </w:r>
    </w:p>
    <w:p>
      <w:pPr>
        <w:spacing w:after="0" w:line="12" w:lineRule="exact"/>
        <w:rPr>
          <w:rFonts w:ascii="Times New Roman" w:cs="Times New Roman" w:eastAsia="Times New Roman" w:hAnsi="Times New Roman"/>
          <w:sz w:val="24"/>
          <w:szCs w:val="24"/>
          <w:color w:val="auto"/>
        </w:rPr>
      </w:pPr>
    </w:p>
    <w:p>
      <w:pPr>
        <w:ind w:left="2160" w:hanging="370"/>
        <w:spacing w:after="0" w:line="254" w:lineRule="auto"/>
        <w:tabs>
          <w:tab w:leader="none" w:pos="216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independently estimated the fair value of the spectrum licenses based on 600 MHz auction prices and compared to the Company’s estimated fair value,</w:t>
      </w:r>
    </w:p>
    <w:p>
      <w:pPr>
        <w:spacing w:after="0" w:line="1" w:lineRule="exact"/>
        <w:rPr>
          <w:rFonts w:ascii="Times New Roman" w:cs="Times New Roman" w:eastAsia="Times New Roman" w:hAnsi="Times New Roman"/>
          <w:sz w:val="20"/>
          <w:szCs w:val="20"/>
          <w:color w:val="auto"/>
        </w:rPr>
      </w:pPr>
    </w:p>
    <w:p>
      <w:pPr>
        <w:ind w:left="2160" w:right="20" w:hanging="370"/>
        <w:spacing w:after="0" w:line="250" w:lineRule="auto"/>
        <w:tabs>
          <w:tab w:leader="none" w:pos="216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analyzed recent market transactions to assess the comparability to, and the reasonableness of, the Company’s estimated fair value, and</w:t>
      </w:r>
    </w:p>
    <w:p>
      <w:pPr>
        <w:ind w:left="2160" w:right="100" w:hanging="370"/>
        <w:spacing w:after="0" w:line="250" w:lineRule="auto"/>
        <w:tabs>
          <w:tab w:leader="none" w:pos="216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Company specific spectrum sales entered by the Company in the fourth quarter of fiscal 2026 as indicative of fair value and compared to the Company’s estimated fair value.</w:t>
      </w:r>
    </w:p>
    <w:p>
      <w:pPr>
        <w:spacing w:after="0" w:line="16" w:lineRule="exact"/>
        <w:rPr>
          <w:rFonts w:ascii="Times New Roman" w:cs="Times New Roman" w:eastAsia="Times New Roman" w:hAnsi="Times New Roman"/>
          <w:sz w:val="20"/>
          <w:szCs w:val="20"/>
          <w:color w:val="auto"/>
        </w:rPr>
      </w:pPr>
    </w:p>
    <w:p>
      <w:pPr>
        <w:ind w:left="1440" w:right="500" w:hanging="370"/>
        <w:spacing w:after="0" w:line="284" w:lineRule="auto"/>
        <w:tabs>
          <w:tab w:leader="none" w:pos="1440" w:val="left"/>
        </w:tabs>
        <w:numPr>
          <w:ilvl w:val="0"/>
          <w:numId w:val="4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We evaluated the Company’s accounting for nonmonetary exchanges related to the gain on exchange of intangible assets, including whether the exchanges had commercial substance.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Morristown, New Jersey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25,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1042670</wp:posOffset>
                </wp:positionV>
                <wp:extent cx="650494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82.1pt" to="512.1pt,82.1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F- 3</w:t>
      </w:r>
    </w:p>
    <w:p>
      <w:pPr>
        <w:sectPr>
          <w:pgSz w:w="12240" w:h="15840" w:orient="portrait"/>
          <w:cols w:equalWidth="0" w:num="1">
            <w:col w:w="10240"/>
          </w:cols>
          <w:pgMar w:left="1000" w:top="201" w:right="10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and Stockholders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3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Anterix Inc. (a Delaware corporation) and subsidiaries (the “Company”) as of March 31, 2025, the related consolidated statements of operations, stockholders’ equity, and cash flows for the year ended March 31, 2025, and the related notes (collectively referred to as the “consolidated financial statements”). In our opinion, the consolidated financial statements present fairly, in all material respects, the financial position of the Company as of March 31, 2025, and the results of its operations and its cash flows for the year ended March 31, 2025, in conformity with accounting principles generally accepted in the United States of America.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4"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3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2018 to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24,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3008630</wp:posOffset>
                </wp:positionV>
                <wp:extent cx="650494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36.9pt" to="512.1pt,236.9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F- 4</w:t>
      </w:r>
    </w:p>
    <w:p>
      <w:pPr>
        <w:sectPr>
          <w:pgSz w:w="12240" w:h="15840" w:orient="portrait"/>
          <w:cols w:equalWidth="0" w:num="1">
            <w:col w:w="10220"/>
          </w:cols>
          <w:pgMar w:left="1000" w:top="201" w:right="10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March 31, 2026 and 2025</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7"/>
              </w:rPr>
              <w:t>March 31, 2026</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0" w:type="dxa"/>
            <w:vAlign w:val="bottom"/>
          </w:tcPr>
          <w:p>
            <w:pPr>
              <w:spacing w:after="0"/>
              <w:rPr>
                <w:sz w:val="1"/>
                <w:szCs w:val="1"/>
                <w:color w:val="auto"/>
              </w:rPr>
            </w:pPr>
          </w:p>
        </w:tc>
      </w:tr>
      <w:tr>
        <w:trPr>
          <w:trHeight w:val="262"/>
        </w:trPr>
        <w:tc>
          <w:tcPr>
            <w:tcW w:w="7320" w:type="dxa"/>
            <w:vAlign w:val="bottom"/>
          </w:tcPr>
          <w:p>
            <w:pPr>
              <w:ind w:left="470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98,533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47,374</w:t>
            </w:r>
          </w:p>
        </w:tc>
        <w:tc>
          <w:tcPr>
            <w:tcW w:w="0" w:type="dxa"/>
            <w:vAlign w:val="bottom"/>
          </w:tcPr>
          <w:p>
            <w:pPr>
              <w:spacing w:after="0"/>
              <w:rPr>
                <w:sz w:val="1"/>
                <w:szCs w:val="1"/>
                <w:color w:val="auto"/>
              </w:rPr>
            </w:pPr>
          </w:p>
        </w:tc>
      </w:tr>
      <w:tr>
        <w:trPr>
          <w:trHeight w:val="285"/>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Non-trade receivable</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w:t>
            </w:r>
          </w:p>
        </w:tc>
        <w:tc>
          <w:tcPr>
            <w:tcW w:w="0" w:type="dxa"/>
            <w:vAlign w:val="bottom"/>
          </w:tcPr>
          <w:p>
            <w:pPr>
              <w:spacing w:after="0"/>
              <w:rPr>
                <w:sz w:val="1"/>
                <w:szCs w:val="1"/>
                <w:color w:val="auto"/>
              </w:rPr>
            </w:pPr>
          </w:p>
        </w:tc>
      </w:tr>
      <w:tr>
        <w:trPr>
          <w:trHeight w:val="285"/>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Spectrum receivable</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7,107</w:t>
            </w: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Escrow deposits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r>
        <w:trPr>
          <w:trHeight w:val="303"/>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4,684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2,801</w:t>
            </w:r>
          </w:p>
        </w:tc>
        <w:tc>
          <w:tcPr>
            <w:tcW w:w="0" w:type="dxa"/>
            <w:vAlign w:val="bottom"/>
          </w:tcPr>
          <w:p>
            <w:pPr>
              <w:spacing w:after="0"/>
              <w:rPr>
                <w:sz w:val="1"/>
                <w:szCs w:val="1"/>
                <w:color w:val="auto"/>
              </w:rPr>
            </w:pPr>
          </w:p>
        </w:tc>
      </w:tr>
      <w:tr>
        <w:trPr>
          <w:trHeight w:val="264"/>
        </w:trPr>
        <w:tc>
          <w:tcPr>
            <w:tcW w:w="732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16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119,985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60,755</w:t>
            </w:r>
          </w:p>
        </w:tc>
        <w:tc>
          <w:tcPr>
            <w:tcW w:w="0" w:type="dxa"/>
            <w:vAlign w:val="bottom"/>
          </w:tcPr>
          <w:p>
            <w:pPr>
              <w:spacing w:after="0"/>
              <w:rPr>
                <w:sz w:val="1"/>
                <w:szCs w:val="1"/>
                <w:color w:val="auto"/>
              </w:rPr>
            </w:pPr>
          </w:p>
        </w:tc>
      </w:tr>
      <w:tr>
        <w:trPr>
          <w:trHeight w:val="298"/>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Escrow deposits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7,103</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Right of use assets, net</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4,829</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310,712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228,983</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Deferred broadband costs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29,069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28,944</w:t>
            </w:r>
          </w:p>
        </w:tc>
        <w:tc>
          <w:tcPr>
            <w:tcW w:w="0" w:type="dxa"/>
            <w:vAlign w:val="bottom"/>
          </w:tcPr>
          <w:p>
            <w:pPr>
              <w:spacing w:after="0"/>
              <w:rPr>
                <w:sz w:val="1"/>
                <w:szCs w:val="1"/>
                <w:color w:val="auto"/>
              </w:rPr>
            </w:pPr>
          </w:p>
        </w:tc>
      </w:tr>
      <w:tr>
        <w:trPr>
          <w:trHeight w:val="30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548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0" w:type="dxa"/>
            <w:vAlign w:val="bottom"/>
          </w:tcPr>
          <w:p>
            <w:pPr>
              <w:spacing w:after="0"/>
              <w:rPr>
                <w:sz w:val="1"/>
                <w:szCs w:val="1"/>
                <w:color w:val="auto"/>
              </w:rPr>
            </w:pPr>
          </w:p>
        </w:tc>
      </w:tr>
      <w:tr>
        <w:trPr>
          <w:trHeight w:val="245"/>
        </w:trPr>
        <w:tc>
          <w:tcPr>
            <w:tcW w:w="732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465,210</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333,104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90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3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payable and other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15,028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9,075</w:t>
            </w: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Accrued severance and other related charges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w:t>
            </w: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Due to related parties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w:t>
            </w: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Contingent liability</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8,093</w:t>
            </w:r>
          </w:p>
        </w:tc>
        <w:tc>
          <w:tcPr>
            <w:tcW w:w="0" w:type="dxa"/>
            <w:vAlign w:val="bottom"/>
          </w:tcPr>
          <w:p>
            <w:pPr>
              <w:spacing w:after="0"/>
              <w:rPr>
                <w:sz w:val="1"/>
                <w:szCs w:val="1"/>
                <w:color w:val="auto"/>
              </w:rPr>
            </w:pPr>
          </w:p>
        </w:tc>
      </w:tr>
      <w:tr>
        <w:trPr>
          <w:trHeight w:val="303"/>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revenue</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14,513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6,095</w:t>
            </w:r>
          </w:p>
        </w:tc>
        <w:tc>
          <w:tcPr>
            <w:tcW w:w="0" w:type="dxa"/>
            <w:vAlign w:val="bottom"/>
          </w:tcPr>
          <w:p>
            <w:pPr>
              <w:spacing w:after="0"/>
              <w:rPr>
                <w:sz w:val="1"/>
                <w:szCs w:val="1"/>
                <w:color w:val="auto"/>
              </w:rPr>
            </w:pPr>
          </w:p>
        </w:tc>
      </w:tr>
      <w:tr>
        <w:trPr>
          <w:trHeight w:val="264"/>
        </w:trPr>
        <w:tc>
          <w:tcPr>
            <w:tcW w:w="732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6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35,995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27,201</w:t>
            </w:r>
          </w:p>
        </w:tc>
        <w:tc>
          <w:tcPr>
            <w:tcW w:w="0" w:type="dxa"/>
            <w:vAlign w:val="bottom"/>
          </w:tcPr>
          <w:p>
            <w:pPr>
              <w:spacing w:after="0"/>
              <w:rPr>
                <w:sz w:val="1"/>
                <w:szCs w:val="1"/>
                <w:color w:val="auto"/>
              </w:rPr>
            </w:pPr>
          </w:p>
        </w:tc>
      </w:tr>
      <w:tr>
        <w:trPr>
          <w:trHeight w:val="298"/>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3,747</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Contingent liability</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15,336</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146,665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118,577</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Deferred gain on sale of intangible assets</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6,606</w:t>
            </w:r>
          </w:p>
        </w:tc>
        <w:tc>
          <w:tcPr>
            <w:tcW w:w="0" w:type="dxa"/>
            <w:vAlign w:val="bottom"/>
          </w:tcPr>
          <w:p>
            <w:pPr>
              <w:spacing w:after="0"/>
              <w:rPr>
                <w:sz w:val="1"/>
                <w:szCs w:val="1"/>
                <w:color w:val="auto"/>
              </w:rPr>
            </w:pPr>
          </w:p>
        </w:tc>
      </w:tr>
      <w:tr>
        <w:trPr>
          <w:trHeight w:val="30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65"/>
        </w:trPr>
        <w:tc>
          <w:tcPr>
            <w:tcW w:w="732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202,889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176,503</w:t>
            </w:r>
          </w:p>
        </w:tc>
        <w:tc>
          <w:tcPr>
            <w:tcW w:w="0" w:type="dxa"/>
            <w:vAlign w:val="bottom"/>
          </w:tcPr>
          <w:p>
            <w:pPr>
              <w:spacing w:after="0"/>
              <w:rPr>
                <w:sz w:val="1"/>
                <w:szCs w:val="1"/>
                <w:color w:val="auto"/>
              </w:rPr>
            </w:pP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(See Note 15)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Preferred stock, $0.0001 par value per share, 10,000,000 shares authorized and no</w:t>
            </w:r>
          </w:p>
        </w:tc>
        <w:tc>
          <w:tcPr>
            <w:tcW w:w="160" w:type="dxa"/>
            <w:vAlign w:val="bottom"/>
          </w:tcPr>
          <w:p>
            <w:pPr>
              <w:spacing w:after="0"/>
              <w:rPr>
                <w:sz w:val="20"/>
                <w:szCs w:val="20"/>
                <w:color w:val="auto"/>
              </w:rPr>
            </w:pPr>
          </w:p>
        </w:tc>
        <w:tc>
          <w:tcPr>
            <w:tcW w:w="12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shares outstanding at March 31, 2026 and March 31, 2025</w:t>
            </w:r>
          </w:p>
        </w:tc>
        <w:tc>
          <w:tcPr>
            <w:tcW w:w="1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rPr>
              <w:t>Common stock, $0.0001 par value per share, 100,000,000 shares authorized and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18,914,271 shares issued and outstanding at March 31, 2026 and 18,612,804 shares</w:t>
            </w:r>
          </w:p>
        </w:tc>
        <w:tc>
          <w:tcPr>
            <w:tcW w:w="160" w:type="dxa"/>
            <w:vAlign w:val="bottom"/>
          </w:tcPr>
          <w:p>
            <w:pPr>
              <w:spacing w:after="0"/>
              <w:rPr>
                <w:sz w:val="17"/>
                <w:szCs w:val="17"/>
                <w:color w:val="auto"/>
              </w:rPr>
            </w:pPr>
          </w:p>
        </w:tc>
        <w:tc>
          <w:tcPr>
            <w:tcW w:w="12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6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issued and outstanding at March 31, 2025</w:t>
            </w:r>
          </w:p>
        </w:tc>
        <w:tc>
          <w:tcPr>
            <w:tcW w:w="1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60" w:type="dxa"/>
            <w:vAlign w:val="bottom"/>
          </w:tcPr>
          <w:p>
            <w:pPr>
              <w:spacing w:after="0"/>
              <w:rPr>
                <w:sz w:val="24"/>
                <w:szCs w:val="24"/>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564,617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548,542</w:t>
            </w:r>
          </w:p>
        </w:tc>
        <w:tc>
          <w:tcPr>
            <w:tcW w:w="0" w:type="dxa"/>
            <w:vAlign w:val="bottom"/>
          </w:tcPr>
          <w:p>
            <w:pPr>
              <w:spacing w:after="0"/>
              <w:rPr>
                <w:sz w:val="1"/>
                <w:szCs w:val="1"/>
                <w:color w:val="auto"/>
              </w:rPr>
            </w:pPr>
          </w:p>
        </w:tc>
      </w:tr>
      <w:tr>
        <w:trPr>
          <w:trHeight w:val="303"/>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deficit</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(302,298)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(391,943)</w:t>
            </w:r>
          </w:p>
        </w:tc>
        <w:tc>
          <w:tcPr>
            <w:tcW w:w="0" w:type="dxa"/>
            <w:vAlign w:val="bottom"/>
          </w:tcPr>
          <w:p>
            <w:pPr>
              <w:spacing w:after="0"/>
              <w:rPr>
                <w:sz w:val="1"/>
                <w:szCs w:val="1"/>
                <w:color w:val="auto"/>
              </w:rPr>
            </w:pPr>
          </w:p>
        </w:tc>
      </w:tr>
      <w:tr>
        <w:trPr>
          <w:trHeight w:val="265"/>
        </w:trPr>
        <w:tc>
          <w:tcPr>
            <w:tcW w:w="732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262,321</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156,601</w:t>
            </w:r>
          </w:p>
        </w:tc>
        <w:tc>
          <w:tcPr>
            <w:tcW w:w="0" w:type="dxa"/>
            <w:vAlign w:val="bottom"/>
          </w:tcPr>
          <w:p>
            <w:pPr>
              <w:spacing w:after="0"/>
              <w:rPr>
                <w:sz w:val="1"/>
                <w:szCs w:val="1"/>
                <w:color w:val="auto"/>
              </w:rPr>
            </w:pPr>
          </w:p>
        </w:tc>
      </w:tr>
      <w:tr>
        <w:trPr>
          <w:trHeight w:val="245"/>
        </w:trPr>
        <w:tc>
          <w:tcPr>
            <w:tcW w:w="732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465,210</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333,104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-7727315</wp:posOffset>
            </wp:positionV>
            <wp:extent cx="6534150" cy="7747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9">
                      <a:extLst>
                        <a:ext uri="{28A0092B-C50C-407E-A947-70E740481C1C}"/>
                      </a:extLst>
                    </a:blip>
                    <a:srcRect/>
                    <a:stretch>
                      <a:fillRect/>
                    </a:stretch>
                  </pic:blipFill>
                  <pic:spPr bwMode="auto">
                    <a:xfrm>
                      <a:off x="0" y="0"/>
                      <a:ext cx="6534150" cy="7747000"/>
                    </a:xfrm>
                    <a:prstGeom prst="rect">
                      <a:avLst/>
                    </a:prstGeom>
                    <a:noFill/>
                  </pic:spPr>
                </pic:pic>
              </a:graphicData>
            </a:graphic>
          </wp:anchor>
        </w:drawing>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159385</wp:posOffset>
                </wp:positionV>
                <wp:extent cx="650494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55pt" to="512.1pt,12.55pt" o:allowincell="f" strokecolor="#000000" strokeweight="1pt"/>
            </w:pict>
          </mc:Fallback>
        </mc:AlternateContent>
      </w:r>
    </w:p>
    <w:p>
      <w:pPr>
        <w:spacing w:after="0" w:line="25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20"/>
          <w:szCs w:val="20"/>
          <w:color w:val="auto"/>
        </w:rPr>
        <w:t>Page F- 5</w:t>
      </w:r>
    </w:p>
    <w:p>
      <w:pPr>
        <w:sectPr>
          <w:pgSz w:w="12240" w:h="15840" w:orient="portrait"/>
          <w:cols w:equalWidth="0" w:num="1">
            <w:col w:w="10220"/>
          </w:cols>
          <w:pgMar w:left="1000" w:top="201" w:right="1020" w:bottom="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3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Years Ended March 31, 2026 and 2025</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Spectrum revenue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6,031</w:t>
            </w:r>
          </w:p>
        </w:tc>
        <w:tc>
          <w:tcPr>
            <w:tcW w:w="0" w:type="dxa"/>
            <w:vAlign w:val="bottom"/>
          </w:tcPr>
          <w:p>
            <w:pPr>
              <w:spacing w:after="0"/>
              <w:rPr>
                <w:sz w:val="1"/>
                <w:szCs w:val="1"/>
                <w:color w:val="auto"/>
              </w:rPr>
            </w:pPr>
          </w:p>
        </w:tc>
      </w:tr>
      <w:tr>
        <w:trPr>
          <w:trHeight w:val="60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42,671</w:t>
            </w:r>
          </w:p>
        </w:tc>
        <w:tc>
          <w:tcPr>
            <w:tcW w:w="0" w:type="dxa"/>
            <w:vAlign w:val="bottom"/>
          </w:tcPr>
          <w:p>
            <w:pPr>
              <w:spacing w:after="0"/>
              <w:rPr>
                <w:sz w:val="1"/>
                <w:szCs w:val="1"/>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Sales and support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6,110</w:t>
            </w:r>
          </w:p>
        </w:tc>
        <w:tc>
          <w:tcPr>
            <w:tcW w:w="0" w:type="dxa"/>
            <w:vAlign w:val="bottom"/>
          </w:tcPr>
          <w:p>
            <w:pPr>
              <w:spacing w:after="0"/>
              <w:rPr>
                <w:sz w:val="1"/>
                <w:szCs w:val="1"/>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Product development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5,735</w:t>
            </w:r>
          </w:p>
        </w:tc>
        <w:tc>
          <w:tcPr>
            <w:tcW w:w="0" w:type="dxa"/>
            <w:vAlign w:val="bottom"/>
          </w:tcPr>
          <w:p>
            <w:pPr>
              <w:spacing w:after="0"/>
              <w:rPr>
                <w:sz w:val="1"/>
                <w:szCs w:val="1"/>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Severance and other related charges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3,771</w:t>
            </w:r>
          </w:p>
        </w:tc>
        <w:tc>
          <w:tcPr>
            <w:tcW w:w="0" w:type="dxa"/>
            <w:vAlign w:val="bottom"/>
          </w:tcPr>
          <w:p>
            <w:pPr>
              <w:spacing w:after="0"/>
              <w:rPr>
                <w:sz w:val="1"/>
                <w:szCs w:val="1"/>
                <w:color w:val="auto"/>
              </w:rPr>
            </w:pPr>
          </w:p>
        </w:tc>
      </w:tr>
      <w:tr>
        <w:trPr>
          <w:trHeight w:val="288"/>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548</w:t>
            </w:r>
          </w:p>
        </w:tc>
        <w:tc>
          <w:tcPr>
            <w:tcW w:w="0" w:type="dxa"/>
            <w:vAlign w:val="bottom"/>
          </w:tcPr>
          <w:p>
            <w:pPr>
              <w:spacing w:after="0"/>
              <w:rPr>
                <w:sz w:val="1"/>
                <w:szCs w:val="1"/>
                <w:color w:val="auto"/>
              </w:rPr>
            </w:pPr>
          </w:p>
        </w:tc>
      </w:tr>
      <w:tr>
        <w:trPr>
          <w:trHeight w:val="265"/>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52,726</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58,835</w:t>
            </w:r>
          </w:p>
        </w:tc>
        <w:tc>
          <w:tcPr>
            <w:tcW w:w="0" w:type="dxa"/>
            <w:vAlign w:val="bottom"/>
          </w:tcPr>
          <w:p>
            <w:pPr>
              <w:spacing w:after="0"/>
              <w:rPr>
                <w:sz w:val="1"/>
                <w:szCs w:val="1"/>
                <w:color w:val="auto"/>
              </w:rPr>
            </w:pPr>
          </w:p>
        </w:tc>
      </w:tr>
      <w:tr>
        <w:trPr>
          <w:trHeight w:val="262"/>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exchange of intangible assets, net</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(22,799)</w:t>
            </w:r>
          </w:p>
        </w:tc>
        <w:tc>
          <w:tcPr>
            <w:tcW w:w="0" w:type="dxa"/>
            <w:vAlign w:val="bottom"/>
          </w:tcPr>
          <w:p>
            <w:pPr>
              <w:spacing w:after="0"/>
              <w:rPr>
                <w:sz w:val="1"/>
                <w:szCs w:val="1"/>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sale of intangible assets, net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(18,294)</w:t>
            </w:r>
          </w:p>
        </w:tc>
        <w:tc>
          <w:tcPr>
            <w:tcW w:w="0" w:type="dxa"/>
            <w:vAlign w:val="bottom"/>
          </w:tcPr>
          <w:p>
            <w:pPr>
              <w:spacing w:after="0"/>
              <w:rPr>
                <w:sz w:val="1"/>
                <w:szCs w:val="1"/>
                <w:color w:val="auto"/>
              </w:rPr>
            </w:pPr>
          </w:p>
        </w:tc>
      </w:tr>
      <w:tr>
        <w:trPr>
          <w:trHeight w:val="288"/>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Loss from disposal of long-lived assets, net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62"/>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Income (loss) from operations</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93,930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(11,714)</w:t>
            </w:r>
          </w:p>
        </w:tc>
        <w:tc>
          <w:tcPr>
            <w:tcW w:w="0" w:type="dxa"/>
            <w:vAlign w:val="bottom"/>
          </w:tcPr>
          <w:p>
            <w:pPr>
              <w:spacing w:after="0"/>
              <w:rPr>
                <w:sz w:val="1"/>
                <w:szCs w:val="1"/>
                <w:color w:val="auto"/>
              </w:rPr>
            </w:pP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2,159</w:t>
            </w: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62"/>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95,706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(9,480)</w:t>
            </w: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1,892</w:t>
            </w:r>
          </w:p>
        </w:tc>
        <w:tc>
          <w:tcPr>
            <w:tcW w:w="0" w:type="dxa"/>
            <w:vAlign w:val="bottom"/>
          </w:tcPr>
          <w:p>
            <w:pPr>
              <w:spacing w:after="0"/>
              <w:rPr>
                <w:sz w:val="1"/>
                <w:szCs w:val="1"/>
                <w:color w:val="auto"/>
              </w:rPr>
            </w:pPr>
          </w:p>
        </w:tc>
      </w:tr>
      <w:tr>
        <w:trPr>
          <w:trHeight w:val="24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90,635</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(11,372)</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(loss) per common share basic</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340" w:type="dxa"/>
            <w:vAlign w:val="bottom"/>
            <w:vMerge w:val="continue"/>
          </w:tcPr>
          <w:p>
            <w:pPr>
              <w:spacing w:after="0"/>
              <w:rPr>
                <w:sz w:val="22"/>
                <w:szCs w:val="22"/>
                <w:color w:val="auto"/>
              </w:rPr>
            </w:pPr>
          </w:p>
        </w:tc>
        <w:tc>
          <w:tcPr>
            <w:tcW w:w="2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80" w:type="dxa"/>
            <w:vAlign w:val="bottom"/>
          </w:tcPr>
          <w:p>
            <w:pPr>
              <w:spacing w:after="0"/>
              <w:rPr>
                <w:sz w:val="22"/>
                <w:szCs w:val="22"/>
                <w:color w:val="auto"/>
              </w:rPr>
            </w:pPr>
          </w:p>
        </w:tc>
        <w:tc>
          <w:tcPr>
            <w:tcW w:w="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(0.61)</w:t>
            </w:r>
          </w:p>
        </w:tc>
        <w:tc>
          <w:tcPr>
            <w:tcW w:w="0" w:type="dxa"/>
            <w:vAlign w:val="bottom"/>
          </w:tcPr>
          <w:p>
            <w:pPr>
              <w:spacing w:after="0"/>
              <w:rPr>
                <w:sz w:val="1"/>
                <w:szCs w:val="1"/>
                <w:color w:val="auto"/>
              </w:rPr>
            </w:pPr>
          </w:p>
        </w:tc>
      </w:tr>
      <w:tr>
        <w:trPr>
          <w:trHeight w:val="267"/>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per common share diluted</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(0.61)</w:t>
            </w:r>
          </w:p>
        </w:tc>
        <w:tc>
          <w:tcPr>
            <w:tcW w:w="0" w:type="dxa"/>
            <w:vAlign w:val="bottom"/>
          </w:tcPr>
          <w:p>
            <w:pPr>
              <w:spacing w:after="0"/>
              <w:rPr>
                <w:sz w:val="1"/>
                <w:szCs w:val="1"/>
                <w:color w:val="auto"/>
              </w:rPr>
            </w:pP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common shares used to compute basic net income (loss) per share</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18,688,175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18,562,446</w:t>
            </w:r>
          </w:p>
        </w:tc>
        <w:tc>
          <w:tcPr>
            <w:tcW w:w="0" w:type="dxa"/>
            <w:vAlign w:val="bottom"/>
          </w:tcPr>
          <w:p>
            <w:pPr>
              <w:spacing w:after="0"/>
              <w:rPr>
                <w:sz w:val="1"/>
                <w:szCs w:val="1"/>
                <w:color w:val="auto"/>
              </w:rPr>
            </w:pP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common shares used to compute diluted net income (loss) per share</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18,755,739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18,562,446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-4004310</wp:posOffset>
            </wp:positionV>
            <wp:extent cx="6553200" cy="4025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0">
                      <a:extLst>
                        <a:ext uri="{28A0092B-C50C-407E-A947-70E740481C1C}"/>
                      </a:extLst>
                    </a:blip>
                    <a:srcRect/>
                    <a:stretch>
                      <a:fillRect/>
                    </a:stretch>
                  </pic:blipFill>
                  <pic:spPr bwMode="auto">
                    <a:xfrm>
                      <a:off x="0" y="0"/>
                      <a:ext cx="6553200" cy="4025900"/>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3986530</wp:posOffset>
                </wp:positionV>
                <wp:extent cx="650494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13.9pt" to="512.1pt,313.9pt" o:allowincell="f" strokecolor="#000000" strokeweight="1pt"/>
            </w:pict>
          </mc:Fallback>
        </mc:AlternateContent>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F- 6</w:t>
      </w:r>
    </w:p>
    <w:p>
      <w:pPr>
        <w:sectPr>
          <w:pgSz w:w="12240" w:h="15840" w:orient="portrait"/>
          <w:cols w:equalWidth="0" w:num="1">
            <w:col w:w="10260"/>
          </w:cols>
          <w:pgMar w:left="1000" w:top="201" w:right="9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Years Ended March 31, 2026 and 2025</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63"/>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March 31, 2024</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18,453</w:t>
            </w:r>
          </w:p>
        </w:tc>
        <w:tc>
          <w:tcPr>
            <w:tcW w:w="8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533,203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(372,173)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161,032</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13,531</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Restricted shares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Stock option exercises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3,651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3,651</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Shares withheld for taxes</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Retirement of common stock</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(8,398)</w:t>
            </w:r>
          </w:p>
        </w:tc>
        <w:tc>
          <w:tcPr>
            <w:tcW w:w="0" w:type="dxa"/>
            <w:vAlign w:val="bottom"/>
          </w:tcPr>
          <w:p>
            <w:pPr>
              <w:spacing w:after="0"/>
              <w:rPr>
                <w:sz w:val="1"/>
                <w:szCs w:val="1"/>
                <w:color w:val="auto"/>
              </w:rPr>
            </w:pPr>
          </w:p>
        </w:tc>
      </w:tr>
      <w:tr>
        <w:trPr>
          <w:trHeight w:val="288"/>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loss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(11,372)</w:t>
            </w:r>
          </w:p>
        </w:tc>
        <w:tc>
          <w:tcPr>
            <w:tcW w:w="0" w:type="dxa"/>
            <w:vAlign w:val="bottom"/>
          </w:tcPr>
          <w:p>
            <w:pPr>
              <w:spacing w:after="0"/>
              <w:rPr>
                <w:sz w:val="1"/>
                <w:szCs w:val="1"/>
                <w:color w:val="auto"/>
              </w:rPr>
            </w:pPr>
          </w:p>
        </w:tc>
      </w:tr>
      <w:tr>
        <w:trPr>
          <w:trHeight w:val="262"/>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March 31, 2025</w:t>
            </w:r>
          </w:p>
        </w:tc>
        <w:tc>
          <w:tcPr>
            <w:tcW w:w="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18,613</w:t>
            </w: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548,542</w:t>
            </w: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(391,943)</w:t>
            </w:r>
          </w:p>
        </w:tc>
        <w:tc>
          <w:tcPr>
            <w:tcW w:w="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156,601</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11,491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11,491</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Restricted shares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Stock option exercises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5,354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5,354</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Shares withheld for taxes</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0" w:type="dxa"/>
            <w:vAlign w:val="bottom"/>
          </w:tcPr>
          <w:p>
            <w:pPr>
              <w:spacing w:after="0"/>
              <w:rPr>
                <w:sz w:val="1"/>
                <w:szCs w:val="1"/>
                <w:color w:val="auto"/>
              </w:rPr>
            </w:pPr>
          </w:p>
        </w:tc>
      </w:tr>
      <w:tr>
        <w:trPr>
          <w:trHeight w:val="28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Retirement of common stock</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0" w:type="dxa"/>
            <w:vAlign w:val="bottom"/>
          </w:tcPr>
          <w:p>
            <w:pPr>
              <w:spacing w:after="0"/>
              <w:rPr>
                <w:sz w:val="1"/>
                <w:szCs w:val="1"/>
                <w:color w:val="auto"/>
              </w:rPr>
            </w:pPr>
          </w:p>
        </w:tc>
      </w:tr>
      <w:tr>
        <w:trPr>
          <w:trHeight w:val="288"/>
        </w:trPr>
        <w:tc>
          <w:tcPr>
            <w:tcW w:w="2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90,635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90,635</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March 31, 2026</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18,914</w:t>
            </w:r>
          </w:p>
        </w:tc>
        <w:tc>
          <w:tcPr>
            <w:tcW w:w="8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564,617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262,321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-2745740</wp:posOffset>
            </wp:positionV>
            <wp:extent cx="6515100" cy="27654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1">
                      <a:extLst>
                        <a:ext uri="{28A0092B-C50C-407E-A947-70E740481C1C}"/>
                      </a:extLst>
                    </a:blip>
                    <a:srcRect/>
                    <a:stretch>
                      <a:fillRect/>
                    </a:stretch>
                  </pic:blipFill>
                  <pic:spPr bwMode="auto">
                    <a:xfrm>
                      <a:off x="0" y="0"/>
                      <a:ext cx="6515100" cy="2765425"/>
                    </a:xfrm>
                    <a:prstGeom prst="rect">
                      <a:avLst/>
                    </a:prstGeom>
                    <a:noFill/>
                  </pic:spPr>
                </pic:pic>
              </a:graphicData>
            </a:graphic>
          </wp:anchor>
        </w:drawing>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4921885</wp:posOffset>
                </wp:positionV>
                <wp:extent cx="650494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87.55pt" to="512.1pt,387.55pt" o:allowincell="f" strokecolor="#000000" strokeweight="1pt"/>
            </w:pict>
          </mc:Fallback>
        </mc:AlternateContent>
      </w:r>
    </w:p>
    <w:p>
      <w:pPr>
        <w:sectPr>
          <w:pgSz w:w="12240" w:h="15840" w:orient="portrait"/>
          <w:cols w:equalWidth="0" w:num="1">
            <w:col w:w="10200"/>
          </w:cols>
          <w:pgMar w:left="1000" w:top="20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F- 7</w:t>
      </w:r>
    </w:p>
    <w:p>
      <w:pPr>
        <w:sectPr>
          <w:pgSz w:w="12240" w:h="15840" w:orient="portrait"/>
          <w:cols w:equalWidth="0" w:num="1">
            <w:col w:w="10200"/>
          </w:cols>
          <w:pgMar w:left="1000" w:top="201" w:right="10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Consolidated Statements of Cash Flows</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Years Ended March 31, 2026 and 2025</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90,635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(11,372)</w:t>
            </w:r>
          </w:p>
        </w:tc>
      </w:tr>
      <w:tr>
        <w:trPr>
          <w:trHeight w:val="26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(loss) to net cash provided by (used in) operating</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activities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548</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13,531</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income taxes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325</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 of use assets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1,657</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exchange of intangible assets, net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(22,799)</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sale of intangible assets, net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(18,294)</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Loss from disposal of long-lived assets, net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Non-trade receivable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w:t>
            </w: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1,126</w:t>
            </w: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Accounts payable and other accrued expenses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550</w:t>
            </w: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Accrued severance and other related charges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2,265</w:t>
            </w: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Due to related parties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w:t>
            </w: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w:t>
            </w: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Contingent liability</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5,999</w:t>
            </w:r>
          </w:p>
        </w:tc>
      </w:tr>
      <w:tr>
        <w:trPr>
          <w:trHeight w:val="285"/>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Deferred revenue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2,460</w:t>
            </w:r>
          </w:p>
        </w:tc>
      </w:tr>
      <w:tr>
        <w:trPr>
          <w:trHeight w:val="288"/>
        </w:trPr>
        <w:tc>
          <w:tcPr>
            <w:tcW w:w="71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Other liabilities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w:t>
            </w:r>
          </w:p>
        </w:tc>
      </w:tr>
      <w:tr>
        <w:trPr>
          <w:trHeight w:val="265"/>
        </w:trPr>
        <w:tc>
          <w:tcPr>
            <w:tcW w:w="7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5,511</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(29,263)</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intangible assets and other related costs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(27,172)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(18,095)</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 of spectrum</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67,737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40,935</w:t>
            </w:r>
          </w:p>
        </w:tc>
      </w:tr>
      <w:tr>
        <w:trPr>
          <w:trHeight w:val="28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equipment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65"/>
        </w:trPr>
        <w:tc>
          <w:tcPr>
            <w:tcW w:w="7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40,534</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22,753</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stock option exercises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3,651</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Repurchases of common stock</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(8,398)</w:t>
            </w:r>
          </w:p>
        </w:tc>
      </w:tr>
      <w:tr>
        <w:trPr>
          <w:trHeight w:val="28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Payments of withholding tax on net issuance of restricted stock</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(1,843)</w:t>
            </w:r>
          </w:p>
        </w:tc>
      </w:tr>
      <w:tr>
        <w:trPr>
          <w:trHeight w:val="265"/>
        </w:trPr>
        <w:tc>
          <w:tcPr>
            <w:tcW w:w="7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3,594</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(6,590)</w:t>
            </w:r>
          </w:p>
        </w:tc>
      </w:tr>
      <w:tr>
        <w:trPr>
          <w:trHeight w:val="262"/>
        </w:trPr>
        <w:tc>
          <w:tcPr>
            <w:tcW w:w="7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change in cash and cash equivalents and restricted cash</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49,639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(13,100)</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and restricted cash at beginning of the year</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55,024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68,124</w:t>
            </w:r>
          </w:p>
        </w:tc>
      </w:tr>
      <w:tr>
        <w:trPr>
          <w:trHeight w:val="24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and restricted cash at end of the year</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104,663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55,024</w:t>
            </w:r>
          </w:p>
        </w:tc>
      </w:tr>
      <w:tr>
        <w:trPr>
          <w:trHeight w:val="20"/>
        </w:trPr>
        <w:tc>
          <w:tcPr>
            <w:tcW w:w="7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-6517640</wp:posOffset>
            </wp:positionV>
            <wp:extent cx="6438900" cy="65373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2">
                      <a:extLst>
                        <a:ext uri="{28A0092B-C50C-407E-A947-70E740481C1C}"/>
                      </a:extLst>
                    </a:blip>
                    <a:srcRect/>
                    <a:stretch>
                      <a:fillRect/>
                    </a:stretch>
                  </pic:blipFill>
                  <pic:spPr bwMode="auto">
                    <a:xfrm>
                      <a:off x="0" y="0"/>
                      <a:ext cx="6438900" cy="6537325"/>
                    </a:xfrm>
                    <a:prstGeom prst="rect">
                      <a:avLst/>
                    </a:prstGeom>
                    <a:noFill/>
                  </pic:spPr>
                </pic:pic>
              </a:graphicData>
            </a:graphic>
          </wp:anchor>
        </w:drawing>
      </w:r>
    </w:p>
    <w:p>
      <w:pPr>
        <w:spacing w:after="0" w:line="142" w:lineRule="exact"/>
        <w:rPr>
          <w:sz w:val="20"/>
          <w:szCs w:val="20"/>
          <w:color w:val="auto"/>
        </w:rPr>
      </w:pPr>
    </w:p>
    <w:p>
      <w:pPr>
        <w:ind w:left="40" w:right="320"/>
        <w:spacing w:after="0" w:line="265" w:lineRule="auto"/>
        <w:rPr>
          <w:sz w:val="20"/>
          <w:szCs w:val="20"/>
          <w:color w:val="auto"/>
        </w:rPr>
      </w:pPr>
      <w:r>
        <w:rPr>
          <w:rFonts w:ascii="Times New Roman" w:cs="Times New Roman" w:eastAsia="Times New Roman" w:hAnsi="Times New Roman"/>
          <w:sz w:val="19"/>
          <w:szCs w:val="19"/>
          <w:color w:val="auto"/>
        </w:rPr>
        <w:t>The following tables provide a reconciliation of cash and cash equivalents and restricted cash reported on the Consolidated Balance Sheets that sum to the total of the same such amounts on the Consolidated Statements of Cash Flows: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47,374</w:t>
            </w:r>
          </w:p>
        </w:tc>
      </w:tr>
      <w:tr>
        <w:trPr>
          <w:trHeight w:val="28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Escrow deposits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7,650</w:t>
            </w:r>
          </w:p>
        </w:tc>
      </w:tr>
      <w:tr>
        <w:trPr>
          <w:trHeight w:val="24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cash and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104,663</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55,024</w:t>
            </w: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438900" cy="593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3">
                      <a:extLst>
                        <a:ext uri="{28A0092B-C50C-407E-A947-70E740481C1C}"/>
                      </a:extLst>
                    </a:blip>
                    <a:srcRect/>
                    <a:stretch>
                      <a:fillRect/>
                    </a:stretch>
                  </pic:blipFill>
                  <pic:spPr bwMode="auto">
                    <a:xfrm>
                      <a:off x="0" y="0"/>
                      <a:ext cx="6438900" cy="593725"/>
                    </a:xfrm>
                    <a:prstGeom prst="rect">
                      <a:avLst/>
                    </a:prstGeom>
                    <a:noFill/>
                  </pic:spPr>
                </pic:pic>
              </a:graphicData>
            </a:graphic>
          </wp:anchor>
        </w:drawing>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372110</wp:posOffset>
                </wp:positionV>
                <wp:extent cx="650494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9.3pt" to="512.1pt,29.3pt" o:allowincell="f" strokecolor="#000000" strokeweight="1pt"/>
            </w:pict>
          </mc:Fallback>
        </mc:AlternateContent>
      </w:r>
    </w:p>
    <w:p>
      <w:pPr>
        <w:sectPr>
          <w:pgSz w:w="12240" w:h="15840" w:orient="portrait"/>
          <w:cols w:equalWidth="0" w:num="1">
            <w:col w:w="10180"/>
          </w:cols>
          <w:pgMar w:left="1000" w:top="20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F- 8</w:t>
      </w:r>
    </w:p>
    <w:p>
      <w:pPr>
        <w:sectPr>
          <w:pgSz w:w="12240" w:h="15840" w:orient="portrait"/>
          <w:cols w:equalWidth="0" w:num="1">
            <w:col w:w="10180"/>
          </w:cols>
          <w:pgMar w:left="1000" w:top="201" w:right="10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Operations</w:t>
      </w:r>
    </w:p>
    <w:p>
      <w:pPr>
        <w:spacing w:after="0" w:line="134"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19"/>
          <w:szCs w:val="19"/>
          <w:color w:val="auto"/>
        </w:rPr>
        <w:t>Anterix Inc. (the “Company”) is the nation’s largest holder of licensed 900 MHz spectrum (896-901/935-940 MHz) with coverage spanning the contiguous United States, Hawaii, Alaska, and Puerto Rico. The Company’s mission is to transform critical infrastructure connectivity, commercialize its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spacing w:after="0" w:line="68"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The Company was originally incorporated in California in 1997 and reincorporated in Delaware in 2014. In November 2015, the Company changed its name from Pacific DataVision, Inc. to pdvWireless, Inc. In August 2019, the Company changed its name from pdvWireless, Inc. to Anterix Inc. The Company maintains offices in Woodland Park, New Jersey, McLean, Virginia and Abilene, Texas.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Developments</w:t>
      </w:r>
    </w:p>
    <w:p>
      <w:pPr>
        <w:spacing w:after="0" w:line="139"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During fiscal 2026, the Company evolved its business strategy. Building on its foundational 900 MHz spectrum position, the Company transitioned from a model focused predominantly on long-term spectrum leasing to a broader operating model. In the ordinary course of business, the Company now secures and expands its spectrum position, clears and retunes spectrum, monetizes spectrum through both sales and long-term leases, and develops a growing portfolio of products and services offerings around its spectrum that are designed to generate recurring revenue. Together, these activities form the foundation of how the Company generates revenue today and how it expects to generate revenue over time. The Company’s new brand and visual identity, introduced during the fourth quarter, reflects this evolution.</w:t>
      </w:r>
    </w:p>
    <w:p>
      <w:pPr>
        <w:spacing w:after="0" w:line="9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On March 30, 2026, the Company entered into a spectrum license sale agreement with NorthWestern Energy (“NWE”) to provide 900 MHz Broadband Spectrum in the 10 MHz broadband configuration, (the “NWE Agreement”) for a total consideration of $7.7 million. This agreement marks the Company’s first deployment of 10 MHz broadband configuration in the 900 MHz band providing the foundation NWE needs to build a secure platform for a modern grid, enabling the delivery of safe, reliable energy for the communities they serve.</w:t>
      </w:r>
    </w:p>
    <w:p>
      <w:pPr>
        <w:spacing w:after="0" w:line="84" w:lineRule="exact"/>
        <w:rPr>
          <w:sz w:val="20"/>
          <w:szCs w:val="20"/>
          <w:color w:val="auto"/>
        </w:rPr>
      </w:pPr>
    </w:p>
    <w:p>
      <w:pPr>
        <w:ind w:right="160" w:firstLine="720"/>
        <w:spacing w:after="0" w:line="260" w:lineRule="auto"/>
        <w:rPr>
          <w:sz w:val="20"/>
          <w:szCs w:val="20"/>
          <w:color w:val="auto"/>
        </w:rPr>
      </w:pPr>
      <w:r>
        <w:rPr>
          <w:rFonts w:ascii="Times New Roman" w:cs="Times New Roman" w:eastAsia="Times New Roman" w:hAnsi="Times New Roman"/>
          <w:sz w:val="20"/>
          <w:szCs w:val="20"/>
          <w:color w:val="auto"/>
        </w:rPr>
        <w:t>On March 25, 2026, the Company entered into a spectrum license sale agreement with Texas-New Mexico Power Company (“TNMP”) to provide 900 MHz Broadband Spectrum covering Brazoria County and Galveston County, Texas, (the “TNMP Agreement”) for a total consideration of $3.2 million, facilitating TNMP to deploy a mission- critical private wireless network designed to strengthen grid reliability and support essential service improvements across its territory.</w:t>
      </w:r>
    </w:p>
    <w:p>
      <w:pPr>
        <w:spacing w:after="0" w:line="83" w:lineRule="exact"/>
        <w:rPr>
          <w:sz w:val="20"/>
          <w:szCs w:val="20"/>
          <w:color w:val="auto"/>
        </w:rPr>
      </w:pPr>
    </w:p>
    <w:p>
      <w:pPr>
        <w:ind w:right="180" w:firstLine="720"/>
        <w:spacing w:after="0" w:line="281" w:lineRule="auto"/>
        <w:rPr>
          <w:sz w:val="20"/>
          <w:szCs w:val="20"/>
          <w:color w:val="auto"/>
        </w:rPr>
      </w:pPr>
      <w:r>
        <w:rPr>
          <w:rFonts w:ascii="Times New Roman" w:cs="Times New Roman" w:eastAsia="Times New Roman" w:hAnsi="Times New Roman"/>
          <w:sz w:val="20"/>
          <w:szCs w:val="20"/>
          <w:color w:val="auto"/>
        </w:rPr>
        <w:t>On February 18, 2026, the Federal Communications Commission (the “FCC”) adopted the 2026 Report and Order to expand 900 MHz band to 10 MHz.</w:t>
      </w:r>
    </w:p>
    <w:p>
      <w:pPr>
        <w:spacing w:after="0" w:line="61" w:lineRule="exact"/>
        <w:rPr>
          <w:sz w:val="20"/>
          <w:szCs w:val="20"/>
          <w:color w:val="auto"/>
        </w:rPr>
      </w:pPr>
    </w:p>
    <w:p>
      <w:pPr>
        <w:ind w:right="560" w:firstLine="720"/>
        <w:spacing w:after="0" w:line="260" w:lineRule="auto"/>
        <w:rPr>
          <w:sz w:val="20"/>
          <w:szCs w:val="20"/>
          <w:color w:val="auto"/>
        </w:rPr>
      </w:pPr>
      <w:r>
        <w:rPr>
          <w:rFonts w:ascii="Times New Roman" w:cs="Times New Roman" w:eastAsia="Times New Roman" w:hAnsi="Times New Roman"/>
          <w:sz w:val="20"/>
          <w:szCs w:val="20"/>
          <w:color w:val="auto"/>
        </w:rPr>
        <w:t>On January 30, 2026, the Company entered into a spectrum license sale agreement with CPS Energy (“CPS”) to provide 900 MHz broadband license covering Bexar County, Texas, (the “CPS Agreement”) for a total payment of</w:t>
      </w:r>
    </w:p>
    <w:p>
      <w:pPr>
        <w:spacing w:after="0" w:line="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$13.0 million, facilitating CPS to deploy a utility private wireless broadband network that will strengthen its grid operations, enhance reliability, and accelerate innovation at scale.</w:t>
      </w:r>
    </w:p>
    <w:p>
      <w:pPr>
        <w:spacing w:after="0" w:line="82" w:lineRule="exact"/>
        <w:rPr>
          <w:sz w:val="20"/>
          <w:szCs w:val="20"/>
          <w:color w:val="auto"/>
        </w:rPr>
      </w:pPr>
    </w:p>
    <w:p>
      <w:pPr>
        <w:ind w:right="140" w:firstLine="720"/>
        <w:spacing w:after="0" w:line="234" w:lineRule="auto"/>
        <w:rPr>
          <w:sz w:val="20"/>
          <w:szCs w:val="20"/>
          <w:color w:val="auto"/>
        </w:rPr>
      </w:pPr>
      <w:r>
        <w:rPr>
          <w:rFonts w:ascii="Times New Roman" w:cs="Times New Roman" w:eastAsia="Times New Roman" w:hAnsi="Times New Roman"/>
          <w:sz w:val="20"/>
          <w:szCs w:val="20"/>
          <w:color w:val="auto"/>
        </w:rPr>
        <w:t>In November 2025, the Company and Crown Castle, one of the nation’s largest tower companies, announced a new turnkey tower service, TowerX</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that helps utilities accelerate buildout timelines by providing access to pre-negotiated tower sites, centralized data and expert support.</w:t>
      </w:r>
    </w:p>
    <w:p>
      <w:pPr>
        <w:spacing w:after="0" w:line="100" w:lineRule="exact"/>
        <w:rPr>
          <w:sz w:val="20"/>
          <w:szCs w:val="20"/>
          <w:color w:val="auto"/>
        </w:rPr>
      </w:pPr>
    </w:p>
    <w:p>
      <w:pPr>
        <w:ind w:right="300" w:firstLine="720"/>
        <w:spacing w:after="0" w:line="309" w:lineRule="auto"/>
        <w:rPr>
          <w:sz w:val="20"/>
          <w:szCs w:val="20"/>
          <w:color w:val="auto"/>
        </w:rPr>
      </w:pPr>
      <w:r>
        <w:rPr>
          <w:rFonts w:ascii="Times New Roman" w:cs="Times New Roman" w:eastAsia="Times New Roman" w:hAnsi="Times New Roman"/>
          <w:sz w:val="19"/>
          <w:szCs w:val="19"/>
          <w:color w:val="auto"/>
        </w:rPr>
        <w:t>Additionally, the Company also relaunched CatalyX®, a turnkey SIM provisioning, connectivity management and roaming solution that helps utilities efficiently and securely activate and manage devices across public and private networks.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Use of Estimates</w:t>
      </w:r>
    </w:p>
    <w:p>
      <w:pPr>
        <w:spacing w:after="0" w:line="139"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The consolidated financial statements and accompanying notes are prepared in accordance with accounting principles generally accepted in the United States of America (“U.S. GAAP”), which require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the valuation of awards and forfeiture rates for its share-based award programs, the estimated useful lives of depreciable assets, lease discount rates, asset retirement obligations (the “ARO”), valuation allowance on the Company’s deferred tax assets and the recoverability of intangible assets among other estimates. Estimates and assumptions are reviewed periodically, and the effects of revisions are reflected in the financial statements in the applicable period. Accordingly, actual results could materially differ from those estimates.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270510</wp:posOffset>
                </wp:positionV>
                <wp:extent cx="650494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1.3pt" to="512.1pt,21.3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F- 9</w:t>
      </w:r>
    </w:p>
    <w:p>
      <w:pPr>
        <w:sectPr>
          <w:pgSz w:w="12240" w:h="15840" w:orient="portrait"/>
          <w:cols w:equalWidth="0" w:num="1">
            <w:col w:w="10240"/>
          </w:cols>
          <w:pgMar w:left="1000" w:top="201" w:right="10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340" w:firstLine="720"/>
        <w:spacing w:after="0" w:line="281"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the Company and its subsidiaries. All intercompany accounts and transactions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Revision to Spectrum Sale Transaction Presentation</w:t>
      </w:r>
    </w:p>
    <w:p>
      <w:pPr>
        <w:spacing w:after="0" w:line="13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 xml:space="preserve">The Company generates income primarily through long-term leases and sales of spectrum assets. For spectrum lease agreements, payments received from customers were recorded as deferred revenue on the Company’s Consolidated Balance Sheets, with revenue recognized ratably over the contractual term beginning on the date the Company delivered cleared 900 MHz Broadband Spectrum and the associated broadband leases to the customer on a county-by-county basis in accordance with </w:t>
      </w:r>
      <w:r>
        <w:rPr>
          <w:rFonts w:ascii="Times New Roman" w:cs="Times New Roman" w:eastAsia="Times New Roman" w:hAnsi="Times New Roman"/>
          <w:sz w:val="20"/>
          <w:szCs w:val="20"/>
          <w:b w:val="1"/>
          <w:bCs w:val="1"/>
          <w:i w:val="1"/>
          <w:iCs w:val="1"/>
          <w:color w:val="auto"/>
        </w:rPr>
        <w:t xml:space="preserve">Revenue from Contracts with Customers </w:t>
      </w:r>
      <w:r>
        <w:rPr>
          <w:rFonts w:ascii="Times New Roman" w:cs="Times New Roman" w:eastAsia="Times New Roman" w:hAnsi="Times New Roman"/>
          <w:sz w:val="20"/>
          <w:szCs w:val="20"/>
          <w:color w:val="auto"/>
        </w:rPr>
        <w:t>(“ASC 606”). Historically, for spectrum sale agreements, payments received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advance of closing were recorded as contingent liabilities on the Company’s Consolidated Balance Sheets. Upon closing of the sale and delivery of the cleared 900 MHz Broadband Spectrum and associated broadband licenses to the customer by county, the Company derecognized the contingent liability and recorded a gain on sale of intangible assets within operating expenses under </w:t>
      </w:r>
      <w:r>
        <w:rPr>
          <w:rFonts w:ascii="Times New Roman" w:cs="Times New Roman" w:eastAsia="Times New Roman" w:hAnsi="Times New Roman"/>
          <w:sz w:val="20"/>
          <w:szCs w:val="20"/>
          <w:b w:val="1"/>
          <w:bCs w:val="1"/>
          <w:i w:val="1"/>
          <w:iCs w:val="1"/>
          <w:color w:val="auto"/>
        </w:rPr>
        <w:t>Other Income — Gains and Losses from the Derecognition of Nonfinancial Assets</w:t>
      </w:r>
      <w:r>
        <w:rPr>
          <w:rFonts w:ascii="Times New Roman" w:cs="Times New Roman" w:eastAsia="Times New Roman" w:hAnsi="Times New Roman"/>
          <w:sz w:val="20"/>
          <w:szCs w:val="20"/>
          <w:color w:val="auto"/>
        </w:rPr>
        <w:t xml:space="preserve"> (“ASC 610”).</w:t>
      </w:r>
    </w:p>
    <w:p>
      <w:pPr>
        <w:spacing w:after="0" w:line="89"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auto"/>
        </w:rPr>
        <w:t>During fiscal 2026, the Company evolved its business strategy, transitioning from a model focused predominantly on long-term spectrum leasing to a broader operating model that now includes securing and expanding its spectrum position, clearing and retuning spectrum, monetizing spectrum through both sales and long-term leases, and developing a growing portfolio of products and services offerings around its spectrum that are designed to generate recurring revenue.</w:t>
      </w:r>
    </w:p>
    <w:p>
      <w:pPr>
        <w:spacing w:after="0" w:line="83"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auto"/>
        </w:rPr>
        <w:t>Prior to December 31, 2025, sale agreements were deemed an exception to the Company’s business model and were entered into with utilities containing Complex Systems on a case by case basis not in the ordinary course of business, resulting in sale agreements being accounted for under ASC 610. However, as a result of the Company’s business strategy evolution, the Company determined that sale agreements entered into after December 31, 2025 were completed in the ordinary course of business. The shift in business model will result in the recognition of such transactions as revenue under ASC 606, with the associated broadband costs reflected within operating expenses.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139" w:lineRule="exact"/>
        <w:rPr>
          <w:sz w:val="20"/>
          <w:szCs w:val="20"/>
          <w:color w:val="auto"/>
        </w:rPr>
      </w:pPr>
    </w:p>
    <w:p>
      <w:pPr>
        <w:ind w:right="160" w:firstLine="720"/>
        <w:spacing w:after="0" w:line="281" w:lineRule="auto"/>
        <w:rPr>
          <w:sz w:val="20"/>
          <w:szCs w:val="20"/>
          <w:color w:val="auto"/>
        </w:rPr>
      </w:pPr>
      <w:r>
        <w:rPr>
          <w:rFonts w:ascii="Times New Roman" w:cs="Times New Roman" w:eastAsia="Times New Roman" w:hAnsi="Times New Roman"/>
          <w:sz w:val="20"/>
          <w:szCs w:val="20"/>
          <w:color w:val="auto"/>
        </w:rPr>
        <w:t>The Company operates as a single operating and reportable segment. The Company’s chief operating decision maker (“CODM”) is its President and Chief Executive Officer, who manages the business on a consolidated basis.</w:t>
      </w:r>
    </w:p>
    <w:p>
      <w:pPr>
        <w:spacing w:after="0" w:line="61" w:lineRule="exact"/>
        <w:rPr>
          <w:sz w:val="20"/>
          <w:szCs w:val="20"/>
          <w:color w:val="auto"/>
        </w:rPr>
      </w:pPr>
    </w:p>
    <w:p>
      <w:pPr>
        <w:ind w:right="160" w:firstLine="720"/>
        <w:spacing w:after="0" w:line="281" w:lineRule="auto"/>
        <w:rPr>
          <w:sz w:val="20"/>
          <w:szCs w:val="20"/>
          <w:color w:val="auto"/>
        </w:rPr>
      </w:pPr>
      <w:r>
        <w:rPr>
          <w:rFonts w:ascii="Times New Roman" w:cs="Times New Roman" w:eastAsia="Times New Roman" w:hAnsi="Times New Roman"/>
          <w:sz w:val="20"/>
          <w:szCs w:val="20"/>
          <w:color w:val="auto"/>
        </w:rPr>
        <w:t>All of the Company’s identifiable assets are located in the United States. The Company did not generate any revenue from sources outside of the United States.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 and Restricted Cash</w:t>
      </w:r>
    </w:p>
    <w:p>
      <w:pPr>
        <w:spacing w:after="0" w:line="139" w:lineRule="exact"/>
        <w:rPr>
          <w:sz w:val="20"/>
          <w:szCs w:val="20"/>
          <w:color w:val="auto"/>
        </w:rPr>
      </w:pPr>
    </w:p>
    <w:p>
      <w:pPr>
        <w:ind w:right="420" w:firstLine="720"/>
        <w:spacing w:after="0" w:line="266" w:lineRule="auto"/>
        <w:rPr>
          <w:sz w:val="20"/>
          <w:szCs w:val="20"/>
          <w:color w:val="auto"/>
        </w:rPr>
      </w:pPr>
      <w:r>
        <w:rPr>
          <w:rFonts w:ascii="Times New Roman" w:cs="Times New Roman" w:eastAsia="Times New Roman" w:hAnsi="Times New Roman"/>
          <w:sz w:val="20"/>
          <w:szCs w:val="20"/>
          <w:color w:val="auto"/>
        </w:rPr>
        <w:t>All highly liquid investments with maturities of three months or less at the time of purchase are considered cash equivalents. Cash equivalents are stated at cost, which approximates the quoted market value and includes amounts held in money market funds. Restricted cash includes amounts classified as escrow deposits.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Significant Customers</w:t>
      </w:r>
    </w:p>
    <w:p>
      <w:pPr>
        <w:spacing w:after="0" w:line="139"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Financial instruments which potentially expose the Company to concentrations of credit risk consist primarily of cash and cash equivalents. The Company places its cash and temporary cash investments with financial institutions for which credit loss is not anticipated. As of March 31, 2026 and 2025, substantially all of the Company’s cash balances exceeded the federally insured limits. During the years ended March 31, 2026 and 2025, each of the Company’s customers related to spectrum agreements accounted for greater than 10% of total revenue, except for Tampa Electric Company (“TECO”).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39" w:lineRule="exact"/>
        <w:rPr>
          <w:sz w:val="20"/>
          <w:szCs w:val="20"/>
          <w:color w:val="auto"/>
        </w:rPr>
      </w:pPr>
    </w:p>
    <w:p>
      <w:pPr>
        <w:ind w:firstLine="720"/>
        <w:spacing w:after="0" w:line="272" w:lineRule="auto"/>
        <w:rPr>
          <w:sz w:val="20"/>
          <w:szCs w:val="20"/>
          <w:color w:val="auto"/>
        </w:rPr>
      </w:pPr>
      <w:r>
        <w:rPr>
          <w:rFonts w:ascii="Times New Roman" w:cs="Times New Roman" w:eastAsia="Times New Roman" w:hAnsi="Times New Roman"/>
          <w:sz w:val="19"/>
          <w:szCs w:val="19"/>
          <w:color w:val="auto"/>
        </w:rPr>
        <w:t>Property and equipment are stated at cost. Depreciation is computed using the straight-line method over the shorter of the estimated useful lives of the assets or the applicable lease term. The carrying amount at the balance sheet date of long-lived assets under construction in process includes assets purchased, constructed, or being developed internally that are not yet in service. Depreciation commences when the assets are placed in service. Depreciation rates for assets are updated periodically to account for changes, if any, in the estimated useful lives of the assets, lease terms, management’s strategic objectives, estimated residual values or obsolescence. Changes in estimates will result in adjustments to depreciation expense prospectively.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Asset Retirement Obligations</w:t>
      </w:r>
    </w:p>
    <w:p>
      <w:pPr>
        <w:spacing w:after="0" w:line="13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An Asset Retirement Obligations (“ARO”) is evaluated and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 cash flows underlying the obligation, if any. Over time, the liability is accreted to its present value and the capitalized cost is depreciated over the estimated useful life of the asset.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177800</wp:posOffset>
                </wp:positionV>
                <wp:extent cx="650494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4pt" to="512.1pt,14pt" o:allowincell="f" strokecolor="#000000" strokeweight="1pt"/>
            </w:pict>
          </mc:Fallback>
        </mc:AlternateContent>
      </w:r>
    </w:p>
    <w:p>
      <w:pPr>
        <w:spacing w:after="0" w:line="28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20"/>
          <w:szCs w:val="20"/>
          <w:color w:val="auto"/>
        </w:rPr>
        <w:t>Page F- 10</w:t>
      </w:r>
    </w:p>
    <w:p>
      <w:pPr>
        <w:sectPr>
          <w:pgSz w:w="12240" w:h="15840" w:orient="portrait"/>
          <w:cols w:equalWidth="0" w:num="1">
            <w:col w:w="10220"/>
          </w:cols>
          <w:pgMar w:left="1000" w:top="201" w:right="1020" w:bottom="0" w:gutter="0" w:footer="0" w:header="0"/>
        </w:sectPr>
      </w:pPr>
    </w:p>
    <w:bookmarkStart w:id="63" w:name="page64"/>
    <w:bookmarkEnd w:id="63"/>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10" w:firstLine="720"/>
        <w:spacing w:after="0" w:line="255" w:lineRule="auto"/>
        <w:rPr>
          <w:sz w:val="20"/>
          <w:szCs w:val="20"/>
          <w:color w:val="auto"/>
        </w:rPr>
      </w:pPr>
      <w:r>
        <w:rPr>
          <w:rFonts w:ascii="Times New Roman" w:cs="Times New Roman" w:eastAsia="Times New Roman" w:hAnsi="Times New Roman"/>
          <w:sz w:val="20"/>
          <w:szCs w:val="20"/>
          <w:color w:val="auto"/>
        </w:rPr>
        <w:t>The Company entered into long-term leasing arrangements primarily for tower site locations. The Company constructed assets at these locations and, in accordance with the terms of many of these agreements, the Company is obligated to restore the premises to their original condition at the conclusion of the agreements, generally at the demand of the other party to these agreements. The Company recognizes the fair value of a liability for an ARO and capitalizes that cost as part of the cost basis of the related asset, depreciating it over the useful life of the related asset. Upon settlement of the obligation, any difference between the cost to retire the asset and the recorded liability is recognized on the Company’s Consolidated Statements of Operations.</w:t>
      </w:r>
    </w:p>
    <w:p>
      <w:pPr>
        <w:spacing w:after="0" w:line="90" w:lineRule="exact"/>
        <w:rPr>
          <w:sz w:val="20"/>
          <w:szCs w:val="20"/>
          <w:color w:val="auto"/>
        </w:rPr>
      </w:pPr>
    </w:p>
    <w:p>
      <w:pPr>
        <w:ind w:left="10" w:right="120" w:firstLine="720"/>
        <w:spacing w:after="0" w:line="266" w:lineRule="auto"/>
        <w:rPr>
          <w:sz w:val="20"/>
          <w:szCs w:val="20"/>
          <w:color w:val="auto"/>
        </w:rPr>
      </w:pPr>
      <w:r>
        <w:rPr>
          <w:rFonts w:ascii="Times New Roman" w:cs="Times New Roman" w:eastAsia="Times New Roman" w:hAnsi="Times New Roman"/>
          <w:sz w:val="20"/>
          <w:szCs w:val="20"/>
          <w:color w:val="auto"/>
        </w:rPr>
        <w:t>As of March 31, 2026 and 2025, the Company settled approximately $0.4 million and $5 thousand, respectively of its obligations to restore the leased premises to their original condition and decreased its ARO accrual by $0.1 million and $0.1 million, respectively based on estimated future cash flows.</w:t>
      </w:r>
    </w:p>
    <w:p>
      <w:pPr>
        <w:spacing w:after="0" w:line="75" w:lineRule="exact"/>
        <w:rPr>
          <w:sz w:val="20"/>
          <w:szCs w:val="20"/>
          <w:color w:val="auto"/>
        </w:rPr>
      </w:pPr>
    </w:p>
    <w:p>
      <w:pPr>
        <w:ind w:left="10" w:right="800" w:firstLine="720"/>
        <w:spacing w:after="0" w:line="281" w:lineRule="auto"/>
        <w:rPr>
          <w:sz w:val="20"/>
          <w:szCs w:val="20"/>
          <w:color w:val="auto"/>
        </w:rPr>
      </w:pPr>
      <w:r>
        <w:rPr>
          <w:rFonts w:ascii="Times New Roman" w:cs="Times New Roman" w:eastAsia="Times New Roman" w:hAnsi="Times New Roman"/>
          <w:sz w:val="20"/>
          <w:szCs w:val="20"/>
          <w:color w:val="auto"/>
        </w:rPr>
        <w:t>Changes in the liability for the ARO for the years ended March 31, 2026 and 2025 are summarized below (in thousands):</w:t>
      </w:r>
    </w:p>
    <w:p>
      <w:pPr>
        <w:spacing w:after="0" w:line="14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6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the year</w:t>
            </w:r>
          </w:p>
        </w:tc>
        <w:tc>
          <w:tcPr>
            <w:tcW w:w="900" w:type="dxa"/>
            <w:vAlign w:val="bottom"/>
          </w:tcPr>
          <w:p>
            <w:pPr>
              <w:jc w:val="right"/>
              <w:ind w:right="667"/>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0" w:type="dxa"/>
            <w:vAlign w:val="bottom"/>
          </w:tcPr>
          <w:p>
            <w:pPr>
              <w:spacing w:after="0"/>
              <w:rPr>
                <w:sz w:val="1"/>
                <w:szCs w:val="1"/>
                <w:color w:val="auto"/>
              </w:rPr>
            </w:pPr>
          </w:p>
        </w:tc>
      </w:tr>
      <w:tr>
        <w:trPr>
          <w:trHeight w:val="285"/>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Liabilities settled</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85"/>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Revision of estimate</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88"/>
        </w:trPr>
        <w:tc>
          <w:tcPr>
            <w:tcW w:w="7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Accretion expense</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82"/>
        </w:trPr>
        <w:tc>
          <w:tcPr>
            <w:tcW w:w="732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Balance at end of the year </w:t>
            </w:r>
            <w:r>
              <w:rPr>
                <w:rFonts w:ascii="Times New Roman" w:cs="Times New Roman" w:eastAsia="Times New Roman" w:hAnsi="Times New Roman"/>
                <w:sz w:val="26"/>
                <w:szCs w:val="26"/>
                <w:color w:val="auto"/>
                <w:vertAlign w:val="superscript"/>
              </w:rPr>
              <w:t>(1)</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0" w:type="dxa"/>
            <w:vAlign w:val="bottom"/>
          </w:tcPr>
          <w:p>
            <w:pPr>
              <w:spacing w:after="0"/>
              <w:rPr>
                <w:sz w:val="1"/>
                <w:szCs w:val="1"/>
                <w:color w:val="auto"/>
              </w:rPr>
            </w:pPr>
          </w:p>
        </w:tc>
      </w:tr>
      <w:tr>
        <w:trPr>
          <w:trHeight w:val="200"/>
        </w:trPr>
        <w:tc>
          <w:tcPr>
            <w:tcW w:w="73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Less amount classified as current - included in accounts payable and other accrued</w:t>
            </w:r>
          </w:p>
        </w:tc>
        <w:tc>
          <w:tcPr>
            <w:tcW w:w="90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 - included in other liabilities</w:t>
            </w:r>
          </w:p>
        </w:tc>
        <w:tc>
          <w:tcPr>
            <w:tcW w:w="900" w:type="dxa"/>
            <w:vAlign w:val="bottom"/>
          </w:tcPr>
          <w:p>
            <w:pPr>
              <w:jc w:val="right"/>
              <w:ind w:right="667"/>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-1421765</wp:posOffset>
            </wp:positionV>
            <wp:extent cx="6521450" cy="930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4">
                      <a:extLst>
                        <a:ext uri="{28A0092B-C50C-407E-A947-70E740481C1C}"/>
                      </a:extLst>
                    </a:blip>
                    <a:srcRect/>
                    <a:stretch>
                      <a:fillRect/>
                    </a:stretch>
                  </pic:blipFill>
                  <pic:spPr bwMode="auto">
                    <a:xfrm>
                      <a:off x="0" y="0"/>
                      <a:ext cx="6521450" cy="930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534150"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5">
                      <a:extLst>
                        <a:ext uri="{28A0092B-C50C-407E-A947-70E740481C1C}"/>
                      </a:extLst>
                    </a:blip>
                    <a:srcRect/>
                    <a:stretch>
                      <a:fillRect/>
                    </a:stretch>
                  </pic:blipFill>
                  <pic:spPr bwMode="auto">
                    <a:xfrm>
                      <a:off x="0" y="0"/>
                      <a:ext cx="6534150" cy="231775"/>
                    </a:xfrm>
                    <a:prstGeom prst="rect">
                      <a:avLst/>
                    </a:prstGeom>
                    <a:noFill/>
                  </pic:spPr>
                </pic:pic>
              </a:graphicData>
            </a:graphic>
          </wp:anchor>
        </w:drawing>
      </w:r>
    </w:p>
    <w:p>
      <w:pPr>
        <w:spacing w:after="0" w:line="108" w:lineRule="exact"/>
        <w:rPr>
          <w:sz w:val="20"/>
          <w:szCs w:val="20"/>
          <w:color w:val="auto"/>
        </w:rPr>
      </w:pPr>
    </w:p>
    <w:p>
      <w:pPr>
        <w:ind w:left="370" w:right="40" w:hanging="370"/>
        <w:spacing w:after="0" w:line="266" w:lineRule="auto"/>
        <w:tabs>
          <w:tab w:leader="none" w:pos="37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year ended March 31, 2026, the Company cleared its tower site locations that were associated with its ARO and based on an evaluation of lease terms and site restoration requirements, the Company determined that no additional obligation was required.</w:t>
      </w:r>
    </w:p>
    <w:p>
      <w:pPr>
        <w:spacing w:after="0" w:line="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39" w:lineRule="exact"/>
        <w:rPr>
          <w:sz w:val="20"/>
          <w:szCs w:val="20"/>
          <w:color w:val="auto"/>
        </w:rPr>
      </w:pPr>
    </w:p>
    <w:p>
      <w:pPr>
        <w:ind w:left="10" w:right="80" w:firstLine="720"/>
        <w:spacing w:after="0" w:line="271" w:lineRule="auto"/>
        <w:rPr>
          <w:sz w:val="20"/>
          <w:szCs w:val="20"/>
          <w:color w:val="auto"/>
        </w:rPr>
      </w:pPr>
      <w:r>
        <w:rPr>
          <w:rFonts w:ascii="Times New Roman" w:cs="Times New Roman" w:eastAsia="Times New Roman" w:hAnsi="Times New Roman"/>
          <w:sz w:val="19"/>
          <w:szCs w:val="19"/>
          <w:color w:val="auto"/>
        </w:rPr>
        <w:t>Intangible assets are wireless licenses that are used to provide the Company with the exclusive right to utilize designated radio frequency spectrum to provide wireless communication services. While licenses are issued for only a fixed time, generally ten years, such licenses are subject to renewal by the FCC. License renewals have occurred routinely and are expensed as incurred. There are currently no legal, regulatory, contractual, competitive, economic or other factors that limit the useful life of the Company’s wireless licenses. As a result, the Company has determined that the wireless licenses should be treated as an indefinite-lived intangible asset. The Company will evaluate the useful life determination for its wireless licenses each year to determine whether events and circumstances continue to support their treatment as an indefinite useful life asset.</w:t>
      </w:r>
    </w:p>
    <w:p>
      <w:pPr>
        <w:spacing w:after="0" w:line="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Evaluation of Indefinite-Lived Intangible Assets for Impairment</w:t>
      </w:r>
    </w:p>
    <w:p>
      <w:pPr>
        <w:spacing w:after="0" w:line="139" w:lineRule="exact"/>
        <w:rPr>
          <w:sz w:val="20"/>
          <w:szCs w:val="20"/>
          <w:color w:val="auto"/>
        </w:rPr>
      </w:pPr>
    </w:p>
    <w:p>
      <w:pPr>
        <w:ind w:left="10" w:right="60" w:firstLine="720"/>
        <w:spacing w:after="0" w:line="252" w:lineRule="auto"/>
        <w:rPr>
          <w:sz w:val="20"/>
          <w:szCs w:val="20"/>
          <w:color w:val="auto"/>
        </w:rPr>
      </w:pPr>
      <w:r>
        <w:rPr>
          <w:rFonts w:ascii="Times New Roman" w:cs="Times New Roman" w:eastAsia="Times New Roman" w:hAnsi="Times New Roman"/>
          <w:sz w:val="20"/>
          <w:szCs w:val="20"/>
          <w:color w:val="auto"/>
        </w:rPr>
        <w:t>The Company determined that its unit of accounting should be based on geographic markets and deal markets. Unit of accounting of wireless licenses not associated with closed deals is based on geographic markets. Unit of accounting of wireless licenses associated with closed deals is based on the deal markets. The Company’s wireless licenses not associated with closed deals are tested for impairment based on the geographic markets, as the Company will be utilizing the existing wireless narrowband licenses, or broadband licenses if applicable, as part of facilitating broadband spectrum networks at a geographic market level. The Company’s wireless licenses associated with closed deals are tested for impairment based at the deal market level. The Company may elect to first perform a qualitative assessment to determine whether it is more likely than not that the fair value of an intangible asset is less than its carrying value. If the Company does not perform the qualitative assessment, or if the qualitative assessment indicates it is more likely than not that the fair value of the intangible asset is less than its carrying amount, the Company will calculate the estimated fair value of the intangible asset. If the estimated fair value of the spectrum licenses is lower than their carrying amount, an impairment loss is recognized. The Company will use a market-based approach or a transaction specific market approach to estimate the fair value of spectrum licenses depending on whether the license is associated with an executed contract with a customer. Under the market-based approach, the fair value of licenses without an executed contract is based on the prevailing 600 MHz auction price as determined by the FCC. Under the transaction-specific market approach, the fair value of licenses with an executed contract is based on cash flows expected to be generated under the contract over its contractual term, as adjusted by a market participant discount rate.</w:t>
      </w:r>
    </w:p>
    <w:p>
      <w:pPr>
        <w:spacing w:after="0" w:line="96" w:lineRule="exact"/>
        <w:rPr>
          <w:sz w:val="20"/>
          <w:szCs w:val="20"/>
          <w:color w:val="auto"/>
        </w:rPr>
      </w:pPr>
    </w:p>
    <w:p>
      <w:pPr>
        <w:ind w:left="10" w:right="60" w:firstLine="720"/>
        <w:spacing w:after="0" w:line="278" w:lineRule="auto"/>
        <w:rPr>
          <w:sz w:val="20"/>
          <w:szCs w:val="20"/>
          <w:color w:val="auto"/>
        </w:rPr>
      </w:pPr>
      <w:r>
        <w:rPr>
          <w:rFonts w:ascii="Times New Roman" w:cs="Times New Roman" w:eastAsia="Times New Roman" w:hAnsi="Times New Roman"/>
          <w:sz w:val="19"/>
          <w:szCs w:val="19"/>
          <w:color w:val="auto"/>
        </w:rPr>
        <w:t>During the year ended March 31, 2026, the Company performed a step zero qualitative approach impairment test as of January 1, 2026, for each geographical market or deal market, to test indefinite-lived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Per the results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95250</wp:posOffset>
                </wp:positionV>
                <wp:extent cx="650557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5pt" to="512.6pt,7.5pt" o:allowincell="f" strokecolor="#000000" strokeweight="1pt"/>
            </w:pict>
          </mc:Fallback>
        </mc:AlternateContent>
      </w:r>
    </w:p>
    <w:p>
      <w:pPr>
        <w:spacing w:after="0" w:line="157"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20"/>
          <w:szCs w:val="20"/>
          <w:color w:val="auto"/>
        </w:rPr>
        <w:t>Page F- 11</w:t>
      </w:r>
    </w:p>
    <w:p>
      <w:pPr>
        <w:sectPr>
          <w:pgSz w:w="12240" w:h="15840" w:orient="portrait"/>
          <w:cols w:equalWidth="0" w:num="1">
            <w:col w:w="10250"/>
          </w:cols>
          <w:pgMar w:left="990" w:top="201" w:right="1000" w:bottom="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step zero test, the Company was not required to perform a step one analysis. During the year ended March 31, 2025, the Company performed a step one quantitative approach impairment test as of January 1, 2025, to determine if the fair value of the combined licenses by the associated geographical or deal market exceeds the carrying value for each geographical or deal market. Based on the results of the impairment tests, there were no impairment charges recorded during the years ended March 31, 2026 and 2025. As of March 31, 2026 and 2025, the fair value materially exceeds carrying value of the Company’s intangible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Exchanges of Intangible Assets</w:t>
      </w:r>
    </w:p>
    <w:p>
      <w:pPr>
        <w:spacing w:after="0" w:line="13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At times, the Company enters into agreements to exchange or cancel spectrum licenses. Upon entering into the arrangement, if the transaction has been deemed to have commercial substance, spectrum licenses are reviewed for impairment. The licenses are exchanged or cancelled at their carrying value and adjusted for any gain or loss recognized. Upon receipt of FCC approval, the spectrum licenses acquired as part of an exchange of nonmonetary assets are recorded at their fair value as of the exchange date (i.e., the lower of the 600 MHz auction or estimated contract price). The difference between the fair value of the spectrum licenses obtained, carrying value of the spectrum licenses transferred and cash paid, if any, is recognized as a gain or loss on exchange of spectrum licenses reported separately on the Company’s Consolidated Statements of Operations. For the purpose of the valuation of broadband licenses received in connection with nonmonetary exchanges, the Company utilizes the 600 MHz Auction price per MHzPop, which represents level two of the fair value hierarchy. If the transaction lacks commercial substance or the fair value of the acquired asset cannot be determined, the acquired spectrum licenses are recorded at the carrying value of the spectrum assets transferred, cancelled or exchanged.</w:t>
      </w:r>
    </w:p>
    <w:p>
      <w:pPr>
        <w:spacing w:after="0" w:line="87" w:lineRule="exact"/>
        <w:rPr>
          <w:sz w:val="20"/>
          <w:szCs w:val="20"/>
          <w:color w:val="auto"/>
        </w:rPr>
      </w:pPr>
    </w:p>
    <w:p>
      <w:pPr>
        <w:ind w:right="840" w:firstLine="720"/>
        <w:spacing w:after="0" w:line="288" w:lineRule="auto"/>
        <w:rPr>
          <w:sz w:val="20"/>
          <w:szCs w:val="20"/>
          <w:color w:val="auto"/>
        </w:rPr>
      </w:pPr>
      <w:r>
        <w:rPr>
          <w:rFonts w:ascii="Times New Roman" w:cs="Times New Roman" w:eastAsia="Times New Roman" w:hAnsi="Times New Roman"/>
          <w:sz w:val="20"/>
          <w:szCs w:val="20"/>
          <w:color w:val="auto"/>
        </w:rPr>
        <w:t xml:space="preserve">See Note 7 </w:t>
      </w:r>
      <w:r>
        <w:rPr>
          <w:rFonts w:ascii="Times New Roman" w:cs="Times New Roman" w:eastAsia="Times New Roman" w:hAnsi="Times New Roman"/>
          <w:sz w:val="20"/>
          <w:szCs w:val="20"/>
          <w:b w:val="1"/>
          <w:bCs w:val="1"/>
          <w:i w:val="1"/>
          <w:iCs w:val="1"/>
          <w:color w:val="auto"/>
        </w:rPr>
        <w:t>Intangible Assets</w:t>
      </w:r>
      <w:r>
        <w:rPr>
          <w:rFonts w:ascii="Times New Roman" w:cs="Times New Roman" w:eastAsia="Times New Roman" w:hAnsi="Times New Roman"/>
          <w:sz w:val="20"/>
          <w:szCs w:val="20"/>
          <w:color w:val="auto"/>
        </w:rPr>
        <w:t xml:space="preserve"> for a discussion on the Company’s spectrum exchanges during the years ended March 31, 2026 and 2025.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Broadband Licenses Held for Sale</w:t>
      </w:r>
    </w:p>
    <w:p>
      <w:pPr>
        <w:spacing w:after="0" w:line="13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As a result of the Company’s evolved business strategy and the change in the accounting for its spectrum sale agreements, the Company now classifies its broadband licenses associated with signed spectrum sale agreements entered into after December 31, 2025 as held for sale in the period in which all specified GAAP criteria are met. Pursuant to these criteria, the Company classifies its broadband licenses as held for sale upon the completion of the exchange of a narrowband licenses for the broadband license associated with a county included in a signed sale agreement, with an expected closing date within one year. The Company measures its broadband licenses that are held for sale at their fair value as of the classification date, which is the lower of the 600 MHz auction or estimated contract price. Any loss resulting from this measurement is recognized in the period in which the held for sale criteria are met. As of March 31, 2026 and 2025, the Company had no licenses deemed held for sale.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Spectrum Receivable and Deferred Broadband Costs</w:t>
      </w:r>
    </w:p>
    <w:p>
      <w:pPr>
        <w:spacing w:after="0" w:line="13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Spectrum receivable represents prepayments made to acquire, retune or swap narrowband wireless licenses for cash consideration. The initial deposits to incumbents are recorded as spectrum receivable on the Company’s Consolidated Balance Sheets and are refundable if the FCC does not approve the sale, retuning or swap of the spectrum. Upon closing the associated deal, the costs are transferred to intangible assets on the Company’s Consolidated Balance Sheets for purchases of licenses and to deferred broadband costs on the Company’s Consolidated Balance Sheets for deals related to swap or retuning of narrowband licenses. If it is determined that there is an impairment, the Company will expense the assets to the extent of the potential loss. Upon exchanging the Company’s narrowband licenses for broadband licenses, the Company will transfer the deferred broadband costs to intangible assets.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 and Right of Use Assets Impairment</w:t>
      </w:r>
    </w:p>
    <w:p>
      <w:pPr>
        <w:spacing w:after="0" w:line="139"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auto"/>
        </w:rPr>
        <w:t>The Company evaluates long-lived assets and right of use (“ROU”) assets, other than intangible assets with indefinite lives, for impairment whenever events or changes in circumstances indicate that the carrying amount of an asset group may not be recoverable. Asset groups are determined at the lowest level for which identifiable cash flows are largely independent of cash flows of other groups of assets and liabilities. When the carrying amount of the asset groups are not recoverable and exceeds its fair value, an impairment loss is recognized equal to the excess of the asset group’s carrying value over the estimated fair value. There were no impairment charges during the years ended March 31, 2026 and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139"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19"/>
          <w:szCs w:val="19"/>
          <w:color w:val="auto"/>
        </w:rPr>
        <w:t>A Level 1, Level 2 or Level 3 fair value hierarchy is used to categorize fair value amounts depending on the quality of inputs used to measure the fair value. Level 1 fair value derived inputs utilize quoted prices in active markets for identical assets or liabilities. Level 2 fair value derived inputs are based on quoted prices for similar assets and liabilities in active markets 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631825</wp:posOffset>
                </wp:positionV>
                <wp:extent cx="650494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9.75pt" to="512.1pt,49.7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F- 12</w:t>
      </w:r>
    </w:p>
    <w:p>
      <w:pPr>
        <w:sectPr>
          <w:pgSz w:w="12240" w:h="15840" w:orient="portrait"/>
          <w:cols w:equalWidth="0" w:num="1">
            <w:col w:w="10240"/>
          </w:cols>
          <w:pgMar w:left="1000" w:top="201" w:right="100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9"/>
          <w:szCs w:val="19"/>
          <w:color w:val="auto"/>
        </w:rPr>
        <w:t>based on inputs other than quoted prices for the assets or liability that are either directly or indirectly observable. Level 3 fair value derived inputs are unobservable for the asset or liability as a result of little, if any, market activity for the asset or liability.</w:t>
      </w:r>
    </w:p>
    <w:p>
      <w:pPr>
        <w:spacing w:after="0" w:line="37"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Company uses appropriate valuation techniques for the fair values of the applicable assets or liabilities based on the available inputs. When available, the Company measures fair value using Level 1 inputs as they generally provide the most reliable evidence of fair value. The inputs may fall into different levels within the hierarchy in some valuations. In these cases, the fair value hierarchy of the asset or liability level is based on the lowest level of input that is significant to the fair value measurements.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139" w:lineRule="exact"/>
        <w:rPr>
          <w:sz w:val="20"/>
          <w:szCs w:val="20"/>
          <w:color w:val="auto"/>
        </w:rPr>
      </w:pPr>
    </w:p>
    <w:p>
      <w:pPr>
        <w:ind w:right="900" w:firstLine="720"/>
        <w:spacing w:after="0" w:line="281" w:lineRule="auto"/>
        <w:rPr>
          <w:sz w:val="20"/>
          <w:szCs w:val="20"/>
          <w:color w:val="auto"/>
        </w:rPr>
      </w:pPr>
      <w:r>
        <w:rPr>
          <w:rFonts w:ascii="Times New Roman" w:cs="Times New Roman" w:eastAsia="Times New Roman" w:hAnsi="Times New Roman"/>
          <w:sz w:val="20"/>
          <w:szCs w:val="20"/>
          <w:color w:val="auto"/>
        </w:rPr>
        <w:t>The carrying values of the Company’s financial instruments, including cash and cash equivalents, non-trade receivable, escrow deposits, accounts payable and other accrued expenses approximate their fair values.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9"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Leases in which the Company is the lessee are comprised of corporate office space and tower space. All of the leases are classified as operating leases. The Company is obligated under certain lease agreements for office space with lease terms expiring on various dates from June 30, 2027 through January 31, 2029, which includes lease extensions ranging from three to ten-years for its corporate offices. The Company entered into multiple lease agreements for tower space related to its spectrum holdings. These lease expiration dates range from April 8, 2026 to February 28, 2033.</w:t>
      </w:r>
    </w:p>
    <w:p>
      <w:pPr>
        <w:spacing w:after="0" w:line="80" w:lineRule="exact"/>
        <w:rPr>
          <w:sz w:val="20"/>
          <w:szCs w:val="20"/>
          <w:color w:val="auto"/>
        </w:rPr>
      </w:pPr>
    </w:p>
    <w:p>
      <w:pPr>
        <w:ind w:right="20" w:firstLine="720"/>
        <w:spacing w:after="0" w:line="257" w:lineRule="auto"/>
        <w:rPr>
          <w:sz w:val="20"/>
          <w:szCs w:val="20"/>
          <w:color w:val="auto"/>
        </w:rPr>
      </w:pPr>
      <w:r>
        <w:rPr>
          <w:rFonts w:ascii="Times New Roman" w:cs="Times New Roman" w:eastAsia="Times New Roman" w:hAnsi="Times New Roman"/>
          <w:sz w:val="20"/>
          <w:szCs w:val="20"/>
          <w:color w:val="auto"/>
        </w:rPr>
        <w:t xml:space="preserve">In accordance with Financial Accounting Standards Board, (“FASB”) Accounting Standards Codification,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(“ASC 842”), the Company recognized ROU assets and corresponding lease liabilities on the Company’s Consolidated Balance Sheets for its operating lease agreements with contractual terms greater than 12 months. Lease liabilities are based on the present value of remaining lease payments over the lease term. As the discount rate implied in the Company’s leases is not readily determinable, the present value is calculated using the Company’s incremental borrowing rate, which is estimated to approximate the interest rate on a collateralized basis with similar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9"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Revenues are recognized when a contract with a customer exists and control of the promised goods or services is transferred to the Company’s customers, in an amount that reflects the consideration it expects to be entitled to in exchange for those goods or services.</w:t>
      </w:r>
    </w:p>
    <w:p>
      <w:pPr>
        <w:spacing w:after="0" w:line="75"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A performance obligation is a promise in a contract to transfer a distinct good or service to the customer and is the unit of account in Accounting Standards Codification,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xml:space="preserve"> (“ASC 606”). A contract’s transaction price is allocated to each distinct performance obligation and is recognized as revenue when, or as, the performance obligation is satisfied, which typically occurs when the services are rendered. Determining whether products and services are considered distinct performance obligations that should be accounted for separately versus together may require significant judgment. The Company’s contracts with customers may include multiple performance obligations. For such arrangements, the Company allocates revenue to each performance obligation based on its relative standalone selling price. It generally determines standalone selling prices based on the prices charged to customers under contracts involving only the relevant performance obligation. Judgment may be used to determine the standalone selling prices for items that are not sold separately, including services provided at no additional charge. For the Company’s customer agreements, most of the performance obligations involve delivering cleared 900 MHz Broadband Spectrum and the associated broadband license or lease on a county-by-county basis. For broadband license transfers, the performance obligation is satisfied at a point in time when control of the broadband license is transferred to the customer upon delivery. Accordingly, revenue is recognized upon delivery of the broadband license. For broadband spectrum lease arrangements, the performance obligation is satisfied over time as the customer receives the leased spectrum regardless of whether the customer uses the spectrum or not throughout the contractual term. As a result, revenue will be recognized ratably over the contractual term beginning on the date when the Company delivers cleared 900 MHz Broadband Spectrum and the associated broadband leases to the customer on a county-by-county basis.</w:t>
      </w:r>
    </w:p>
    <w:p>
      <w:pPr>
        <w:spacing w:after="0" w:line="93"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auto"/>
        </w:rPr>
        <w:t>Since a contract has payment terms that differ from the timing of revenue recognition, the Company will assess whether the transaction price for those contracts include a significant financing component. The Company expects that the period between the transfer of a promised good or service to a customer and the customer payment for that good or service will not constitute a significant financing component. Most of the Company’s spectrum agreements have milestone payments, which align the payment schedule with the clearing and delivery of broadband spectrum. The Company may be entitled to receive an initial deposit, which is not considered a significant financing component because it is used to obtain exclusive rights to the spectrum upon clearing and delivery. As a result, the prepayment structure does not result in a financing component as it mitigates the risk for both parties and secures the exclusive use of the Company’s 900 MHz Broadband Spectrum.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412750</wp:posOffset>
                </wp:positionV>
                <wp:extent cx="650494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2.5pt" to="512.1pt,32.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F- 13</w:t>
      </w:r>
    </w:p>
    <w:p>
      <w:pPr>
        <w:sectPr>
          <w:pgSz w:w="12240" w:h="15840" w:orient="portrait"/>
          <w:cols w:equalWidth="0" w:num="1">
            <w:col w:w="10240"/>
          </w:cols>
          <w:pgMar w:left="1000" w:top="201" w:right="1000" w:bottom="0" w:gutter="0" w:footer="0" w:header="0"/>
          <w:type w:val="continuous"/>
        </w:sectPr>
      </w:pPr>
    </w:p>
    <w:bookmarkStart w:id="66" w:name="page67"/>
    <w:bookmarkEnd w:id="66"/>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10" w:right="260" w:firstLine="720"/>
        <w:spacing w:after="0" w:line="257" w:lineRule="auto"/>
        <w:rPr>
          <w:sz w:val="20"/>
          <w:szCs w:val="20"/>
          <w:color w:val="auto"/>
        </w:rPr>
      </w:pPr>
      <w:r>
        <w:rPr>
          <w:rFonts w:ascii="Times New Roman" w:cs="Times New Roman" w:eastAsia="Times New Roman" w:hAnsi="Times New Roman"/>
          <w:sz w:val="20"/>
          <w:szCs w:val="20"/>
          <w:color w:val="auto"/>
        </w:rPr>
        <w:t>Historically, the Company recognized an asset for the incremental costs of obtaining a contract with a customer if it expects the benefit of those costs to be longer than one year. The Company determined that certain previously paid sales commissions met the requirements to be capitalized and were recorded as an asset upon the Company’s adoption of ASC</w:t>
      </w:r>
    </w:p>
    <w:p>
      <w:pPr>
        <w:spacing w:after="0" w:line="1" w:lineRule="exact"/>
        <w:rPr>
          <w:sz w:val="20"/>
          <w:szCs w:val="20"/>
          <w:color w:val="auto"/>
        </w:rPr>
      </w:pPr>
    </w:p>
    <w:p>
      <w:pPr>
        <w:ind w:left="410" w:hanging="410"/>
        <w:spacing w:after="0"/>
        <w:tabs>
          <w:tab w:leader="none" w:pos="41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years ended March 31, 2026 and 2025, the Company capitalized commission costs required to obtain long-term</w:t>
      </w:r>
    </w:p>
    <w:p>
      <w:pPr>
        <w:spacing w:after="0" w:line="10" w:lineRule="exact"/>
        <w:rPr>
          <w:rFonts w:ascii="Times New Roman" w:cs="Times New Roman" w:eastAsia="Times New Roman" w:hAnsi="Times New Roman"/>
          <w:sz w:val="20"/>
          <w:szCs w:val="20"/>
          <w:color w:val="auto"/>
        </w:rPr>
      </w:pPr>
    </w:p>
    <w:p>
      <w:pPr>
        <w:ind w:left="10" w:right="320" w:hanging="10"/>
        <w:spacing w:after="0" w:line="255" w:lineRule="auto"/>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MHz Broadband Spectrum lease agreements which will be amortized over the contractual term. Due to the change in commission plan and the Company’s approach to monetizing its spectrum, the Company accelerated the amortization of the outstanding capitalized assets as of March 31, 2026.</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 Assets and Liabilities</w:t>
      </w:r>
    </w:p>
    <w:p>
      <w:pPr>
        <w:spacing w:after="0" w:line="139" w:lineRule="exact"/>
        <w:rPr>
          <w:sz w:val="20"/>
          <w:szCs w:val="20"/>
          <w:color w:val="auto"/>
        </w:rPr>
      </w:pPr>
    </w:p>
    <w:p>
      <w:pPr>
        <w:ind w:left="10" w:right="20" w:firstLine="720"/>
        <w:spacing w:after="0" w:line="258" w:lineRule="auto"/>
        <w:rPr>
          <w:sz w:val="20"/>
          <w:szCs w:val="20"/>
          <w:color w:val="auto"/>
        </w:rPr>
      </w:pPr>
      <w:r>
        <w:rPr>
          <w:rFonts w:ascii="Times New Roman" w:cs="Times New Roman" w:eastAsia="Times New Roman" w:hAnsi="Times New Roman"/>
          <w:sz w:val="20"/>
          <w:szCs w:val="20"/>
          <w:color w:val="auto"/>
        </w:rPr>
        <w:t>The Company records a contract asset when the Company has satisfied a performance obligation but does not yet have an unconditional right to consideration. Contract assets are included in prepaid expenses and other current assets in the Consolidated Balance Sheets. The Company will review the contract asset on a periodic basis to determine if an impairment exists as a result of a potential credit loss exposure. If it is determined that there is an impairment, the Company will expense the contract asset to the extent of the potential credit loss.</w:t>
      </w:r>
    </w:p>
    <w:p>
      <w:pPr>
        <w:spacing w:after="0" w:line="84" w:lineRule="exact"/>
        <w:rPr>
          <w:sz w:val="20"/>
          <w:szCs w:val="20"/>
          <w:color w:val="auto"/>
        </w:rPr>
      </w:pPr>
    </w:p>
    <w:p>
      <w:pPr>
        <w:jc w:val="both"/>
        <w:ind w:left="10" w:right="40" w:firstLine="720"/>
        <w:spacing w:after="0" w:line="266" w:lineRule="auto"/>
        <w:rPr>
          <w:sz w:val="20"/>
          <w:szCs w:val="20"/>
          <w:color w:val="auto"/>
        </w:rPr>
      </w:pPr>
      <w:r>
        <w:rPr>
          <w:rFonts w:ascii="Times New Roman" w:cs="Times New Roman" w:eastAsia="Times New Roman" w:hAnsi="Times New Roman"/>
          <w:sz w:val="20"/>
          <w:szCs w:val="20"/>
          <w:color w:val="auto"/>
        </w:rPr>
        <w:t>Contract liabilities primarily relate to advance consideration received from customers for spectrum services, for which the control of these services has not been transferred to the customer. These contract liabilities are recorded as deferred revenue on the Consolidated Balance Sheets.</w:t>
      </w:r>
    </w:p>
    <w:p>
      <w:pPr>
        <w:spacing w:after="0" w:line="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Product Development Costs</w:t>
      </w:r>
    </w:p>
    <w:p>
      <w:pPr>
        <w:spacing w:after="0" w:line="139" w:lineRule="exact"/>
        <w:rPr>
          <w:sz w:val="20"/>
          <w:szCs w:val="20"/>
          <w:color w:val="auto"/>
        </w:rPr>
      </w:pPr>
    </w:p>
    <w:p>
      <w:pPr>
        <w:jc w:val="both"/>
        <w:ind w:left="10" w:right="20" w:firstLine="720"/>
        <w:spacing w:after="0" w:line="281" w:lineRule="auto"/>
        <w:rPr>
          <w:sz w:val="20"/>
          <w:szCs w:val="20"/>
          <w:color w:val="auto"/>
        </w:rPr>
      </w:pPr>
      <w:r>
        <w:rPr>
          <w:rFonts w:ascii="Times New Roman" w:cs="Times New Roman" w:eastAsia="Times New Roman" w:hAnsi="Times New Roman"/>
          <w:sz w:val="20"/>
          <w:szCs w:val="20"/>
          <w:color w:val="auto"/>
        </w:rPr>
        <w:t>The Company charges all product and development costs to expense as incurred. Types of expense incurred in product and development costs include employee compensation, consulting, travel, equipment and technology costs.</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Advertising and Promotional Expense</w:t>
      </w:r>
    </w:p>
    <w:p>
      <w:pPr>
        <w:spacing w:after="0" w:line="139" w:lineRule="exact"/>
        <w:rPr>
          <w:sz w:val="20"/>
          <w:szCs w:val="20"/>
          <w:color w:val="auto"/>
        </w:rPr>
      </w:pPr>
    </w:p>
    <w:p>
      <w:pPr>
        <w:ind w:left="10" w:right="460" w:firstLine="720"/>
        <w:spacing w:after="0" w:line="281" w:lineRule="auto"/>
        <w:rPr>
          <w:sz w:val="20"/>
          <w:szCs w:val="20"/>
          <w:color w:val="auto"/>
        </w:rPr>
      </w:pPr>
      <w:r>
        <w:rPr>
          <w:rFonts w:ascii="Times New Roman" w:cs="Times New Roman" w:eastAsia="Times New Roman" w:hAnsi="Times New Roman"/>
          <w:sz w:val="20"/>
          <w:szCs w:val="20"/>
          <w:color w:val="auto"/>
        </w:rPr>
        <w:t>The Company expenses advertising and promotional costs as incurred. Advertising and promotional expense was approximately $56 thousand and $0.1 million for the years ended March 31, 2026 and 2025, respectively.</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Stock Compensation</w:t>
      </w:r>
    </w:p>
    <w:p>
      <w:pPr>
        <w:spacing w:after="0" w:line="139" w:lineRule="exact"/>
        <w:rPr>
          <w:sz w:val="20"/>
          <w:szCs w:val="20"/>
          <w:color w:val="auto"/>
        </w:rPr>
      </w:pPr>
    </w:p>
    <w:p>
      <w:pPr>
        <w:ind w:left="10" w:right="20" w:firstLine="720"/>
        <w:spacing w:after="0" w:line="252" w:lineRule="auto"/>
        <w:rPr>
          <w:sz w:val="20"/>
          <w:szCs w:val="20"/>
          <w:color w:val="auto"/>
        </w:rPr>
      </w:pPr>
      <w:r>
        <w:rPr>
          <w:rFonts w:ascii="Times New Roman" w:cs="Times New Roman" w:eastAsia="Times New Roman" w:hAnsi="Times New Roman"/>
          <w:sz w:val="20"/>
          <w:szCs w:val="20"/>
          <w:color w:val="auto"/>
        </w:rPr>
        <w:t>The Company accounts for stock options in accordance with U.S. GAAP, which requires the measurement and recognition of compensation expense, based on the estimated fair value of awards granted to employees, directors and consultants. The Company estimates the fair value of share-based awards on the date of grant using an option-valuation models such as Black-Scholes or Monte Carlo. The value of the portion of the award that is ultimately expected to vest is recognized as expense in the Company’s Consolidated Statements of Operations over the requisite service periods. In the event the participant’s employment by or engagement with (as a director or otherwise) the Company terminates before exercise of the options granted, the stock options granted to the participant shall immediately expire and all rights to purchase shares thereunder shall immediately cease and expire and be of no further force or effect, other than applicable exercise rights for vested shares that may extend past the termination date as provided for in the participant’s applicable option award agreement. Additionally, the Company’s Compensation Committee (the “Compensation Committee”) adopted an Executive Severance Plan (the “Severance Plan”) in February 2015, and as most recently amended in December 2024, and the Company subsequently entered into Severance Plan Participation Agreements with its executive officers. In addition to providing participants with severance payments, the Severance Plan provides for accelerated vesting and extends the exercise period for outstanding equity awards if the Company terminates a participant’s service for reasons other than cause, death or disability or the participant terminates his or her service for good reason, whether before or after a change of control (each of such terms as defined in the Severance Plan). In addition to the Severance Plan, the equity awards issued to the Company’s President and Chief Executive Officer provide for accelerated vesting upon termination of service for reasons other than cause or a resignation for good reason; involuntary termination in connection with a change in control; or a change in control with a purchase price at or above $100 per share (each of such terms defined in the equity award agreements).</w:t>
      </w:r>
    </w:p>
    <w:p>
      <w:pPr>
        <w:spacing w:after="0" w:line="92" w:lineRule="exact"/>
        <w:rPr>
          <w:sz w:val="20"/>
          <w:szCs w:val="20"/>
          <w:color w:val="auto"/>
        </w:rPr>
      </w:pPr>
    </w:p>
    <w:p>
      <w:pPr>
        <w:ind w:left="10" w:firstLine="720"/>
        <w:spacing w:after="0" w:line="253" w:lineRule="auto"/>
        <w:rPr>
          <w:sz w:val="20"/>
          <w:szCs w:val="20"/>
          <w:color w:val="auto"/>
        </w:rPr>
      </w:pPr>
      <w:r>
        <w:rPr>
          <w:rFonts w:ascii="Times New Roman" w:cs="Times New Roman" w:eastAsia="Times New Roman" w:hAnsi="Times New Roman"/>
          <w:sz w:val="20"/>
          <w:szCs w:val="20"/>
          <w:color w:val="auto"/>
        </w:rPr>
        <w:t>To calculate option-based compensation, the Company uses the Black-Scholes option valuation model. The compensation cost for the stock options with a graded vesting schedule is recognized using an accelerated method over the explicit vesting period. Stock options have a maximum term of ten years from the date they are granted, and vest over a requisite service period of three years, or four years for grants prior to July 2023, subject to acceleration in certain circumstances. The Company’s determination of fair value of option-based awards on the date of grant using the Black-Scholes model is affected by assumptions regarding a number of subjective variables. These variables include the expected volatility of the Company’s stock price, which is based on the weighted-average historical volatility of its stock, expected term, which is based on option history with adjustments for vesting schedule and contractual terms, risk-free interest rate, which is based on the treasury zero-coupon yield appropriate for the term of the option-based award as of the grant date; and expected dividends as applicable, which is zero, as the Company has never paid any cash dividends. Any future determination to pay dividends will be at the discretion of the Board and will depend on the Company’s financial condition, results of operations,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272415</wp:posOffset>
                </wp:positionV>
                <wp:extent cx="65055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1.45pt" to="512.6pt,21.45pt" o:allowincell="f" strokecolor="#000000" strokeweight="1pt"/>
            </w:pict>
          </mc:Fallback>
        </mc:AlternateContent>
      </w:r>
    </w:p>
    <w:p>
      <w:pPr>
        <w:sectPr>
          <w:pgSz w:w="12240" w:h="15840" w:orient="portrait"/>
          <w:cols w:equalWidth="0" w:num="1">
            <w:col w:w="10230"/>
          </w:cols>
          <w:pgMar w:left="990" w:top="201" w:right="1020" w:bottom="0" w:gutter="0" w:footer="0" w:header="0"/>
        </w:sectPr>
      </w:pPr>
    </w:p>
    <w:p>
      <w:pPr>
        <w:spacing w:after="0" w:line="200" w:lineRule="exact"/>
        <w:rPr>
          <w:sz w:val="20"/>
          <w:szCs w:val="20"/>
          <w:color w:val="auto"/>
        </w:rPr>
      </w:pPr>
    </w:p>
    <w:p>
      <w:pPr>
        <w:spacing w:after="0" w:line="257"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19"/>
          <w:szCs w:val="19"/>
          <w:color w:val="auto"/>
        </w:rPr>
        <w:t>Page F- 14</w:t>
      </w:r>
    </w:p>
    <w:p>
      <w:pPr>
        <w:sectPr>
          <w:pgSz w:w="12240" w:h="15840" w:orient="portrait"/>
          <w:cols w:equalWidth="0" w:num="1">
            <w:col w:w="10230"/>
          </w:cols>
          <w:pgMar w:left="990" w:top="201" w:right="102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requirements, restrictions contained in any financing instruments and such other factors as the Board deems relevant in its sole discretion. Therefore, the Company uses an expected dividend yield of zero in the option-pricing model.</w:t>
      </w:r>
    </w:p>
    <w:p>
      <w:pPr>
        <w:spacing w:after="0" w:line="6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The fair value of restricted stock, restricted stock units and performance units without market conditions are measured based upon the quoted closing market price for the stock on the date of grant. The compensation cost for the restricted stock and restricted stock units is recognized on a straight-line basis over the explicit vesting period. Restricted stock granted to the Company employees vest over a requisite services period of three years, or four years for grants prior to July 2023, subject to acceleration in certain circumstances. Vested restricted stock units are settled and issuable upon the earlier of the date the employee ceases to be an employee of the Company or a date certain in the future. The compensation cost for the performance units without market conditions is recognized ratably over the service period if it is probable that the performance conditions will be met.</w:t>
      </w:r>
    </w:p>
    <w:p>
      <w:pPr>
        <w:spacing w:after="0" w:line="9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Company uses a Monte Carlo simulation model to determine the fair value of performance units with market conditions at grant date. The Monte Carlo simulation model is based on a discounted cash flow approach, with the simulation of a large number of possible stock price outcomes for the Company’s stock and the target composite index. The use of the Monte Carlo simulation model requires the input of a number of assumptions including expected volatility of the Company’s stock price, which is based on the weighted-average historical volatility of its stock; correlation between changes in the Company’s stock price and changes in the target composite index, which is based on the historical relationship between the Company’s stock price and the target composite index average; risk-free interest rate, which is based on the treasury zero-coupon yield appropriate for the term of the performance unit as of the grant date; and expected dividends as applicable, which is zero, as the Company has never paid any cash dividends. Any future determination to pay dividends will be at the discretion of the Board and will depend on the Company’s financial condition, results of operations, capital requirements, restrictions contained in any financing instruments and such other factors as the Board deems relevant in its sole discretion. Therefore, the Company has used an expected dividend yield of zero in the Monte Carlo simulation model. The compensation cost for the performance units with market condition is recognized ratably over the service period.</w:t>
      </w:r>
    </w:p>
    <w:p>
      <w:pPr>
        <w:spacing w:after="0" w:line="88" w:lineRule="exact"/>
        <w:rPr>
          <w:sz w:val="20"/>
          <w:szCs w:val="20"/>
          <w:color w:val="auto"/>
        </w:rPr>
      </w:pPr>
    </w:p>
    <w:p>
      <w:pPr>
        <w:ind w:right="200" w:firstLine="720"/>
        <w:spacing w:after="0" w:line="281" w:lineRule="auto"/>
        <w:rPr>
          <w:sz w:val="20"/>
          <w:szCs w:val="20"/>
          <w:color w:val="auto"/>
        </w:rPr>
      </w:pPr>
      <w:r>
        <w:rPr>
          <w:rFonts w:ascii="Times New Roman" w:cs="Times New Roman" w:eastAsia="Times New Roman" w:hAnsi="Times New Roman"/>
          <w:sz w:val="20"/>
          <w:szCs w:val="20"/>
          <w:color w:val="auto"/>
        </w:rPr>
        <w:t>No tax benefits have been attributed to the share-based compensation expense because the Company maintains a full valuation allowance for all net deferred tax assets.</w:t>
      </w:r>
    </w:p>
    <w:p>
      <w:pPr>
        <w:spacing w:after="0" w:line="61"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All excess tax benefits and tax deficiencies, including tax benefits of dividends on share-based payment awards, are recognized as income tax expense or benefit in the Company’s Consolidated Statements of Operations, eliminating the notion of the additional paid-in capital (“APIC”) pool. The excess tax benefits are classified as operating activities along with other income tax cash flows rather than financing activities in the Company’s Consolidated Statements of Cash Flows. The tax effects of exercised or vested awards are treated as discrete items in the reporting period in which they occur. Cash payments to tax authorities in connection with shares withheld to meet statutory tax withholding requirements are presented as a financing activity in the statement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Retirement of common stock</w:t>
      </w:r>
    </w:p>
    <w:p>
      <w:pPr>
        <w:spacing w:after="0" w:line="139"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auto"/>
        </w:rPr>
        <w:t>From time to time, the Company may acquire its common stock through share repurchases or option exercise swaps and return these shares to authorized and unissued. If the Company elects to retire these shares, the Company’s policy is to allocate a portion of the repurchase price to par value of common stock with the excess over par value allocated to accumulated deficit.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The Company utilizes the asset and liability method of accounting for income taxes. Under this method, deferred tax assets and liabilities are recognized for the expected future tax consequences of temporary differences between the carrying amounts and the tax bases of assets and liabilities as well as from net operating loss and tax credit carryforwards. The effect on deferred tax assets and liabilities of a change in tax rates is recognized in operations in the period that includes the enactment date. A valuation allowance is established when it is estimated that it is more likely than not that the tax benefit of a deferred tax asset will not be realized.</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valuation allowance for the years ended March 31, 2026 and 2025 are summarized below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the year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90,278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89,742</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Charged to costs and expenses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325</w:t>
            </w:r>
          </w:p>
        </w:tc>
      </w:tr>
      <w:tr>
        <w:trPr>
          <w:trHeight w:val="288"/>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Changes in net loss carryforward and other</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(18,859)</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211</w:t>
            </w:r>
          </w:p>
        </w:tc>
      </w:tr>
      <w:tr>
        <w:trPr>
          <w:trHeight w:val="24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the year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71,136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90,278</w:t>
            </w:r>
          </w:p>
        </w:tc>
      </w:tr>
      <w:tr>
        <w:trPr>
          <w:trHeight w:val="20"/>
        </w:trPr>
        <w:tc>
          <w:tcPr>
            <w:tcW w:w="7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426200" cy="5683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6">
                      <a:extLst>
                        <a:ext uri="{28A0092B-C50C-407E-A947-70E740481C1C}"/>
                      </a:extLst>
                    </a:blip>
                    <a:srcRect/>
                    <a:stretch>
                      <a:fillRect/>
                    </a:stretch>
                  </pic:blipFill>
                  <pic:spPr bwMode="auto">
                    <a:xfrm>
                      <a:off x="0" y="0"/>
                      <a:ext cx="6426200" cy="56832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-56515</wp:posOffset>
            </wp:positionV>
            <wp:extent cx="1870075" cy="762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7">
                      <a:extLst>
                        <a:ext uri="{28A0092B-C50C-407E-A947-70E740481C1C}"/>
                      </a:extLst>
                    </a:blip>
                    <a:srcRect/>
                    <a:stretch>
                      <a:fillRect/>
                    </a:stretch>
                  </pic:blipFill>
                  <pic:spPr bwMode="auto">
                    <a:xfrm>
                      <a:off x="0" y="0"/>
                      <a:ext cx="1870075" cy="762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571500</wp:posOffset>
                </wp:positionV>
                <wp:extent cx="650494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5pt" to="512.1pt,4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F- 15</w:t>
      </w:r>
    </w:p>
    <w:p>
      <w:pPr>
        <w:sectPr>
          <w:pgSz w:w="12240" w:h="15840" w:orient="portrait"/>
          <w:cols w:equalWidth="0" w:num="1">
            <w:col w:w="10240"/>
          </w:cols>
          <w:pgMar w:left="1000" w:top="201" w:right="100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Uncertainty in Income Taxes</w:t>
      </w:r>
    </w:p>
    <w:p>
      <w:pPr>
        <w:spacing w:after="0" w:line="139"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Company recognizes the effect of tax positions only when they are more likely than not to be sustained. Management has determined that the Company had no uncertain tax positions that would require financial statement recognition or disclosure. The Company is no longer subject to U.S. federal, state or local income tax examinations for periods prior to 2019. When applicable, the Company recognizes interest and penalties related to unrecognized tax benefits as a component of income tax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 of Common Stock</w:t>
      </w:r>
    </w:p>
    <w:p>
      <w:pPr>
        <w:spacing w:after="0" w:line="13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Basic net income (loss) per common share is calculated by dividing the net income (loss) attributable to common stockholders by the weighted-average number of common shares outstanding during the period, without consideration for potentially dilutive securities. For purposes of the diluted net income (loss) per share calculation, stock options, restricted stock units and awards are considered to be potentially dilutive securities. Diluted earnings per share is computed using the treasury stock method.</w:t>
      </w:r>
    </w:p>
    <w:p>
      <w:pPr>
        <w:spacing w:after="0" w:line="84"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For the year ended March 31, 2026, there were 1,975,287 stock options and restricted stock units outstanding, excluded from the calculation of diluted weighted-average shares because the effect was anti-dilutive. For the year ended March 31, 2025, the Company reported a net loss, accordingly, diluted net loss per common share is the same as basic net loss per common share. Common stock equivalents resulting from potentially dilutive securities approximated 221,802 at March 31, 2025 and have not been included in the diluted weighted average shares of common stock outstanding, as their effects are anti-dilutive.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139" w:lineRule="exact"/>
        <w:rPr>
          <w:sz w:val="20"/>
          <w:szCs w:val="20"/>
          <w:color w:val="auto"/>
        </w:rPr>
      </w:pPr>
    </w:p>
    <w:p>
      <w:pPr>
        <w:ind w:right="40" w:firstLine="720"/>
        <w:spacing w:after="0" w:line="272" w:lineRule="auto"/>
        <w:rPr>
          <w:sz w:val="20"/>
          <w:szCs w:val="20"/>
          <w:color w:val="auto"/>
        </w:rPr>
      </w:pPr>
      <w:r>
        <w:rPr>
          <w:rFonts w:ascii="Times New Roman" w:cs="Times New Roman" w:eastAsia="Times New Roman" w:hAnsi="Times New Roman"/>
          <w:sz w:val="19"/>
          <w:szCs w:val="19"/>
          <w:color w:val="auto"/>
        </w:rPr>
        <w:t>In October 2023, the FASB issued Accounting Standards Updates (“ASU”) 2023-06, Disclosure Improvements: Codification Amendment in Response to the SEC’s Disclosure Update and Simplification Initiative. The ASU 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As the Company is currently subject to the SEC requirements, this ASU is not expected to have a material impact on its consolidated financial statements or related disclosures.</w:t>
      </w:r>
    </w:p>
    <w:p>
      <w:pPr>
        <w:spacing w:after="0" w:line="7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Income-Expense Disaggregation Disclosures and subsequently amended with ASU 2025-01, which was issued in January 2025. This update requires public business entities to disclose, on an annual and interim basis, disaggregated information about certain income statement expense line items in the notes to the financial statements. This update is effective for annual periods beginning after December 15, 2026, and interim periods within annual periods beginning after December 15, 2027. Early adoption is permitted and should be applied either prospectively or retroactively. The Company is currently evaluating the impact of the new standard on the Company’s consolidated financial statements and related disclosures.</w:t>
      </w:r>
    </w:p>
    <w:p>
      <w:pPr>
        <w:spacing w:after="0" w:line="210" w:lineRule="exact"/>
        <w:rPr>
          <w:sz w:val="20"/>
          <w:szCs w:val="20"/>
          <w:color w:val="auto"/>
        </w:rPr>
      </w:pPr>
    </w:p>
    <w:p>
      <w:pPr>
        <w:ind w:right="220" w:firstLine="720"/>
        <w:spacing w:after="0" w:line="255" w:lineRule="auto"/>
        <w:rPr>
          <w:sz w:val="20"/>
          <w:szCs w:val="20"/>
          <w:color w:val="auto"/>
        </w:rPr>
      </w:pPr>
      <w:r>
        <w:rPr>
          <w:rFonts w:ascii="Times New Roman" w:cs="Times New Roman" w:eastAsia="Times New Roman" w:hAnsi="Times New Roman"/>
          <w:sz w:val="20"/>
          <w:szCs w:val="20"/>
          <w:color w:val="auto"/>
        </w:rPr>
        <w:t>In December 2025, the FASB issued ASU 2025-11, Interim Reporting (Topic 270): Narrow-Scope Improvements. This update improves the navigability and applicability of the required interim disclosures. This update provides additional guidance on what disclosures should be provided in interim reporting periods and requires public business entities to disclose events since the end of the last annual reporting period that have a material impact on the entity. This update is effective for interim periods within annual periods beginning after December 15, 2027. Early adoption is permitted and should be applied either prospectively or retroactively. The Company is currently evaluating the impact of the new standard on the Company’s consolidated financial statements and related disclosures.</w:t>
      </w:r>
    </w:p>
    <w:p>
      <w:pPr>
        <w:spacing w:after="0" w:line="20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2025-12, Codification Improvements. The amendments in this ASU include technical corrections and other amendments intended to clarify and improve the Accounting Standards Codification across various topics. The amendments related to Accounting Standards Codification, </w:t>
      </w:r>
      <w:r>
        <w:rPr>
          <w:rFonts w:ascii="Times New Roman" w:cs="Times New Roman" w:eastAsia="Times New Roman" w:hAnsi="Times New Roman"/>
          <w:sz w:val="20"/>
          <w:szCs w:val="20"/>
          <w:b w:val="1"/>
          <w:bCs w:val="1"/>
          <w:i w:val="1"/>
          <w:iCs w:val="1"/>
          <w:color w:val="auto"/>
        </w:rPr>
        <w:t>Earnings per Share</w:t>
      </w:r>
      <w:r>
        <w:rPr>
          <w:rFonts w:ascii="Times New Roman" w:cs="Times New Roman" w:eastAsia="Times New Roman" w:hAnsi="Times New Roman"/>
          <w:sz w:val="20"/>
          <w:szCs w:val="20"/>
          <w:color w:val="auto"/>
        </w:rPr>
        <w:t xml:space="preserve"> (“ASC 260”) are required to be applied retrospectively, while all other amendments may be applied either prospectively or retrospectively. This update is effective for annual periods beginning after December 15, 2026, and interim periods within those annual periods. Early adoption is permitted and should be applied either prospectively or retroactively. The Company is currently evaluating the impact of the new standard on the Company’s consolidated financial statements and related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35" w:lineRule="exact"/>
        <w:rPr>
          <w:sz w:val="20"/>
          <w:szCs w:val="20"/>
          <w:color w:val="auto"/>
        </w:rPr>
      </w:pPr>
    </w:p>
    <w:p>
      <w:pPr>
        <w:ind w:right="200" w:firstLine="720"/>
        <w:spacing w:after="0" w:line="280" w:lineRule="auto"/>
        <w:rPr>
          <w:sz w:val="20"/>
          <w:szCs w:val="20"/>
          <w:color w:val="auto"/>
        </w:rPr>
      </w:pPr>
      <w:r>
        <w:rPr>
          <w:rFonts w:ascii="Times New Roman" w:cs="Times New Roman" w:eastAsia="Times New Roman" w:hAnsi="Times New Roman"/>
          <w:sz w:val="19"/>
          <w:szCs w:val="19"/>
          <w:color w:val="auto"/>
        </w:rPr>
        <w:t xml:space="preserve">In December 2023, the FASB issued ASU 2023-09,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xml:space="preserve"> (“ASC 740”): Improvements to Income Tax Disclosures, which enhances transparency about income tax information through improvements to income tax disclosures primarily related to the rate reconciliation and income taxes paid and to improve the effectiveness of income tax disclosures. This update is effective for annual periods beginning after December 15, 2024. The Company adopted ASU 2023-09 in fiscal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330200</wp:posOffset>
                </wp:positionV>
                <wp:extent cx="650494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6pt" to="512.1pt,26pt" o:allowincell="f" strokecolor="#000000" strokeweight="1pt"/>
            </w:pict>
          </mc:Fallback>
        </mc:AlternateConten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34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F- 16</w:t>
      </w:r>
    </w:p>
    <w:p>
      <w:pPr>
        <w:sectPr>
          <w:pgSz w:w="12240" w:h="15840" w:orient="portrait"/>
          <w:cols w:equalWidth="0" w:num="1">
            <w:col w:w="10220"/>
          </w:cols>
          <w:pgMar w:left="1000" w:top="201" w:right="1020" w:bottom="0" w:gutter="0" w:footer="0" w:header="0"/>
          <w:type w:val="continuous"/>
        </w:sectPr>
      </w:pPr>
    </w:p>
    <w:bookmarkStart w:id="69" w:name="page70"/>
    <w:bookmarkEnd w:id="69"/>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10" w:right="200"/>
        <w:spacing w:after="0" w:line="309" w:lineRule="auto"/>
        <w:rPr>
          <w:sz w:val="20"/>
          <w:szCs w:val="20"/>
          <w:color w:val="auto"/>
        </w:rPr>
      </w:pPr>
      <w:r>
        <w:rPr>
          <w:rFonts w:ascii="Times New Roman" w:cs="Times New Roman" w:eastAsia="Times New Roman" w:hAnsi="Times New Roman"/>
          <w:sz w:val="19"/>
          <w:szCs w:val="19"/>
          <w:color w:val="auto"/>
        </w:rPr>
        <w:t xml:space="preserve">2026 on a prospective basis. The adoption did not have a material impact on the Company’s consolidated financial statements but resulted in expanded disclosures within the income tax footnote. See Note 12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xml:space="preserve"> for further information.</w:t>
      </w:r>
    </w:p>
    <w:p>
      <w:pPr>
        <w:spacing w:after="0" w:line="37" w:lineRule="exact"/>
        <w:rPr>
          <w:sz w:val="20"/>
          <w:szCs w:val="20"/>
          <w:color w:val="auto"/>
        </w:rPr>
      </w:pPr>
    </w:p>
    <w:p>
      <w:pPr>
        <w:ind w:left="10" w:right="60" w:firstLine="720"/>
        <w:spacing w:after="0" w:line="254" w:lineRule="auto"/>
        <w:rPr>
          <w:sz w:val="20"/>
          <w:szCs w:val="20"/>
          <w:color w:val="auto"/>
        </w:rPr>
      </w:pPr>
      <w:r>
        <w:rPr>
          <w:rFonts w:ascii="Times New Roman" w:cs="Times New Roman" w:eastAsia="Times New Roman" w:hAnsi="Times New Roman"/>
          <w:sz w:val="20"/>
          <w:szCs w:val="20"/>
          <w:color w:val="auto"/>
        </w:rPr>
        <w:t>In March 2024, the FASB issued ASU 2024-02, Codification Improvements: this Codification amendment was issued to remove references to various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The amendments in ASU 2024-02 are not intended to result in significant accounting changes for most entities and are not expected to have a material impact on the Company’s consolidated financial statements or related disclosures. This update is effective for annual periods beginning after December 15, 2024. The Company adopted ASU 2024-02 during fiscal 2026. The adoption did not have a material impact on the Company’s consolidated financial statements or disclosures.</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3. Revenue</w:t>
      </w:r>
    </w:p>
    <w:p>
      <w:pPr>
        <w:spacing w:after="0" w:line="137" w:lineRule="exact"/>
        <w:rPr>
          <w:sz w:val="20"/>
          <w:szCs w:val="20"/>
          <w:color w:val="auto"/>
        </w:rPr>
      </w:pPr>
    </w:p>
    <w:p>
      <w:pPr>
        <w:ind w:left="10" w:right="68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provides information regarding the Company’s revenue for each of the services it provides pursuant to its spectrum revenue agreements for the years ended March 31, 2026 and 2025 (in thousands):</w:t>
      </w:r>
    </w:p>
    <w:p>
      <w:pPr>
        <w:spacing w:after="0" w:line="211"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Spectrum revenue</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71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900 MHz Broadband Spectrum Revenue</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Ameren Corporation</w:t>
            </w:r>
          </w:p>
        </w:tc>
        <w:tc>
          <w:tcPr>
            <w:tcW w:w="860" w:type="dxa"/>
            <w:vAlign w:val="bottom"/>
          </w:tcPr>
          <w:p>
            <w:pPr>
              <w:jc w:val="right"/>
              <w:ind w:right="607"/>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737</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Evergy</w:t>
            </w:r>
          </w:p>
        </w:tc>
        <w:tc>
          <w:tcPr>
            <w:tcW w:w="8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1,541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1,542</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Xcel Energy</w:t>
            </w:r>
          </w:p>
        </w:tc>
        <w:tc>
          <w:tcPr>
            <w:tcW w:w="8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3,524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3,205</w:t>
            </w:r>
          </w:p>
        </w:tc>
      </w:tr>
      <w:tr>
        <w:trPr>
          <w:trHeight w:val="336"/>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 xml:space="preserve">TECO </w:t>
            </w:r>
            <w:r>
              <w:rPr>
                <w:rFonts w:ascii="Times New Roman" w:cs="Times New Roman" w:eastAsia="Times New Roman" w:hAnsi="Times New Roman"/>
                <w:sz w:val="26"/>
                <w:szCs w:val="26"/>
                <w:color w:val="auto"/>
                <w:vertAlign w:val="superscript"/>
              </w:rPr>
              <w:t>(1)</w:t>
            </w:r>
          </w:p>
        </w:tc>
        <w:tc>
          <w:tcPr>
            <w:tcW w:w="8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1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Narrowband Spectrum Revenue</w:t>
            </w: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03"/>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 xml:space="preserve">Motorola </w:t>
            </w:r>
            <w:r>
              <w:rPr>
                <w:rFonts w:ascii="Times New Roman" w:cs="Times New Roman" w:eastAsia="Times New Roman" w:hAnsi="Times New Roman"/>
                <w:sz w:val="26"/>
                <w:szCs w:val="26"/>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547</w:t>
            </w:r>
          </w:p>
        </w:tc>
      </w:tr>
      <w:tr>
        <w:trPr>
          <w:trHeight w:val="280"/>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spectrum revenue</w:t>
            </w:r>
          </w:p>
        </w:tc>
        <w:tc>
          <w:tcPr>
            <w:tcW w:w="86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6,501</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-1732915</wp:posOffset>
            </wp:positionV>
            <wp:extent cx="6426200" cy="1739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8">
                      <a:extLst>
                        <a:ext uri="{28A0092B-C50C-407E-A947-70E740481C1C}"/>
                      </a:extLst>
                    </a:blip>
                    <a:srcRect/>
                    <a:stretch>
                      <a:fillRect/>
                    </a:stretch>
                  </pic:blipFill>
                  <pic:spPr bwMode="auto">
                    <a:xfrm>
                      <a:off x="0" y="0"/>
                      <a:ext cx="6426200" cy="1739900"/>
                    </a:xfrm>
                    <a:prstGeom prst="rect">
                      <a:avLst/>
                    </a:prstGeom>
                    <a:noFill/>
                  </pic:spPr>
                </pic:pic>
              </a:graphicData>
            </a:graphic>
          </wp:anchor>
        </w:drawing>
      </w:r>
    </w:p>
    <w:p>
      <w:pPr>
        <w:spacing w:after="0" w:line="8" w:lineRule="exact"/>
        <w:rPr>
          <w:sz w:val="20"/>
          <w:szCs w:val="20"/>
          <w:color w:val="auto"/>
        </w:rPr>
      </w:pPr>
    </w:p>
    <w:p>
      <w:pPr>
        <w:ind w:left="370" w:right="180" w:hanging="370"/>
        <w:spacing w:after="0" w:line="260" w:lineRule="auto"/>
        <w:tabs>
          <w:tab w:leader="none" w:pos="37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commenced revenue recognition in connection with the delivery of cleared 900 MHz Broadband Spectrum and the associated broadband licenses to TECO in June 2025.</w:t>
      </w:r>
    </w:p>
    <w:p>
      <w:pPr>
        <w:spacing w:after="0" w:line="1" w:lineRule="exact"/>
        <w:rPr>
          <w:rFonts w:ascii="Times New Roman" w:cs="Times New Roman" w:eastAsia="Times New Roman" w:hAnsi="Times New Roman"/>
          <w:sz w:val="20"/>
          <w:szCs w:val="20"/>
          <w:color w:val="auto"/>
        </w:rPr>
      </w:pPr>
    </w:p>
    <w:p>
      <w:pPr>
        <w:ind w:left="370" w:right="940" w:hanging="370"/>
        <w:spacing w:after="0" w:line="260" w:lineRule="auto"/>
        <w:tabs>
          <w:tab w:leader="none" w:pos="37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the Company recognized all the revenue associated with the 2014 Motorola spectrum agreement.</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900 MHz Broadband Spectrum Lease Agreements</w:t>
      </w:r>
    </w:p>
    <w:p>
      <w:pPr>
        <w:spacing w:after="0" w:line="134" w:lineRule="exact"/>
        <w:rPr>
          <w:sz w:val="20"/>
          <w:szCs w:val="20"/>
          <w:color w:val="auto"/>
        </w:rPr>
      </w:pPr>
    </w:p>
    <w:p>
      <w:pPr>
        <w:ind w:left="10" w:right="10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provides information regarding the Company’s spectrum lease agreements (as defined in the table below and collectively referred to as the “Spectrum Lease Agreements”) as of March 31, 2026:</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Spectrum Lease Agreements </w:t>
            </w:r>
            <w:r>
              <w:rPr>
                <w:rFonts w:ascii="Times New Roman" w:cs="Times New Roman" w:eastAsia="Times New Roman" w:hAnsi="Times New Roman"/>
                <w:sz w:val="26"/>
                <w:szCs w:val="26"/>
                <w:b w:val="1"/>
                <w:bCs w:val="1"/>
                <w:color w:val="auto"/>
                <w:vertAlign w:val="superscript"/>
              </w:rPr>
              <w:t>(1)</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92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Initial</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Renewal</w:t>
            </w:r>
          </w:p>
        </w:tc>
        <w:tc>
          <w:tcPr>
            <w:tcW w:w="1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4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Term</w:t>
            </w: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580" w:type="dxa"/>
            <w:vAlign w:val="bottom"/>
            <w:tcBorders>
              <w:bottom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b w:val="1"/>
                <w:bCs w:val="1"/>
                <w:color w:val="auto"/>
                <w:w w:val="98"/>
              </w:rPr>
              <w:t xml:space="preserve">Consideration </w:t>
            </w:r>
            <w:r>
              <w:rPr>
                <w:rFonts w:ascii="Times New Roman" w:cs="Times New Roman" w:eastAsia="Times New Roman" w:hAnsi="Times New Roman"/>
                <w:sz w:val="26"/>
                <w:szCs w:val="26"/>
                <w:b w:val="1"/>
                <w:bCs w:val="1"/>
                <w:color w:val="auto"/>
                <w:w w:val="98"/>
                <w:vertAlign w:val="superscript"/>
              </w:rPr>
              <w:t>(2)</w:t>
            </w: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182"/>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Ameren Corporation (“Ameren”)</w:t>
            </w:r>
          </w:p>
        </w:tc>
        <w:tc>
          <w:tcPr>
            <w:tcW w:w="120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color w:val="auto"/>
              </w:rPr>
              <w:t>December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30 - years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10 - years</w:t>
            </w: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$47.7 million</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$31.4 million</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$16.3 million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65"/>
        </w:trPr>
        <w:tc>
          <w:tcPr>
            <w:tcW w:w="2880" w:type="dxa"/>
            <w:vAlign w:val="bottom"/>
            <w:vMerge w:val="continue"/>
          </w:tcPr>
          <w:p>
            <w:pPr>
              <w:spacing w:after="0"/>
              <w:rPr>
                <w:sz w:val="23"/>
                <w:szCs w:val="23"/>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2020</w:t>
            </w:r>
          </w:p>
        </w:tc>
        <w:tc>
          <w:tcPr>
            <w:tcW w:w="92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158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Evergy Services, Inc. (“Evergy”)</w:t>
            </w:r>
          </w:p>
        </w:tc>
        <w:tc>
          <w:tcPr>
            <w:tcW w:w="1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September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20 - years</w:t>
            </w:r>
          </w:p>
        </w:tc>
        <w:tc>
          <w:tcPr>
            <w:tcW w:w="9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 x 10 -</w:t>
            </w: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$30.2 million</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$30.2 million</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80" w:type="dxa"/>
            <w:vAlign w:val="bottom"/>
            <w:vMerge w:val="continue"/>
          </w:tcPr>
          <w:p>
            <w:pPr>
              <w:spacing w:after="0"/>
              <w:rPr>
                <w:sz w:val="22"/>
                <w:szCs w:val="22"/>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2021</w:t>
            </w:r>
          </w:p>
        </w:tc>
        <w:tc>
          <w:tcPr>
            <w:tcW w:w="920" w:type="dxa"/>
            <w:vAlign w:val="bottom"/>
            <w:vMerge w:val="continue"/>
          </w:tcPr>
          <w:p>
            <w:pPr>
              <w:spacing w:after="0"/>
              <w:rPr>
                <w:sz w:val="22"/>
                <w:szCs w:val="2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years</w:t>
            </w:r>
          </w:p>
        </w:tc>
        <w:tc>
          <w:tcPr>
            <w:tcW w:w="158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88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Xcel Energy Services Inc. (“Xcel</w:t>
            </w:r>
          </w:p>
        </w:tc>
        <w:tc>
          <w:tcPr>
            <w:tcW w:w="1200" w:type="dxa"/>
            <w:vAlign w:val="bottom"/>
          </w:tcPr>
          <w:p>
            <w:pPr>
              <w:ind w:left="180"/>
              <w:spacing w:after="0" w:line="205" w:lineRule="exact"/>
              <w:rPr>
                <w:sz w:val="20"/>
                <w:szCs w:val="20"/>
                <w:color w:val="auto"/>
              </w:rPr>
            </w:pPr>
            <w:r>
              <w:rPr>
                <w:rFonts w:ascii="Times New Roman" w:cs="Times New Roman" w:eastAsia="Times New Roman" w:hAnsi="Times New Roman"/>
                <w:sz w:val="20"/>
                <w:szCs w:val="20"/>
                <w:color w:val="auto"/>
              </w:rPr>
              <w:t>October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20 - years</w:t>
            </w:r>
          </w:p>
        </w:tc>
        <w:tc>
          <w:tcPr>
            <w:tcW w:w="96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2 x 10 -</w:t>
            </w: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$80.0 million</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$76.0 million</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$4.0 million </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265"/>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Energy”)</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2022</w:t>
            </w:r>
          </w:p>
        </w:tc>
        <w:tc>
          <w:tcPr>
            <w:tcW w:w="920" w:type="dxa"/>
            <w:vAlign w:val="bottom"/>
            <w:vMerge w:val="continue"/>
          </w:tcPr>
          <w:p>
            <w:pPr>
              <w:spacing w:after="0"/>
              <w:rPr>
                <w:sz w:val="23"/>
                <w:szCs w:val="23"/>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years</w:t>
            </w:r>
          </w:p>
        </w:tc>
        <w:tc>
          <w:tcPr>
            <w:tcW w:w="158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Tampa Electric Company</w:t>
            </w:r>
          </w:p>
        </w:tc>
        <w:tc>
          <w:tcPr>
            <w:tcW w:w="1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November</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20 - years</w:t>
            </w:r>
          </w:p>
        </w:tc>
        <w:tc>
          <w:tcPr>
            <w:tcW w:w="9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 x 10 -</w:t>
            </w: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$34.5 million</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$34.5 million</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(“TECO”)</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2023</w:t>
            </w:r>
          </w:p>
        </w:tc>
        <w:tc>
          <w:tcPr>
            <w:tcW w:w="920" w:type="dxa"/>
            <w:vAlign w:val="bottom"/>
            <w:vMerge w:val="continue"/>
          </w:tcPr>
          <w:p>
            <w:pPr>
              <w:spacing w:after="0"/>
              <w:rPr>
                <w:sz w:val="22"/>
                <w:szCs w:val="2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years</w:t>
            </w:r>
          </w:p>
        </w:tc>
        <w:tc>
          <w:tcPr>
            <w:tcW w:w="158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-1184910</wp:posOffset>
            </wp:positionV>
            <wp:extent cx="6540500" cy="1206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9">
                      <a:extLst>
                        <a:ext uri="{28A0092B-C50C-407E-A947-70E740481C1C}"/>
                      </a:extLst>
                    </a:blip>
                    <a:srcRect/>
                    <a:stretch>
                      <a:fillRect/>
                    </a:stretch>
                  </pic:blipFill>
                  <pic:spPr bwMode="auto">
                    <a:xfrm>
                      <a:off x="0" y="0"/>
                      <a:ext cx="6540500" cy="1206500"/>
                    </a:xfrm>
                    <a:prstGeom prst="rect">
                      <a:avLst/>
                    </a:prstGeom>
                    <a:noFill/>
                  </pic:spPr>
                </pic:pic>
              </a:graphicData>
            </a:graphic>
          </wp:anchor>
        </w:drawing>
      </w:r>
    </w:p>
    <w:p>
      <w:pPr>
        <w:spacing w:after="0" w:line="255" w:lineRule="exact"/>
        <w:rPr>
          <w:sz w:val="20"/>
          <w:szCs w:val="20"/>
          <w:color w:val="auto"/>
        </w:rPr>
      </w:pPr>
    </w:p>
    <w:p>
      <w:pPr>
        <w:ind w:left="370" w:right="180" w:hanging="370"/>
        <w:spacing w:after="0" w:line="254" w:lineRule="auto"/>
        <w:tabs>
          <w:tab w:leader="none" w:pos="37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Spectrum Lease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w:t>
      </w:r>
    </w:p>
    <w:p>
      <w:pPr>
        <w:ind w:left="370" w:right="260" w:hanging="370"/>
        <w:spacing w:after="0" w:line="233" w:lineRule="auto"/>
        <w:tabs>
          <w:tab w:leader="none" w:pos="37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ASC 606, the payments of prepaid fees under the spectrum lease agreements will be accounted for as deferred revenue on the Company’s Consolidated Balance Sheets. Revenue is recognized over time as the performance obligations of clearing the 900 MHz Broadband Spectrum and the associated broadband leases are delivered by the respective county, over the contractual term.</w:t>
      </w:r>
    </w:p>
    <w:p>
      <w:pPr>
        <w:spacing w:after="0" w:line="2" w:lineRule="exact"/>
        <w:rPr>
          <w:rFonts w:ascii="Times New Roman" w:cs="Times New Roman" w:eastAsia="Times New Roman" w:hAnsi="Times New Roman"/>
          <w:sz w:val="20"/>
          <w:szCs w:val="20"/>
          <w:color w:val="auto"/>
        </w:rPr>
      </w:pPr>
    </w:p>
    <w:p>
      <w:pPr>
        <w:ind w:left="370" w:right="120" w:hanging="370"/>
        <w:spacing w:after="0" w:line="238" w:lineRule="auto"/>
        <w:tabs>
          <w:tab w:leader="none" w:pos="37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payments of $16.3 million, excluding potential penalties, for the 30-year initial term are due by mid-2026, per the terms of the Ameren Agreements and as the Company delivers the relevant cleared 900 MHz Broadband Spectrum and the associated broadband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252730</wp:posOffset>
                </wp:positionV>
                <wp:extent cx="65055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9.9pt" to="512.6pt,19.9pt" o:allowincell="f" strokecolor="#000000" strokeweight="1pt"/>
            </w:pict>
          </mc:Fallback>
        </mc:AlternateContent>
      </w:r>
    </w:p>
    <w:p>
      <w:pPr>
        <w:sectPr>
          <w:pgSz w:w="12240" w:h="15840" w:orient="portrait"/>
          <w:cols w:equalWidth="0" w:num="1">
            <w:col w:w="10270"/>
          </w:cols>
          <w:pgMar w:left="990" w:top="201" w:right="980" w:bottom="0" w:gutter="0" w:footer="0" w:header="0"/>
        </w:sectPr>
      </w:pPr>
    </w:p>
    <w:p>
      <w:pPr>
        <w:spacing w:after="0" w:line="200" w:lineRule="exact"/>
        <w:rPr>
          <w:sz w:val="20"/>
          <w:szCs w:val="20"/>
          <w:color w:val="auto"/>
        </w:rPr>
      </w:pPr>
    </w:p>
    <w:p>
      <w:pPr>
        <w:spacing w:after="0" w:line="225"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19"/>
          <w:szCs w:val="19"/>
          <w:color w:val="auto"/>
        </w:rPr>
        <w:t>Page F- 17</w:t>
      </w:r>
    </w:p>
    <w:p>
      <w:pPr>
        <w:sectPr>
          <w:pgSz w:w="12240" w:h="15840" w:orient="portrait"/>
          <w:cols w:equalWidth="0" w:num="1">
            <w:col w:w="10270"/>
          </w:cols>
          <w:pgMar w:left="990" w:top="201" w:right="980" w:bottom="0" w:gutter="0" w:footer="0" w:header="0"/>
          <w:type w:val="continuous"/>
        </w:sectPr>
      </w:pPr>
    </w:p>
    <w:bookmarkStart w:id="70" w:name="page71"/>
    <w:bookmarkEnd w:id="70"/>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370" w:right="300" w:hanging="370"/>
        <w:spacing w:after="0" w:line="255" w:lineRule="auto"/>
        <w:tabs>
          <w:tab w:leader="none" w:pos="37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payments of $4.0 million, excluding potential penalties, for the 20-year initial term are due by mid-2028, per the terms of the Xcel Energy Agreement and as the Company delivers the relevant cleared 900 MHz Broadband Spectrum and the associated broadband leases.</w:t>
      </w:r>
    </w:p>
    <w:p>
      <w:pPr>
        <w:spacing w:after="0" w:line="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900 MHz Broadband Spectrum Sale Agreements</w:t>
      </w:r>
    </w:p>
    <w:p>
      <w:pPr>
        <w:spacing w:after="0" w:line="134" w:lineRule="exact"/>
        <w:rPr>
          <w:sz w:val="20"/>
          <w:szCs w:val="20"/>
          <w:color w:val="auto"/>
        </w:rPr>
      </w:pPr>
    </w:p>
    <w:p>
      <w:pPr>
        <w:ind w:left="10" w:right="60" w:firstLine="720"/>
        <w:spacing w:after="0" w:line="260" w:lineRule="auto"/>
        <w:rPr>
          <w:sz w:val="20"/>
          <w:szCs w:val="20"/>
          <w:color w:val="auto"/>
        </w:rPr>
      </w:pPr>
      <w:r>
        <w:rPr>
          <w:rFonts w:ascii="Times New Roman" w:cs="Times New Roman" w:eastAsia="Times New Roman" w:hAnsi="Times New Roman"/>
          <w:sz w:val="20"/>
          <w:szCs w:val="20"/>
          <w:color w:val="auto"/>
        </w:rPr>
        <w:t xml:space="preserve">As a result of the Company’s business strategy evolution and the introduction of the Company’s new brand and visual identity in the fourth quarter of fiscal 2026, as described in the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sale agreements entered into in subsequent to this shift are considered completed in the ordinary course of business and are included as revenue agreements.</w:t>
      </w:r>
    </w:p>
    <w:p>
      <w:pPr>
        <w:spacing w:after="0" w:line="83" w:lineRule="exact"/>
        <w:rPr>
          <w:sz w:val="20"/>
          <w:szCs w:val="20"/>
          <w:color w:val="auto"/>
        </w:rPr>
      </w:pPr>
    </w:p>
    <w:p>
      <w:pPr>
        <w:ind w:left="10" w:right="100"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provides information regarding the Company’s spectrum sale agreements entered into after December 2025 (as defined in the table below and collectively referred to as the “Spectrum Sale Agreements”) as of March 31, 2026:</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Broadband Broadband</w:t>
            </w:r>
          </w:p>
        </w:tc>
        <w:tc>
          <w:tcPr>
            <w:tcW w:w="0" w:type="dxa"/>
            <w:vAlign w:val="bottom"/>
          </w:tcPr>
          <w:p>
            <w:pPr>
              <w:spacing w:after="0"/>
              <w:rPr>
                <w:sz w:val="1"/>
                <w:szCs w:val="1"/>
                <w:color w:val="auto"/>
              </w:rPr>
            </w:pPr>
          </w:p>
        </w:tc>
      </w:tr>
      <w:tr>
        <w:trPr>
          <w:trHeight w:val="200"/>
        </w:trPr>
        <w:tc>
          <w:tcPr>
            <w:tcW w:w="2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Spectrum Sale Agreements </w:t>
            </w:r>
            <w:r>
              <w:rPr>
                <w:rFonts w:ascii="Times New Roman" w:cs="Times New Roman" w:eastAsia="Times New Roman" w:hAnsi="Times New Roman"/>
                <w:sz w:val="26"/>
                <w:szCs w:val="26"/>
                <w:b w:val="1"/>
                <w:bCs w:val="1"/>
                <w:color w:val="auto"/>
                <w:vertAlign w:val="superscript"/>
              </w:rPr>
              <w:t>(1)</w:t>
            </w:r>
          </w:p>
        </w:tc>
        <w:tc>
          <w:tcPr>
            <w:tcW w:w="12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6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104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0" w:type="dxa"/>
            <w:vAlign w:val="bottom"/>
          </w:tcPr>
          <w:p>
            <w:pPr>
              <w:spacing w:after="0"/>
              <w:rPr>
                <w:sz w:val="1"/>
                <w:szCs w:val="1"/>
                <w:color w:val="auto"/>
              </w:rPr>
            </w:pPr>
          </w:p>
        </w:tc>
      </w:tr>
      <w:tr>
        <w:trPr>
          <w:trHeight w:val="263"/>
        </w:trPr>
        <w:tc>
          <w:tcPr>
            <w:tcW w:w="280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1520" w:type="dxa"/>
            <w:vAlign w:val="bottom"/>
            <w:tcBorders>
              <w:bottom w:val="single" w:sz="8" w:color="auto"/>
            </w:tcBorders>
          </w:tcPr>
          <w:p>
            <w:pPr>
              <w:ind w:left="40"/>
              <w:spacing w:after="0" w:line="263" w:lineRule="exact"/>
              <w:rPr>
                <w:sz w:val="20"/>
                <w:szCs w:val="20"/>
                <w:color w:val="auto"/>
              </w:rPr>
            </w:pPr>
            <w:r>
              <w:rPr>
                <w:rFonts w:ascii="Times New Roman" w:cs="Times New Roman" w:eastAsia="Times New Roman" w:hAnsi="Times New Roman"/>
                <w:sz w:val="20"/>
                <w:szCs w:val="20"/>
                <w:b w:val="1"/>
                <w:bCs w:val="1"/>
                <w:color w:val="auto"/>
                <w:w w:val="99"/>
              </w:rPr>
              <w:t xml:space="preserve">Consideration </w:t>
            </w:r>
            <w:r>
              <w:rPr>
                <w:rFonts w:ascii="Times New Roman" w:cs="Times New Roman" w:eastAsia="Times New Roman" w:hAnsi="Times New Roman"/>
                <w:sz w:val="26"/>
                <w:szCs w:val="26"/>
                <w:b w:val="1"/>
                <w:bCs w:val="1"/>
                <w:color w:val="auto"/>
                <w:w w:val="99"/>
                <w:vertAlign w:val="superscript"/>
              </w:rPr>
              <w:t>(2)</w:t>
            </w: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delivered</w:t>
            </w: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182"/>
        </w:trPr>
        <w:tc>
          <w:tcPr>
            <w:tcW w:w="2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CPS Energy (“CPS”)</w:t>
            </w:r>
          </w:p>
        </w:tc>
        <w:tc>
          <w:tcPr>
            <w:tcW w:w="120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color w:val="auto"/>
              </w:rPr>
              <w:t>January</w:t>
            </w: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$13.0 million</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$6.5 million</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$6.5 million</w:t>
            </w:r>
          </w:p>
        </w:tc>
        <w:tc>
          <w:tcPr>
            <w:tcW w:w="116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2800" w:type="dxa"/>
            <w:vAlign w:val="bottom"/>
            <w:vMerge w:val="continue"/>
          </w:tcPr>
          <w:p>
            <w:pPr>
              <w:spacing w:after="0"/>
              <w:rPr>
                <w:sz w:val="22"/>
                <w:szCs w:val="22"/>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2026</w:t>
            </w:r>
          </w:p>
        </w:tc>
        <w:tc>
          <w:tcPr>
            <w:tcW w:w="152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8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Texas-New Mexico Power</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March 2026</w:t>
            </w: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$3.2 million</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$3.2 million</w:t>
            </w:r>
          </w:p>
        </w:tc>
        <w:tc>
          <w:tcPr>
            <w:tcW w:w="116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6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 (“TNMP”)</w:t>
            </w:r>
          </w:p>
        </w:tc>
        <w:tc>
          <w:tcPr>
            <w:tcW w:w="1200" w:type="dxa"/>
            <w:vAlign w:val="bottom"/>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NorthWestern Energy (“NWE”)</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March 2026</w:t>
            </w:r>
          </w:p>
        </w:tc>
        <w:tc>
          <w:tcPr>
            <w:tcW w:w="1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$7.7 million</w:t>
            </w:r>
          </w:p>
        </w:tc>
        <w:tc>
          <w:tcPr>
            <w:tcW w:w="1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$7.7 million</w:t>
            </w:r>
          </w:p>
        </w:tc>
        <w:tc>
          <w:tcPr>
            <w:tcW w:w="1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-889635</wp:posOffset>
            </wp:positionV>
            <wp:extent cx="6540500" cy="911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0">
                      <a:extLst>
                        <a:ext uri="{28A0092B-C50C-407E-A947-70E740481C1C}"/>
                      </a:extLst>
                    </a:blip>
                    <a:srcRect/>
                    <a:stretch>
                      <a:fillRect/>
                    </a:stretch>
                  </pic:blipFill>
                  <pic:spPr bwMode="auto">
                    <a:xfrm>
                      <a:off x="0" y="0"/>
                      <a:ext cx="6540500" cy="911225"/>
                    </a:xfrm>
                    <a:prstGeom prst="rect">
                      <a:avLst/>
                    </a:prstGeom>
                    <a:noFill/>
                  </pic:spPr>
                </pic:pic>
              </a:graphicData>
            </a:graphic>
          </wp:anchor>
        </w:drawing>
      </w:r>
    </w:p>
    <w:p>
      <w:pPr>
        <w:spacing w:after="0" w:line="151" w:lineRule="exact"/>
        <w:rPr>
          <w:sz w:val="20"/>
          <w:szCs w:val="20"/>
          <w:color w:val="auto"/>
        </w:rPr>
      </w:pPr>
    </w:p>
    <w:p>
      <w:pPr>
        <w:ind w:left="370" w:right="180" w:hanging="370"/>
        <w:spacing w:after="0" w:line="260" w:lineRule="auto"/>
        <w:tabs>
          <w:tab w:leader="none" w:pos="37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w:t>
      </w:r>
    </w:p>
    <w:p>
      <w:pPr>
        <w:spacing w:after="0" w:line="1" w:lineRule="exact"/>
        <w:rPr>
          <w:rFonts w:ascii="Times New Roman" w:cs="Times New Roman" w:eastAsia="Times New Roman" w:hAnsi="Times New Roman"/>
          <w:sz w:val="19"/>
          <w:szCs w:val="19"/>
          <w:color w:val="auto"/>
        </w:rPr>
      </w:pPr>
    </w:p>
    <w:p>
      <w:pPr>
        <w:jc w:val="both"/>
        <w:ind w:left="370" w:right="340" w:hanging="370"/>
        <w:spacing w:after="0" w:line="238" w:lineRule="auto"/>
        <w:tabs>
          <w:tab w:leader="none" w:pos="37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ASC 606, the payments of prepaid fees under the spectrum sale agreements will be accounted for as deferred revenue on the Company’s Consolidated Balance Sheets. Revenue will be recognized for each county once we deliver the cleared 900 MHz Broadband Spectrum and the associated broadband licenses.</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Narrowband Spectrum Revenue</w:t>
      </w:r>
    </w:p>
    <w:p>
      <w:pPr>
        <w:spacing w:after="0" w:line="134" w:lineRule="exact"/>
        <w:rPr>
          <w:sz w:val="20"/>
          <w:szCs w:val="20"/>
          <w:color w:val="auto"/>
        </w:rPr>
      </w:pPr>
    </w:p>
    <w:p>
      <w:pPr>
        <w:ind w:left="10" w:right="60" w:firstLine="720"/>
        <w:spacing w:after="0" w:line="258" w:lineRule="auto"/>
        <w:rPr>
          <w:sz w:val="20"/>
          <w:szCs w:val="20"/>
          <w:color w:val="auto"/>
        </w:rPr>
      </w:pPr>
      <w:r>
        <w:rPr>
          <w:rFonts w:ascii="Times New Roman" w:cs="Times New Roman" w:eastAsia="Times New Roman" w:hAnsi="Times New Roman"/>
          <w:sz w:val="20"/>
          <w:szCs w:val="20"/>
          <w:color w:val="auto"/>
        </w:rPr>
        <w:t>In September 2014, Motorola paid the Company an upfront, fully paid fee of $7.5 million in order to use a portion of the Company’s narrowband spectrum licenses. The payment of the fee is accounted for as deferred revenue on the Company’s Consolidated Balance Sheets and is recognized ratably as the service is provided over the contractual term of approximately ten years. As of December 31, 2024, the Company recognized all the revenue associated with the 2014 Motorola spectrum agreement</w:t>
      </w:r>
      <w:r>
        <w:rPr>
          <w:rFonts w:ascii="Times New Roman" w:cs="Times New Roman" w:eastAsia="Times New Roman" w:hAnsi="Times New Roman"/>
          <w:sz w:val="20"/>
          <w:szCs w:val="20"/>
          <w:b w:val="1"/>
          <w:bCs w:val="1"/>
          <w:i w:val="1"/>
          <w:iCs w:val="1"/>
          <w:color w:val="auto"/>
        </w:rPr>
        <w:t>.</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Capitalized Contract Costs</w:t>
      </w:r>
    </w:p>
    <w:p>
      <w:pPr>
        <w:spacing w:after="0" w:line="139" w:lineRule="exact"/>
        <w:rPr>
          <w:sz w:val="20"/>
          <w:szCs w:val="20"/>
          <w:color w:val="auto"/>
        </w:rPr>
      </w:pPr>
    </w:p>
    <w:p>
      <w:pPr>
        <w:ind w:left="10" w:right="80" w:firstLine="720"/>
        <w:spacing w:after="0" w:line="286" w:lineRule="auto"/>
        <w:rPr>
          <w:sz w:val="20"/>
          <w:szCs w:val="20"/>
          <w:color w:val="auto"/>
        </w:rPr>
      </w:pPr>
      <w:r>
        <w:rPr>
          <w:rFonts w:ascii="Times New Roman" w:cs="Times New Roman" w:eastAsia="Times New Roman" w:hAnsi="Times New Roman"/>
          <w:sz w:val="19"/>
          <w:szCs w:val="19"/>
          <w:color w:val="auto"/>
        </w:rPr>
        <w:t>The Company capitalizes incremental costs associated with obtaining a spectrum agreement with a customer, which generally includes sales commissions. Capitalized incremental costs are amortized over the contractual term beginning on the first delivery of a broadband lease. The Company’s capitalized contract costs consisted of the following activity (in thousands):</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year</w:t>
            </w:r>
          </w:p>
        </w:tc>
        <w:tc>
          <w:tcPr>
            <w:tcW w:w="86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1,241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Additions</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w:t>
            </w:r>
          </w:p>
        </w:tc>
      </w:tr>
      <w:tr>
        <w:trPr>
          <w:trHeight w:val="288"/>
        </w:trPr>
        <w:tc>
          <w:tcPr>
            <w:tcW w:w="7340" w:type="dxa"/>
            <w:vAlign w:val="bottom"/>
          </w:tcPr>
          <w:p>
            <w:pPr>
              <w:ind w:left="220"/>
              <w:spacing w:after="0" w:line="288" w:lineRule="exact"/>
              <w:rPr>
                <w:sz w:val="20"/>
                <w:szCs w:val="20"/>
                <w:color w:val="auto"/>
              </w:rPr>
            </w:pPr>
            <w:r>
              <w:rPr>
                <w:rFonts w:ascii="Times New Roman" w:cs="Times New Roman" w:eastAsia="Times New Roman" w:hAnsi="Times New Roman"/>
                <w:sz w:val="20"/>
                <w:szCs w:val="20"/>
                <w:color w:val="auto"/>
              </w:rPr>
              <w:t xml:space="preserve">Amortization </w:t>
            </w:r>
            <w:r>
              <w:rPr>
                <w:rFonts w:ascii="Times New Roman" w:cs="Times New Roman" w:eastAsia="Times New Roman" w:hAnsi="Times New Roman"/>
                <w:sz w:val="26"/>
                <w:szCs w:val="26"/>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year</w:t>
            </w: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w:t>
            </w:r>
          </w:p>
        </w:tc>
      </w:tr>
      <w:tr>
        <w:trPr>
          <w:trHeight w:val="288"/>
        </w:trPr>
        <w:tc>
          <w:tcPr>
            <w:tcW w:w="734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Less amount classified as current assets </w:t>
            </w:r>
            <w:r>
              <w:rPr>
                <w:rFonts w:ascii="Times New Roman" w:cs="Times New Roman" w:eastAsia="Times New Roman" w:hAnsi="Times New Roman"/>
                <w:sz w:val="26"/>
                <w:szCs w:val="26"/>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45"/>
        </w:trPr>
        <w:tc>
          <w:tcPr>
            <w:tcW w:w="73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auto"/>
              </w:rPr>
              <w:t xml:space="preserve">Noncurrent assets </w:t>
            </w:r>
            <w:r>
              <w:rPr>
                <w:rFonts w:ascii="Times New Roman" w:cs="Times New Roman" w:eastAsia="Times New Roman" w:hAnsi="Times New Roman"/>
                <w:sz w:val="26"/>
                <w:szCs w:val="26"/>
                <w:color w:val="auto"/>
                <w:vertAlign w:val="superscript"/>
              </w:rPr>
              <w:t>(2)</w:t>
            </w:r>
          </w:p>
        </w:tc>
        <w:tc>
          <w:tcPr>
            <w:tcW w:w="86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w:t>
            </w:r>
          </w:p>
        </w:tc>
      </w:tr>
      <w:tr>
        <w:trPr>
          <w:trHeight w:val="20"/>
        </w:trPr>
        <w:tc>
          <w:tcPr>
            <w:tcW w:w="7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534150" cy="11366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1">
                      <a:extLst>
                        <a:ext uri="{28A0092B-C50C-407E-A947-70E740481C1C}"/>
                      </a:extLst>
                    </a:blip>
                    <a:srcRect/>
                    <a:stretch>
                      <a:fillRect/>
                    </a:stretch>
                  </pic:blipFill>
                  <pic:spPr bwMode="auto">
                    <a:xfrm>
                      <a:off x="0" y="0"/>
                      <a:ext cx="6534150" cy="1136650"/>
                    </a:xfrm>
                    <a:prstGeom prst="rect">
                      <a:avLst/>
                    </a:prstGeom>
                    <a:noFill/>
                  </pic:spPr>
                </pic:pic>
              </a:graphicData>
            </a:graphic>
          </wp:anchor>
        </w:drawing>
      </w:r>
    </w:p>
    <w:p>
      <w:pPr>
        <w:ind w:left="370" w:right="160" w:hanging="370"/>
        <w:spacing w:after="0" w:line="260" w:lineRule="auto"/>
        <w:tabs>
          <w:tab w:leader="none" w:pos="37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the change in commission plan and the Company’s approach to monetizing its spectrum, the Company accelerated the amortization of approximately $0.9 million of certain outstanding capitalized assets as of March 31, 2026.</w:t>
      </w:r>
    </w:p>
    <w:p>
      <w:pPr>
        <w:spacing w:after="0" w:line="1" w:lineRule="exact"/>
        <w:rPr>
          <w:rFonts w:ascii="Times New Roman" w:cs="Times New Roman" w:eastAsia="Times New Roman" w:hAnsi="Times New Roman"/>
          <w:sz w:val="20"/>
          <w:szCs w:val="20"/>
          <w:color w:val="auto"/>
        </w:rPr>
      </w:pPr>
    </w:p>
    <w:p>
      <w:pPr>
        <w:ind w:left="370" w:right="160" w:hanging="370"/>
        <w:spacing w:after="0" w:line="260" w:lineRule="auto"/>
        <w:tabs>
          <w:tab w:leader="none" w:pos="37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assets are recorded as prepaid expenses and other current assets and noncurrent assets are recorded as other assets on the Company’s Consolidated Balance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963295</wp:posOffset>
                </wp:positionV>
                <wp:extent cx="65055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5.85pt" to="512.6pt,75.85pt" o:allowincell="f" strokecolor="#000000" strokeweight="1pt"/>
            </w:pict>
          </mc:Fallback>
        </mc:AlternateContent>
      </w:r>
    </w:p>
    <w:p>
      <w:pPr>
        <w:sectPr>
          <w:pgSz w:w="12240" w:h="15840" w:orient="portrait"/>
          <w:cols w:equalWidth="0" w:num="1">
            <w:col w:w="10270"/>
          </w:cols>
          <w:pgMar w:left="99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19"/>
          <w:szCs w:val="19"/>
          <w:color w:val="auto"/>
        </w:rPr>
        <w:t>Page F- 18</w:t>
      </w:r>
    </w:p>
    <w:p>
      <w:pPr>
        <w:sectPr>
          <w:pgSz w:w="12240" w:h="15840" w:orient="portrait"/>
          <w:cols w:equalWidth="0" w:num="1">
            <w:col w:w="10270"/>
          </w:cols>
          <w:pgMar w:left="990" w:top="201" w:right="980" w:bottom="0" w:gutter="0" w:footer="0" w:header="0"/>
          <w:type w:val="continuous"/>
        </w:sectPr>
      </w:pPr>
    </w:p>
    <w:bookmarkStart w:id="71" w:name="page72"/>
    <w:bookmarkEnd w:id="71"/>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w:t>
      </w:r>
    </w:p>
    <w:p>
      <w:pPr>
        <w:spacing w:after="0" w:line="139" w:lineRule="exact"/>
        <w:rPr>
          <w:sz w:val="20"/>
          <w:szCs w:val="20"/>
          <w:color w:val="auto"/>
        </w:rPr>
      </w:pPr>
    </w:p>
    <w:p>
      <w:pPr>
        <w:ind w:left="10" w:right="40" w:firstLine="720"/>
        <w:spacing w:after="0" w:line="266" w:lineRule="auto"/>
        <w:rPr>
          <w:sz w:val="20"/>
          <w:szCs w:val="20"/>
          <w:color w:val="auto"/>
        </w:rPr>
      </w:pPr>
      <w:r>
        <w:rPr>
          <w:rFonts w:ascii="Times New Roman" w:cs="Times New Roman" w:eastAsia="Times New Roman" w:hAnsi="Times New Roman"/>
          <w:sz w:val="20"/>
          <w:szCs w:val="20"/>
          <w:color w:val="auto"/>
        </w:rPr>
        <w:t>Contract liabilities primarily relate to advanced consideration received from customers in connection with spectrum revenue agreements, for which revenue is recognized over the term of each delivered broadband lease. The Company’s contract liabilities consisted of the following activity (in thousands):</w:t>
      </w:r>
    </w:p>
    <w:p>
      <w:pPr>
        <w:spacing w:after="0" w:line="31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year</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124,672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122,212</w:t>
            </w:r>
          </w:p>
        </w:tc>
      </w:tr>
      <w:tr>
        <w:trPr>
          <w:trHeight w:val="310"/>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 xml:space="preserve">Net additions </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8,491</w:t>
            </w:r>
          </w:p>
        </w:tc>
      </w:tr>
      <w:tr>
        <w:trPr>
          <w:trHeight w:val="263"/>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Revenue recognized</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(6,501)</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(6,031)</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year</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161,178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124,672</w:t>
            </w:r>
          </w:p>
        </w:tc>
      </w:tr>
      <w:tr>
        <w:trPr>
          <w:trHeight w:val="288"/>
        </w:trPr>
        <w:tc>
          <w:tcPr>
            <w:tcW w:w="734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Less amount classified as current liabilities </w:t>
            </w:r>
            <w:r>
              <w:rPr>
                <w:rFonts w:ascii="Times New Roman" w:cs="Times New Roman" w:eastAsia="Times New Roman" w:hAnsi="Times New Roman"/>
                <w:sz w:val="26"/>
                <w:szCs w:val="26"/>
                <w:color w:val="auto"/>
                <w:vertAlign w:val="superscript"/>
              </w:rPr>
              <w:t>(2)</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(14,513)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(6,095)</w:t>
            </w:r>
          </w:p>
        </w:tc>
      </w:tr>
      <w:tr>
        <w:trPr>
          <w:trHeight w:val="245"/>
        </w:trPr>
        <w:tc>
          <w:tcPr>
            <w:tcW w:w="7340" w:type="dxa"/>
            <w:vAlign w:val="bottom"/>
          </w:tcPr>
          <w:p>
            <w:pPr>
              <w:spacing w:after="0" w:line="245" w:lineRule="exact"/>
              <w:rPr>
                <w:sz w:val="20"/>
                <w:szCs w:val="20"/>
                <w:color w:val="auto"/>
              </w:rPr>
            </w:pPr>
            <w:r>
              <w:rPr>
                <w:rFonts w:ascii="Times New Roman" w:cs="Times New Roman" w:eastAsia="Times New Roman" w:hAnsi="Times New Roman"/>
                <w:sz w:val="20"/>
                <w:szCs w:val="20"/>
                <w:color w:val="auto"/>
              </w:rPr>
              <w:t xml:space="preserve">Noncurrent liabilities </w:t>
            </w:r>
            <w:r>
              <w:rPr>
                <w:rFonts w:ascii="Times New Roman" w:cs="Times New Roman" w:eastAsia="Times New Roman" w:hAnsi="Times New Roman"/>
                <w:sz w:val="26"/>
                <w:szCs w:val="26"/>
                <w:color w:val="auto"/>
                <w:vertAlign w:val="superscript"/>
              </w:rPr>
              <w:t>(2)</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146,665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118,577</w:t>
            </w:r>
          </w:p>
        </w:tc>
      </w:tr>
      <w:tr>
        <w:trPr>
          <w:trHeight w:val="20"/>
        </w:trPr>
        <w:tc>
          <w:tcPr>
            <w:tcW w:w="7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534150" cy="11366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2">
                      <a:extLst>
                        <a:ext uri="{28A0092B-C50C-407E-A947-70E740481C1C}"/>
                      </a:extLst>
                    </a:blip>
                    <a:srcRect/>
                    <a:stretch>
                      <a:fillRect/>
                    </a:stretch>
                  </pic:blipFill>
                  <pic:spPr bwMode="auto">
                    <a:xfrm>
                      <a:off x="0" y="0"/>
                      <a:ext cx="6534150" cy="1136650"/>
                    </a:xfrm>
                    <a:prstGeom prst="rect">
                      <a:avLst/>
                    </a:prstGeom>
                    <a:noFill/>
                  </pic:spPr>
                </pic:pic>
              </a:graphicData>
            </a:graphic>
          </wp:anchor>
        </w:drawing>
      </w:r>
    </w:p>
    <w:p>
      <w:pPr>
        <w:spacing w:after="0" w:line="108" w:lineRule="exact"/>
        <w:rPr>
          <w:sz w:val="20"/>
          <w:szCs w:val="20"/>
          <w:color w:val="auto"/>
        </w:rPr>
      </w:pPr>
    </w:p>
    <w:p>
      <w:pPr>
        <w:ind w:left="370" w:right="80" w:hanging="370"/>
        <w:spacing w:after="0" w:line="260" w:lineRule="auto"/>
        <w:tabs>
          <w:tab w:leader="none" w:pos="37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milestone payments received from customer contracts pursuant to the terms of the associated spectrum revenue agreements, net of delivery delay adjustments.</w:t>
      </w:r>
    </w:p>
    <w:p>
      <w:pPr>
        <w:spacing w:after="0" w:line="1" w:lineRule="exact"/>
        <w:rPr>
          <w:rFonts w:ascii="Times New Roman" w:cs="Times New Roman" w:eastAsia="Times New Roman" w:hAnsi="Times New Roman"/>
          <w:sz w:val="20"/>
          <w:szCs w:val="20"/>
          <w:color w:val="auto"/>
        </w:rPr>
      </w:pPr>
    </w:p>
    <w:p>
      <w:pPr>
        <w:ind w:left="370" w:right="460" w:hanging="370"/>
        <w:spacing w:after="0" w:line="260" w:lineRule="auto"/>
        <w:tabs>
          <w:tab w:leader="none" w:pos="37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liabilities and noncurrent liabilities are recorded as deferred revenue on the Company’s Consolidated Balance Sheets.</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139" w:lineRule="exact"/>
        <w:rPr>
          <w:sz w:val="20"/>
          <w:szCs w:val="20"/>
          <w:color w:val="auto"/>
        </w:rPr>
      </w:pPr>
    </w:p>
    <w:p>
      <w:pPr>
        <w:ind w:left="10" w:firstLine="720"/>
        <w:spacing w:after="0" w:line="278" w:lineRule="auto"/>
        <w:rPr>
          <w:sz w:val="20"/>
          <w:szCs w:val="20"/>
          <w:color w:val="auto"/>
        </w:rPr>
      </w:pPr>
      <w:r>
        <w:rPr>
          <w:rFonts w:ascii="Times New Roman" w:cs="Times New Roman" w:eastAsia="Times New Roman" w:hAnsi="Times New Roman"/>
          <w:sz w:val="19"/>
          <w:szCs w:val="19"/>
          <w:color w:val="auto"/>
        </w:rPr>
        <w:t>Revenue allocated to remaining performance obligations of the Company’s contracts represents contracted revenue that will be recognized in future periods. Total performance obligations include deferred revenue (i.e., contract liabilities) as well as amounts that will be invoiced and recognized in future periods. Revenue allocated to remaining performance obligations was $198.9 million as of March 31, 2026, which will be recognized over the remaining contract terms up to 30 years.</w:t>
      </w:r>
    </w:p>
    <w:p>
      <w:pPr>
        <w:spacing w:after="0" w:line="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4. Segment Reporting</w:t>
      </w:r>
    </w:p>
    <w:p>
      <w:pPr>
        <w:spacing w:after="0" w:line="113" w:lineRule="exact"/>
        <w:rPr>
          <w:sz w:val="20"/>
          <w:szCs w:val="20"/>
          <w:color w:val="auto"/>
        </w:rPr>
      </w:pPr>
    </w:p>
    <w:p>
      <w:pPr>
        <w:ind w:left="10" w:right="20" w:firstLine="720"/>
        <w:spacing w:after="0" w:line="262" w:lineRule="auto"/>
        <w:rPr>
          <w:sz w:val="20"/>
          <w:szCs w:val="20"/>
          <w:color w:val="auto"/>
        </w:rPr>
      </w:pPr>
      <w:r>
        <w:rPr>
          <w:rFonts w:ascii="Times New Roman" w:cs="Times New Roman" w:eastAsia="Times New Roman" w:hAnsi="Times New Roman"/>
          <w:sz w:val="20"/>
          <w:szCs w:val="20"/>
          <w:color w:val="auto"/>
        </w:rPr>
        <w:t xml:space="preserve">Accounting Standards Codification,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xml:space="preserve"> (“ASC 280”) defines operating segments as components of an enterprise for which separate financial information is available that is regularly evaluated by the Company’s CODM in deciding how to allocate resources and assess performance. The accounting policies of the segment are the same as those described in Note 2 </w:t>
      </w:r>
      <w:r>
        <w:rPr>
          <w:rFonts w:ascii="Times New Roman" w:cs="Times New Roman" w:eastAsia="Times New Roman" w:hAnsi="Times New Roman"/>
          <w:sz w:val="20"/>
          <w:szCs w:val="20"/>
          <w:b w:val="1"/>
          <w:bCs w:val="1"/>
          <w:i w:val="1"/>
          <w:iCs w:val="1"/>
          <w:color w:val="auto"/>
        </w:rPr>
        <w:t>Summary of Significant Accounting Policies.</w:t>
      </w:r>
    </w:p>
    <w:p>
      <w:pPr>
        <w:spacing w:after="0" w:line="80" w:lineRule="exact"/>
        <w:rPr>
          <w:sz w:val="20"/>
          <w:szCs w:val="20"/>
          <w:color w:val="auto"/>
        </w:rPr>
      </w:pPr>
    </w:p>
    <w:p>
      <w:pPr>
        <w:ind w:left="10" w:firstLine="720"/>
        <w:spacing w:after="0" w:line="256" w:lineRule="auto"/>
        <w:rPr>
          <w:sz w:val="20"/>
          <w:szCs w:val="20"/>
          <w:color w:val="auto"/>
        </w:rPr>
      </w:pPr>
      <w:r>
        <w:rPr>
          <w:rFonts w:ascii="Times New Roman" w:cs="Times New Roman" w:eastAsia="Times New Roman" w:hAnsi="Times New Roman"/>
          <w:sz w:val="20"/>
          <w:szCs w:val="20"/>
          <w:color w:val="auto"/>
        </w:rPr>
        <w:t>The measure of segment profit or loss for the Company’s single segment is net income (loss). Additionally, the CODM uses cash and cash equivalents as a measure of segment assets, which is included on the Company’s consolidated financial statements. Cash and cash equivalents and Net income (loss) are reviewed and monitored by CODM to ensure enough capital is available for investing in purchases of intangible assets, refundable deposits, retuning costs and swaps, and the Company’s share repurchase program. Segment expenses were disaggregated based on the information the CODM is provided on a quarterly basis considering both quantitative and qualitative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3463290</wp:posOffset>
                </wp:positionV>
                <wp:extent cx="65055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2.7pt" to="512.6pt,272.7pt" o:allowincell="f" strokecolor="#000000" strokeweight="1pt"/>
            </w:pict>
          </mc:Fallback>
        </mc:AlternateContent>
      </w:r>
    </w:p>
    <w:p>
      <w:pPr>
        <w:sectPr>
          <w:pgSz w:w="12240" w:h="15840" w:orient="portrait"/>
          <w:cols w:equalWidth="0" w:num="1">
            <w:col w:w="10250"/>
          </w:cols>
          <w:pgMar w:left="99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19"/>
          <w:szCs w:val="19"/>
          <w:color w:val="auto"/>
        </w:rPr>
        <w:t>Page F- 19</w:t>
      </w:r>
    </w:p>
    <w:p>
      <w:pPr>
        <w:sectPr>
          <w:pgSz w:w="12240" w:h="15840" w:orient="portrait"/>
          <w:cols w:equalWidth="0" w:num="1">
            <w:col w:w="10250"/>
          </w:cols>
          <w:pgMar w:left="990" w:top="201" w:right="1000" w:bottom="0" w:gutter="0" w:footer="0" w:header="0"/>
          <w:type w:val="continuous"/>
        </w:sectPr>
      </w:pPr>
    </w:p>
    <w:bookmarkStart w:id="72" w:name="page73"/>
    <w:bookmarkEnd w:id="72"/>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10" w:right="360" w:firstLine="720"/>
        <w:spacing w:after="0" w:line="281" w:lineRule="auto"/>
        <w:rPr>
          <w:sz w:val="20"/>
          <w:szCs w:val="20"/>
          <w:color w:val="auto"/>
        </w:rPr>
      </w:pPr>
      <w:r>
        <w:rPr>
          <w:rFonts w:ascii="Times New Roman" w:cs="Times New Roman" w:eastAsia="Times New Roman" w:hAnsi="Times New Roman"/>
          <w:sz w:val="20"/>
          <w:szCs w:val="20"/>
          <w:color w:val="auto"/>
        </w:rPr>
        <w:t>The table below summarizes significant segment expenses and other items, which represent the difference between segment revenue and segment net income (loss) (in thousands):</w:t>
      </w:r>
    </w:p>
    <w:p>
      <w:pPr>
        <w:spacing w:after="0" w:line="13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Spectrum revenue</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6,031</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Significant segment expenses and other segment items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0"/>
        </w:trPr>
        <w:tc>
          <w:tcPr>
            <w:tcW w:w="7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Adjusted general and administrative </w:t>
            </w:r>
            <w:r>
              <w:rPr>
                <w:rFonts w:ascii="Times New Roman" w:cs="Times New Roman" w:eastAsia="Times New Roman" w:hAnsi="Times New Roman"/>
                <w:sz w:val="26"/>
                <w:szCs w:val="26"/>
                <w:color w:val="auto"/>
                <w:vertAlign w:val="superscript"/>
              </w:rPr>
              <w:t>(1)</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30,654</w:t>
            </w:r>
          </w:p>
        </w:tc>
      </w:tr>
      <w:tr>
        <w:trPr>
          <w:trHeight w:val="285"/>
        </w:trPr>
        <w:tc>
          <w:tcPr>
            <w:tcW w:w="7340" w:type="dxa"/>
            <w:vAlign w:val="bottom"/>
          </w:tcPr>
          <w:p>
            <w:pPr>
              <w:ind w:left="240"/>
              <w:spacing w:after="0" w:line="285" w:lineRule="exact"/>
              <w:rPr>
                <w:sz w:val="20"/>
                <w:szCs w:val="20"/>
                <w:color w:val="auto"/>
              </w:rPr>
            </w:pPr>
            <w:r>
              <w:rPr>
                <w:rFonts w:ascii="Times New Roman" w:cs="Times New Roman" w:eastAsia="Times New Roman" w:hAnsi="Times New Roman"/>
                <w:sz w:val="20"/>
                <w:szCs w:val="20"/>
                <w:color w:val="auto"/>
              </w:rPr>
              <w:t xml:space="preserve">Adjusted sales and support </w:t>
            </w:r>
            <w:r>
              <w:rPr>
                <w:rFonts w:ascii="Times New Roman" w:cs="Times New Roman" w:eastAsia="Times New Roman" w:hAnsi="Times New Roman"/>
                <w:sz w:val="26"/>
                <w:szCs w:val="26"/>
                <w:color w:val="auto"/>
                <w:vertAlign w:val="superscript"/>
              </w:rPr>
              <w:t>(2)</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5,878</w:t>
            </w:r>
          </w:p>
        </w:tc>
      </w:tr>
      <w:tr>
        <w:trPr>
          <w:trHeight w:val="285"/>
        </w:trPr>
        <w:tc>
          <w:tcPr>
            <w:tcW w:w="7340" w:type="dxa"/>
            <w:vAlign w:val="bottom"/>
          </w:tcPr>
          <w:p>
            <w:pPr>
              <w:ind w:left="240"/>
              <w:spacing w:after="0" w:line="285" w:lineRule="exact"/>
              <w:rPr>
                <w:sz w:val="20"/>
                <w:szCs w:val="20"/>
                <w:color w:val="auto"/>
              </w:rPr>
            </w:pPr>
            <w:r>
              <w:rPr>
                <w:rFonts w:ascii="Times New Roman" w:cs="Times New Roman" w:eastAsia="Times New Roman" w:hAnsi="Times New Roman"/>
                <w:sz w:val="20"/>
                <w:szCs w:val="20"/>
                <w:color w:val="auto"/>
              </w:rPr>
              <w:t xml:space="preserve">Adjusted product development </w:t>
            </w:r>
            <w:r>
              <w:rPr>
                <w:rFonts w:ascii="Times New Roman" w:cs="Times New Roman" w:eastAsia="Times New Roman" w:hAnsi="Times New Roman"/>
                <w:sz w:val="26"/>
                <w:szCs w:val="26"/>
                <w:color w:val="auto"/>
                <w:vertAlign w:val="superscript"/>
              </w:rPr>
              <w:t>(3)</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5,489</w:t>
            </w:r>
          </w:p>
        </w:tc>
      </w:tr>
      <w:tr>
        <w:trPr>
          <w:trHeight w:val="260"/>
        </w:trPr>
        <w:tc>
          <w:tcPr>
            <w:tcW w:w="7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548</w:t>
            </w:r>
          </w:p>
        </w:tc>
      </w:tr>
      <w:tr>
        <w:trPr>
          <w:trHeight w:val="285"/>
        </w:trPr>
        <w:tc>
          <w:tcPr>
            <w:tcW w:w="7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Gain on exchange of intangible assets, net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(22,799)</w:t>
            </w:r>
          </w:p>
        </w:tc>
      </w:tr>
      <w:tr>
        <w:trPr>
          <w:trHeight w:val="285"/>
        </w:trPr>
        <w:tc>
          <w:tcPr>
            <w:tcW w:w="7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Gain on sale of intangible assets, net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(18,294)</w:t>
            </w:r>
          </w:p>
        </w:tc>
      </w:tr>
      <w:tr>
        <w:trPr>
          <w:trHeight w:val="285"/>
        </w:trPr>
        <w:tc>
          <w:tcPr>
            <w:tcW w:w="7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r>
      <w:tr>
        <w:trPr>
          <w:trHeight w:val="285"/>
        </w:trPr>
        <w:tc>
          <w:tcPr>
            <w:tcW w:w="7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income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85"/>
        </w:trPr>
        <w:tc>
          <w:tcPr>
            <w:tcW w:w="7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tax expense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1,892</w:t>
            </w:r>
          </w:p>
        </w:tc>
      </w:tr>
      <w:tr>
        <w:trPr>
          <w:trHeight w:val="288"/>
        </w:trPr>
        <w:tc>
          <w:tcPr>
            <w:tcW w:w="7340" w:type="dxa"/>
            <w:vAlign w:val="bottom"/>
          </w:tcPr>
          <w:p>
            <w:pPr>
              <w:ind w:left="240"/>
              <w:spacing w:after="0" w:line="288" w:lineRule="exact"/>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6"/>
                <w:szCs w:val="26"/>
                <w:color w:val="auto"/>
                <w:vertAlign w:val="superscript"/>
              </w:rPr>
              <w:t>(4)</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16,131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16,269</w:t>
            </w:r>
          </w:p>
        </w:tc>
      </w:tr>
      <w:tr>
        <w:trPr>
          <w:trHeight w:val="245"/>
        </w:trPr>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90,635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(11,372)</w:t>
            </w:r>
          </w:p>
        </w:tc>
      </w:tr>
      <w:tr>
        <w:trPr>
          <w:trHeight w:val="20"/>
        </w:trPr>
        <w:tc>
          <w:tcPr>
            <w:tcW w:w="7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-2383790</wp:posOffset>
            </wp:positionV>
            <wp:extent cx="6553200" cy="24034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3">
                      <a:extLst>
                        <a:ext uri="{28A0092B-C50C-407E-A947-70E740481C1C}"/>
                      </a:extLst>
                    </a:blip>
                    <a:srcRect/>
                    <a:stretch>
                      <a:fillRect/>
                    </a:stretch>
                  </pic:blipFill>
                  <pic:spPr bwMode="auto">
                    <a:xfrm>
                      <a:off x="0" y="0"/>
                      <a:ext cx="6553200" cy="2403475"/>
                    </a:xfrm>
                    <a:prstGeom prst="rect">
                      <a:avLst/>
                    </a:prstGeom>
                    <a:noFill/>
                  </pic:spPr>
                </pic:pic>
              </a:graphicData>
            </a:graphic>
          </wp:anchor>
        </w:drawing>
      </w:r>
    </w:p>
    <w:p>
      <w:pPr>
        <w:spacing w:after="0" w:line="108" w:lineRule="exact"/>
        <w:rPr>
          <w:sz w:val="20"/>
          <w:szCs w:val="20"/>
          <w:color w:val="auto"/>
        </w:rPr>
      </w:pPr>
    </w:p>
    <w:p>
      <w:pPr>
        <w:jc w:val="both"/>
        <w:ind w:left="370" w:right="420" w:hanging="370"/>
        <w:spacing w:after="0" w:line="257" w:lineRule="auto"/>
        <w:tabs>
          <w:tab w:leader="none" w:pos="3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general and administrative includes expenses related to certain corporate functions, such as, executive, legal, finance, information technology, human resources and others, public company costs, bonus expense for all employees, insurance costs and other costs.</w:t>
      </w:r>
    </w:p>
    <w:p>
      <w:pPr>
        <w:spacing w:after="0" w:line="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sales and support includes expenses related to sales and marketing functions.</w:t>
      </w:r>
    </w:p>
    <w:p>
      <w:pPr>
        <w:spacing w:after="0" w:line="1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product development includes expenses related to technology and product development functions.</w:t>
      </w:r>
    </w:p>
    <w:p>
      <w:pPr>
        <w:spacing w:after="0" w:line="10" w:lineRule="exact"/>
        <w:rPr>
          <w:rFonts w:ascii="Times New Roman" w:cs="Times New Roman" w:eastAsia="Times New Roman" w:hAnsi="Times New Roman"/>
          <w:sz w:val="20"/>
          <w:szCs w:val="20"/>
          <w:color w:val="auto"/>
        </w:rPr>
      </w:pPr>
    </w:p>
    <w:p>
      <w:pPr>
        <w:ind w:left="370" w:right="40" w:hanging="370"/>
        <w:spacing w:after="0" w:line="260" w:lineRule="auto"/>
        <w:tabs>
          <w:tab w:leader="none" w:pos="3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segment items include items not deemed significant or regularly provided to the CODM, such as severance and other related charges, stock compensation and loss from disposal of long-lived assets.</w:t>
      </w:r>
    </w:p>
    <w:p>
      <w:pPr>
        <w:spacing w:after="0" w:line="74" w:lineRule="exact"/>
        <w:rPr>
          <w:rFonts w:ascii="Times New Roman" w:cs="Times New Roman" w:eastAsia="Times New Roman" w:hAnsi="Times New Roman"/>
          <w:sz w:val="20"/>
          <w:szCs w:val="20"/>
          <w:color w:val="auto"/>
        </w:rPr>
      </w:pPr>
    </w:p>
    <w:p>
      <w:pPr>
        <w:ind w:left="210" w:hanging="210"/>
        <w:spacing w:after="0"/>
        <w:tabs>
          <w:tab w:leader="none" w:pos="21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Escrow Deposits</w:t>
      </w:r>
    </w:p>
    <w:p>
      <w:pPr>
        <w:spacing w:after="0" w:line="137" w:lineRule="exact"/>
        <w:rPr>
          <w:sz w:val="20"/>
          <w:szCs w:val="20"/>
          <w:color w:val="auto"/>
        </w:rPr>
      </w:pPr>
    </w:p>
    <w:p>
      <w:pPr>
        <w:ind w:left="10" w:right="40" w:firstLine="720"/>
        <w:spacing w:after="0" w:line="255" w:lineRule="auto"/>
        <w:rPr>
          <w:sz w:val="20"/>
          <w:szCs w:val="20"/>
          <w:color w:val="auto"/>
        </w:rPr>
      </w:pPr>
      <w:r>
        <w:rPr>
          <w:rFonts w:ascii="Times New Roman" w:cs="Times New Roman" w:eastAsia="Times New Roman" w:hAnsi="Times New Roman"/>
          <w:sz w:val="20"/>
          <w:szCs w:val="20"/>
          <w:color w:val="auto"/>
        </w:rPr>
        <w:t>Escrow deposits are considered restricted cash as the deposits are restricted from use until the terms of the escrow agreement are met. Restricted cash is recorded as escrow deposits and a contingent liability on the Company’s Consolidated Balance Sheets. A reduction in the contingent liability and escrow deposits will be recognized for each county as the Company delivers the cleared 900 MHz Broadband Spectrum and the associated broadband licenses. Escrow deposits classified as current assets on the Company’s Consolidated Balance Sheets are related to the portion of the obligations of the escrow agreement that are expected to be met within a twelve-month period beginning March 31, 2026. Obligations not expected to be completed within this twelve-month period are classified as non-current assets.</w:t>
      </w:r>
    </w:p>
    <w:p>
      <w:pPr>
        <w:spacing w:after="0" w:line="90" w:lineRule="exact"/>
        <w:rPr>
          <w:sz w:val="20"/>
          <w:szCs w:val="20"/>
          <w:color w:val="auto"/>
        </w:rPr>
      </w:pPr>
    </w:p>
    <w:p>
      <w:pPr>
        <w:ind w:left="10" w:right="40" w:firstLine="720"/>
        <w:spacing w:after="0" w:line="254" w:lineRule="auto"/>
        <w:rPr>
          <w:sz w:val="20"/>
          <w:szCs w:val="20"/>
          <w:color w:val="auto"/>
        </w:rPr>
      </w:pPr>
      <w:r>
        <w:rPr>
          <w:rFonts w:ascii="Times New Roman" w:cs="Times New Roman" w:eastAsia="Times New Roman" w:hAnsi="Times New Roman"/>
          <w:sz w:val="20"/>
          <w:szCs w:val="20"/>
          <w:color w:val="auto"/>
        </w:rPr>
        <w:t>In connection with the Lower Colorado River Authority Agreement in April 2023 (the “LCRA Agreement”), the Company and Lower Colorado River Authority (“LCRA”) entered into an escrow agreement. Pursuant to the escrow agreement, the escrow funds deposited from LCRA payments to the Company shall be held and invested in a money market deposit account. All interest and other income earned shall be allocated to the Company, payable with the final distribution of the escrow funds. The escrow funds shall be distributed upon written request by both the Company and LCRA pursuant to the terms within the Original LCRA Agreement. In December 2023, the Company received $15.0 million, of which $7.5 million was deposited in an escrow account. As of March 31, 2026, the Company has classified $0.4 million as short-term deposits on the Consolidated Balance Sheets, inclusive of accrued interest and escrow releases for delivered 900 MHz Broadband Spectrum and the associated broadband licenses.</w:t>
      </w:r>
    </w:p>
    <w:p>
      <w:pPr>
        <w:spacing w:after="0" w:line="89" w:lineRule="exact"/>
        <w:rPr>
          <w:sz w:val="20"/>
          <w:szCs w:val="20"/>
          <w:color w:val="auto"/>
        </w:rPr>
      </w:pPr>
    </w:p>
    <w:p>
      <w:pPr>
        <w:ind w:left="10" w:right="40" w:firstLine="720"/>
        <w:spacing w:after="0" w:line="268" w:lineRule="auto"/>
        <w:rPr>
          <w:sz w:val="20"/>
          <w:szCs w:val="20"/>
          <w:color w:val="auto"/>
        </w:rPr>
      </w:pPr>
      <w:r>
        <w:rPr>
          <w:rFonts w:ascii="Times New Roman" w:cs="Times New Roman" w:eastAsia="Times New Roman" w:hAnsi="Times New Roman"/>
          <w:sz w:val="19"/>
          <w:szCs w:val="19"/>
          <w:color w:val="auto"/>
        </w:rPr>
        <w:t>In June 2025, the Company entered into an agreement with an incumbent to retune and acquire wireless licenses for approximately $28.0 million. In connection with this agreement, the Company entered into an escrow agreement. Pursuant to the escrow agreement, the escrow funds deposited from the Company payments due to the incumbent shall be held and invested in a money market deposit account. All interest and other income earned shall be allocated to the incumbent, payable with the final distribution of the escrow funds. The escrow funds shall be distributed upon written request by both the Company and the incumbent pursuant to the terms within the escrow agreement. Once the escrow funds are distributed to the incumbent, the payments are recorded as spectrum receivable on the Company’s Consolidated Balance Sheets. As of March 31, 2026, the Company has deposited $15.4 million into the escrow account. As of March 31, 2026, the Company has classified $5.7 million as short-term escrow deposits on the Consolidated Balance Sheets, inclusive of accrued interest and escrow releases to the incumbent, which are subsequently recorded as spectrum receivable on the Company’s Consolidated Balance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591185</wp:posOffset>
                </wp:positionV>
                <wp:extent cx="650557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6.55pt" to="512.6pt,46.55pt" o:allowincell="f" strokecolor="#000000" strokeweight="1pt"/>
            </w:pict>
          </mc:Fallback>
        </mc:AlternateContent>
      </w:r>
    </w:p>
    <w:p>
      <w:pPr>
        <w:sectPr>
          <w:pgSz w:w="12240" w:h="15840" w:orient="portrait"/>
          <w:cols w:equalWidth="0" w:num="1">
            <w:col w:w="10270"/>
          </w:cols>
          <w:pgMar w:left="99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19"/>
          <w:szCs w:val="19"/>
          <w:color w:val="auto"/>
        </w:rPr>
        <w:t>Page F- 20</w:t>
      </w:r>
    </w:p>
    <w:p>
      <w:pPr>
        <w:sectPr>
          <w:pgSz w:w="12240" w:h="15840" w:orient="portrait"/>
          <w:cols w:equalWidth="0" w:num="1">
            <w:col w:w="10270"/>
          </w:cols>
          <w:pgMar w:left="990" w:top="201"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Property and Equipment</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consists of the following at March 31, 2026 and 2025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vMerge w:val="restart"/>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vMerge w:val="restart"/>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life</w:t>
            </w: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Network sites and equipment</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5-10 years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9,614</w:t>
            </w:r>
          </w:p>
        </w:tc>
        <w:tc>
          <w:tcPr>
            <w:tcW w:w="0" w:type="dxa"/>
            <w:vAlign w:val="bottom"/>
          </w:tcPr>
          <w:p>
            <w:pPr>
              <w:spacing w:after="0"/>
              <w:rPr>
                <w:sz w:val="1"/>
                <w:szCs w:val="1"/>
                <w:color w:val="auto"/>
              </w:rPr>
            </w:pPr>
          </w:p>
        </w:tc>
      </w:tr>
      <w:tr>
        <w:trPr>
          <w:trHeight w:val="30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1-7 years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0" w:type="dxa"/>
            <w:vAlign w:val="bottom"/>
          </w:tcPr>
          <w:p>
            <w:pPr>
              <w:spacing w:after="0"/>
              <w:rPr>
                <w:sz w:val="1"/>
                <w:szCs w:val="1"/>
                <w:color w:val="auto"/>
              </w:rPr>
            </w:pPr>
          </w:p>
        </w:tc>
      </w:tr>
      <w:tr>
        <w:trPr>
          <w:trHeight w:val="30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5-7 years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0" w:type="dxa"/>
            <w:vAlign w:val="bottom"/>
          </w:tcPr>
          <w:p>
            <w:pPr>
              <w:spacing w:after="0"/>
              <w:rPr>
                <w:sz w:val="1"/>
                <w:szCs w:val="1"/>
                <w:color w:val="auto"/>
              </w:rPr>
            </w:pPr>
          </w:p>
        </w:tc>
      </w:tr>
      <w:tr>
        <w:trPr>
          <w:trHeight w:val="30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 and other equipment</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2-5 years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0" w:type="dxa"/>
            <w:vAlign w:val="bottom"/>
          </w:tcPr>
          <w:p>
            <w:pPr>
              <w:spacing w:after="0"/>
              <w:rPr>
                <w:sz w:val="1"/>
                <w:szCs w:val="1"/>
                <w:color w:val="auto"/>
              </w:rPr>
            </w:pPr>
          </w:p>
        </w:tc>
      </w:tr>
      <w:tr>
        <w:trPr>
          <w:trHeight w:val="23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Shorter of the lease term or</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0" w:type="dxa"/>
            <w:vAlign w:val="bottom"/>
          </w:tcPr>
          <w:p>
            <w:pPr>
              <w:spacing w:after="0"/>
              <w:rPr>
                <w:sz w:val="1"/>
                <w:szCs w:val="1"/>
                <w:color w:val="auto"/>
              </w:rPr>
            </w:pPr>
          </w:p>
        </w:tc>
      </w:tr>
      <w:tr>
        <w:trPr>
          <w:trHeight w:val="263"/>
        </w:trPr>
        <w:tc>
          <w:tcPr>
            <w:tcW w:w="468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 years</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12,086</w:t>
            </w:r>
          </w:p>
        </w:tc>
        <w:tc>
          <w:tcPr>
            <w:tcW w:w="0" w:type="dxa"/>
            <w:vAlign w:val="bottom"/>
          </w:tcPr>
          <w:p>
            <w:pPr>
              <w:spacing w:after="0"/>
              <w:rPr>
                <w:sz w:val="1"/>
                <w:szCs w:val="1"/>
                <w:color w:val="auto"/>
              </w:rPr>
            </w:pPr>
          </w:p>
        </w:tc>
      </w:tr>
      <w:tr>
        <w:trPr>
          <w:trHeight w:val="303"/>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6,103</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10,784</w:t>
            </w:r>
          </w:p>
        </w:tc>
        <w:tc>
          <w:tcPr>
            <w:tcW w:w="0" w:type="dxa"/>
            <w:vAlign w:val="bottom"/>
          </w:tcPr>
          <w:p>
            <w:pPr>
              <w:spacing w:after="0"/>
              <w:rPr>
                <w:sz w:val="1"/>
                <w:szCs w:val="1"/>
                <w:color w:val="auto"/>
              </w:rPr>
            </w:pP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36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-1678940</wp:posOffset>
            </wp:positionV>
            <wp:extent cx="6534150" cy="16986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4">
                      <a:extLst>
                        <a:ext uri="{28A0092B-C50C-407E-A947-70E740481C1C}"/>
                      </a:extLst>
                    </a:blip>
                    <a:srcRect/>
                    <a:stretch>
                      <a:fillRect/>
                    </a:stretch>
                  </pic:blipFill>
                  <pic:spPr bwMode="auto">
                    <a:xfrm>
                      <a:off x="0" y="0"/>
                      <a:ext cx="6534150" cy="1698625"/>
                    </a:xfrm>
                    <a:prstGeom prst="rect">
                      <a:avLst/>
                    </a:prstGeom>
                    <a:noFill/>
                  </pic:spPr>
                </pic:pic>
              </a:graphicData>
            </a:graphic>
          </wp:anchor>
        </w:drawing>
      </w:r>
    </w:p>
    <w:p>
      <w:pPr>
        <w:spacing w:after="0" w:line="108" w:lineRule="exact"/>
        <w:rPr>
          <w:sz w:val="20"/>
          <w:szCs w:val="20"/>
          <w:color w:val="auto"/>
        </w:rPr>
      </w:pPr>
    </w:p>
    <w:p>
      <w:pPr>
        <w:jc w:val="both"/>
        <w:ind w:right="80" w:firstLine="720"/>
        <w:spacing w:after="0" w:line="281" w:lineRule="auto"/>
        <w:rPr>
          <w:sz w:val="20"/>
          <w:szCs w:val="20"/>
          <w:color w:val="auto"/>
        </w:rPr>
      </w:pPr>
      <w:r>
        <w:rPr>
          <w:rFonts w:ascii="Times New Roman" w:cs="Times New Roman" w:eastAsia="Times New Roman" w:hAnsi="Times New Roman"/>
          <w:sz w:val="20"/>
          <w:szCs w:val="20"/>
          <w:color w:val="auto"/>
        </w:rPr>
        <w:t>Depreciation expense for the years ended March 31, 2026 and 2025 amounted to approximately $0.5 million and $0.5 million, respectively.</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were no impairment charges during the years ended March 31, 2026 and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Intangible Assets</w:t>
      </w:r>
    </w:p>
    <w:p>
      <w:pPr>
        <w:spacing w:after="0" w:line="137"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auto"/>
        </w:rPr>
        <w:t>Wireless licenses are considered indefinite-lived intangible assets. Indefinite-lived intangible assets are not subject to amortization but instead are tested for impairment annually, or more frequently if an event indicates that the asset might be impaired. There were no impairment charges related to the Company’s indefinite-lived intangible assets during the years ended March 31, 2026 and 2025.</w:t>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consist of the following at March 31, 2026 and 2025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year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center"/>
              <w:ind w:left="223"/>
              <w:spacing w:after="0"/>
              <w:rPr>
                <w:sz w:val="20"/>
                <w:szCs w:val="20"/>
                <w:color w:val="auto"/>
              </w:rPr>
            </w:pPr>
            <w:r>
              <w:rPr>
                <w:rFonts w:ascii="Times New Roman" w:cs="Times New Roman" w:eastAsia="Times New Roman" w:hAnsi="Times New Roman"/>
                <w:sz w:val="20"/>
                <w:szCs w:val="20"/>
                <w:color w:val="auto"/>
                <w:w w:val="98"/>
              </w:rPr>
              <w:t>228,983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center"/>
              <w:ind w:left="243"/>
              <w:spacing w:after="0"/>
              <w:rPr>
                <w:sz w:val="20"/>
                <w:szCs w:val="20"/>
                <w:color w:val="auto"/>
              </w:rPr>
            </w:pPr>
            <w:r>
              <w:rPr>
                <w:rFonts w:ascii="Times New Roman" w:cs="Times New Roman" w:eastAsia="Times New Roman" w:hAnsi="Times New Roman"/>
                <w:sz w:val="20"/>
                <w:szCs w:val="20"/>
                <w:color w:val="auto"/>
                <w:w w:val="98"/>
              </w:rPr>
              <w:t>216,743</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Acquisitions</w:t>
            </w:r>
          </w:p>
        </w:tc>
        <w:tc>
          <w:tcPr>
            <w:tcW w:w="360" w:type="dxa"/>
            <w:vAlign w:val="bottom"/>
          </w:tcPr>
          <w:p>
            <w:pPr>
              <w:spacing w:after="0"/>
              <w:rPr>
                <w:sz w:val="24"/>
                <w:szCs w:val="24"/>
                <w:color w:val="auto"/>
              </w:rPr>
            </w:pPr>
          </w:p>
        </w:tc>
        <w:tc>
          <w:tcPr>
            <w:tcW w:w="1040" w:type="dxa"/>
            <w:vAlign w:val="bottom"/>
          </w:tcPr>
          <w:p>
            <w:pPr>
              <w:jc w:val="center"/>
              <w:ind w:left="223"/>
              <w:spacing w:after="0"/>
              <w:rPr>
                <w:sz w:val="20"/>
                <w:szCs w:val="20"/>
                <w:color w:val="auto"/>
              </w:rPr>
            </w:pPr>
            <w:r>
              <w:rPr>
                <w:rFonts w:ascii="Times New Roman" w:cs="Times New Roman" w:eastAsia="Times New Roman" w:hAnsi="Times New Roman"/>
                <w:sz w:val="20"/>
                <w:szCs w:val="20"/>
                <w:color w:val="auto"/>
              </w:rPr>
              <w:t>30,655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center"/>
              <w:ind w:left="243"/>
              <w:spacing w:after="0"/>
              <w:rPr>
                <w:sz w:val="20"/>
                <w:szCs w:val="20"/>
                <w:color w:val="auto"/>
              </w:rPr>
            </w:pPr>
            <w:r>
              <w:rPr>
                <w:rFonts w:ascii="Times New Roman" w:cs="Times New Roman" w:eastAsia="Times New Roman" w:hAnsi="Times New Roman"/>
                <w:sz w:val="20"/>
                <w:szCs w:val="20"/>
                <w:color w:val="auto"/>
              </w:rPr>
              <w:t>12,082</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Sale of intangible assets</w:t>
            </w:r>
          </w:p>
        </w:tc>
        <w:tc>
          <w:tcPr>
            <w:tcW w:w="3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(54,345)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(22,641)</w:t>
            </w:r>
          </w:p>
        </w:tc>
      </w:tr>
      <w:tr>
        <w:trPr>
          <w:trHeight w:val="285"/>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Exchanges - licenses received</w:t>
            </w:r>
          </w:p>
        </w:tc>
        <w:tc>
          <w:tcPr>
            <w:tcW w:w="36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139,608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center"/>
              <w:ind w:left="243"/>
              <w:spacing w:after="0"/>
              <w:rPr>
                <w:sz w:val="20"/>
                <w:szCs w:val="20"/>
                <w:color w:val="auto"/>
              </w:rPr>
            </w:pPr>
            <w:r>
              <w:rPr>
                <w:rFonts w:ascii="Times New Roman" w:cs="Times New Roman" w:eastAsia="Times New Roman" w:hAnsi="Times New Roman"/>
                <w:sz w:val="20"/>
                <w:szCs w:val="20"/>
                <w:color w:val="auto"/>
              </w:rPr>
              <w:t>27,030</w:t>
            </w:r>
          </w:p>
        </w:tc>
      </w:tr>
      <w:tr>
        <w:trPr>
          <w:trHeight w:val="288"/>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Exchanges - licenses surrendered</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20"/>
                <w:szCs w:val="20"/>
                <w:color w:val="auto"/>
                <w:w w:val="99"/>
              </w:rPr>
              <w:t>(34,189)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(4,231)</w:t>
            </w:r>
          </w:p>
        </w:tc>
      </w:tr>
      <w:tr>
        <w:trPr>
          <w:trHeight w:val="24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year</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center"/>
              <w:ind w:left="223"/>
              <w:spacing w:after="0"/>
              <w:rPr>
                <w:sz w:val="20"/>
                <w:szCs w:val="20"/>
                <w:color w:val="auto"/>
              </w:rPr>
            </w:pPr>
            <w:r>
              <w:rPr>
                <w:rFonts w:ascii="Times New Roman" w:cs="Times New Roman" w:eastAsia="Times New Roman" w:hAnsi="Times New Roman"/>
                <w:sz w:val="20"/>
                <w:szCs w:val="20"/>
                <w:color w:val="auto"/>
                <w:w w:val="98"/>
              </w:rPr>
              <w:t>310,712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center"/>
              <w:ind w:left="243"/>
              <w:spacing w:after="0"/>
              <w:rPr>
                <w:sz w:val="20"/>
                <w:szCs w:val="20"/>
                <w:color w:val="auto"/>
              </w:rPr>
            </w:pPr>
            <w:r>
              <w:rPr>
                <w:rFonts w:ascii="Times New Roman" w:cs="Times New Roman" w:eastAsia="Times New Roman" w:hAnsi="Times New Roman"/>
                <w:sz w:val="20"/>
                <w:szCs w:val="20"/>
                <w:color w:val="auto"/>
                <w:w w:val="98"/>
              </w:rPr>
              <w:t>228,983</w:t>
            </w:r>
          </w:p>
        </w:tc>
      </w:tr>
      <w:tr>
        <w:trPr>
          <w:trHeight w:val="20"/>
        </w:trPr>
        <w:tc>
          <w:tcPr>
            <w:tcW w:w="7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429375" cy="11366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5">
                      <a:extLst>
                        <a:ext uri="{28A0092B-C50C-407E-A947-70E740481C1C}"/>
                      </a:extLst>
                    </a:blip>
                    <a:srcRect/>
                    <a:stretch>
                      <a:fillRect/>
                    </a:stretch>
                  </pic:blipFill>
                  <pic:spPr bwMode="auto">
                    <a:xfrm>
                      <a:off x="0" y="0"/>
                      <a:ext cx="6429375" cy="113665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of intangible assets, including refundable deposits, retuning costs and swaps</w:t>
      </w:r>
    </w:p>
    <w:p>
      <w:pPr>
        <w:spacing w:after="0" w:line="139"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During the years ended March 31, 2026 and 2025, the Company entered into agreements with several third parties in multiple U.S. markets to acquire, retune or swap wireless licenses for cash consideration (“deals”) and made Anti-Windfall Payments to the U.S. Treasury Department. The initial deposits to incumbents are recorded as spectrum receivable on the Company’s Consolidated Balance Sheets and are refundable if the FCC does not approve the sale, retuning or swap of the spectrum. The initial deposits are transferred to deferred broadband costs or intangible assets on the Company’s Consolidated Balance Sheets, as applicable, upon meeting the relevant deal milestones. The final payments related to closed retuning or swap deals are recorded as deferred broadband costs on the Company’s Consolidated Balance Sheets. The final payments for license purchases or Anti-Windfall Payments are recorded as intangible assets on the Company’s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Broadband License Exchanges</w:t>
      </w:r>
    </w:p>
    <w:p>
      <w:pPr>
        <w:spacing w:after="0" w:line="139" w:lineRule="exact"/>
        <w:rPr>
          <w:sz w:val="20"/>
          <w:szCs w:val="20"/>
          <w:color w:val="auto"/>
        </w:rPr>
      </w:pPr>
    </w:p>
    <w:p>
      <w:pPr>
        <w:ind w:right="160" w:firstLine="720"/>
        <w:spacing w:after="0" w:line="254" w:lineRule="auto"/>
        <w:rPr>
          <w:sz w:val="20"/>
          <w:szCs w:val="20"/>
          <w:color w:val="auto"/>
        </w:rPr>
      </w:pPr>
      <w:r>
        <w:rPr>
          <w:rFonts w:ascii="Times New Roman" w:cs="Times New Roman" w:eastAsia="Times New Roman" w:hAnsi="Times New Roman"/>
          <w:sz w:val="20"/>
          <w:szCs w:val="20"/>
          <w:color w:val="auto"/>
        </w:rPr>
        <w:t>During the year ended March 31, 2026, the FCC granted the Company broadband licenses for 219 counties. The Company recorded the new broadband licenses received in the amount of $139.6 million. In connection with receiving the broadband licenses, the Company disposed of $34.2 million related to the value ascribed to the narrowband licenses it relinquished to the FCC for the same 219 counties. The total carrying value of the narrowband licenses included the cost to acquire the original narrowband licenses, Anti-Windfall Payments paid to cover the shortfall in each county and the clearing costs (including additional clearing cost for previously exchanged narrowband licenses). As a result of the exchange of narrowband licenses for broadband licenses, the Company recorded a gain on exchange of intangible assets of $105.4 million, for the year ended March 31, 2026.</w:t>
      </w:r>
    </w:p>
    <w:p>
      <w:pPr>
        <w:spacing w:after="0" w:line="93" w:lineRule="exact"/>
        <w:rPr>
          <w:sz w:val="20"/>
          <w:szCs w:val="20"/>
          <w:color w:val="auto"/>
        </w:rPr>
      </w:pPr>
    </w:p>
    <w:p>
      <w:pPr>
        <w:ind w:right="540" w:firstLine="720"/>
        <w:spacing w:after="0" w:line="309" w:lineRule="auto"/>
        <w:rPr>
          <w:sz w:val="20"/>
          <w:szCs w:val="20"/>
          <w:color w:val="auto"/>
        </w:rPr>
      </w:pPr>
      <w:r>
        <w:rPr>
          <w:rFonts w:ascii="Times New Roman" w:cs="Times New Roman" w:eastAsia="Times New Roman" w:hAnsi="Times New Roman"/>
          <w:sz w:val="19"/>
          <w:szCs w:val="19"/>
          <w:color w:val="auto"/>
        </w:rPr>
        <w:t>During the year ended March 31, 2025, the FCC granted the Company broadband licenses for 67 counties. The Company recorded the new broadband licenses received in the amount of $27.0 million. In connection with receiving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92075</wp:posOffset>
                </wp:positionV>
                <wp:extent cx="650494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7.25pt" to="512.1pt,7.25pt" o:allowincell="f" strokecolor="#000000" strokeweight="1pt"/>
            </w:pict>
          </mc:Fallback>
        </mc:AlternateContent>
      </w:r>
    </w:p>
    <w:p>
      <w:pPr>
        <w:spacing w:after="0" w:line="15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20"/>
          <w:szCs w:val="20"/>
          <w:color w:val="auto"/>
        </w:rPr>
        <w:t>Page F- 21</w:t>
      </w:r>
    </w:p>
    <w:p>
      <w:pPr>
        <w:sectPr>
          <w:pgSz w:w="12240" w:h="15840" w:orient="portrait"/>
          <w:cols w:equalWidth="0" w:num="1">
            <w:col w:w="10220"/>
          </w:cols>
          <w:pgMar w:left="1000" w:top="201" w:right="1020"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color w:val="auto"/>
        </w:rPr>
        <w:t>broadband licenses, the Company disposed of $4.2 million related to the value ascribed to the narrowband licenses it relinquished to the FCC for the same 67 counties. The total carrying value of the narrowband licenses included the cost to acquire the original narrowband licenses, Anti-Windfall Payments paid to cover the shortfall in each county and the clearing costs (including additional clearing cost for previously exchanged narrowband licenses). As a result of the exchange of narrowband licenses for broadband licenses, the Company recorded a gain on exchange of intangible assets of $22.8 million, for the year ended March 31,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Broadband License Sale</w:t>
      </w:r>
    </w:p>
    <w:p>
      <w:pPr>
        <w:spacing w:after="0" w:line="13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March 31, 2026, the Company transferred to LCRA the 900 MHz Broadband Spectrum and associated broadband licenses related to 64 counties for the total consideration of $29.5 million. The total consideration included milestone payments of $14.1 million received as of March 31, 2026 and $15.4 million reduction of contingent liability. As a result, the Company recognized a reduction in intangible assets of $16.6 million and recorded a $12.8 million gain on sale of intangible assets on the Company’s Consolidated Statements of Operations.</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the year ended March 31, 2026, the Company transferred to Oncor Electric Delivery Company LLC (“Oncor”)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900 MHz Broadband Spectrum and associated broadband licenses related to 91 counties for the total consideration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$59.7 million received as of March 31, 2026. The total consideration included milestone payments of $53.7 million received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March 31, 2026, inclusive of reimbursable clearing costs and Anti-Windfall Payments and $6.0 million reduction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liability. As a result, the Company recognized a reduction in intangible assets of $37.7 million and recorded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$22.0 million gain on sale of intangible assets on the Company’s Consolidated Statements of Operations.</w:t>
      </w:r>
    </w:p>
    <w:p>
      <w:pPr>
        <w:spacing w:after="0" w:line="11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During the year ended March 31, 2025, the Company transferred to Oncor the 900 MHz Broadband Spectrum and the associated broadband licenses related to four counties for the total consideration of $40.9 million. The total consideration included a $34.0 million milestone payment received in January 2025, $4.0 million allocated from the previously received $10.0 million deposit and $2.9 million non-trade receivable on the Company’s Consolidated Balance Sheets related to reimbursable clearing costs and Anti-Windfall Payments. As a result, the Company recognized a reduction in intangible assets of $22.6 million and recorded a $18.3 million gain on sale of intangible assets on the Company’s Consolidated Statements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Accounts Payable and Other Accrued Expenses</w:t>
      </w:r>
    </w:p>
    <w:p>
      <w:pPr>
        <w:spacing w:after="0" w:line="137" w:lineRule="exact"/>
        <w:rPr>
          <w:sz w:val="20"/>
          <w:szCs w:val="20"/>
          <w:color w:val="auto"/>
        </w:rPr>
      </w:pPr>
    </w:p>
    <w:p>
      <w:pPr>
        <w:ind w:right="700" w:firstLine="720"/>
        <w:spacing w:after="0" w:line="281" w:lineRule="auto"/>
        <w:rPr>
          <w:sz w:val="20"/>
          <w:szCs w:val="20"/>
          <w:color w:val="auto"/>
        </w:rPr>
      </w:pPr>
      <w:r>
        <w:rPr>
          <w:rFonts w:ascii="Times New Roman" w:cs="Times New Roman" w:eastAsia="Times New Roman" w:hAnsi="Times New Roman"/>
          <w:sz w:val="20"/>
          <w:szCs w:val="20"/>
          <w:color w:val="auto"/>
        </w:rPr>
        <w:t>The table below provides additional information related to the Company’s accounts payable and other accrued expenses at March 31, 2026 and 2025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Accrued employee related expenses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5,079</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Accrued taxes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w:t>
            </w:r>
          </w:p>
        </w:tc>
      </w:tr>
      <w:tr>
        <w:trPr>
          <w:trHeight w:val="288"/>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w:t>
            </w: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accounts payable and other accrued expenses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9,075</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34150" cy="11366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6">
                      <a:extLst>
                        <a:ext uri="{28A0092B-C50C-407E-A947-70E740481C1C}"/>
                      </a:extLst>
                    </a:blip>
                    <a:srcRect/>
                    <a:stretch>
                      <a:fillRect/>
                    </a:stretch>
                  </pic:blipFill>
                  <pic:spPr bwMode="auto">
                    <a:xfrm>
                      <a:off x="0" y="0"/>
                      <a:ext cx="6534150" cy="113665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Accrued Severance and Other Related Charges</w:t>
      </w:r>
    </w:p>
    <w:p>
      <w:pPr>
        <w:spacing w:after="0" w:line="137" w:lineRule="exact"/>
        <w:rPr>
          <w:sz w:val="20"/>
          <w:szCs w:val="20"/>
          <w:color w:val="auto"/>
        </w:rPr>
      </w:pPr>
    </w:p>
    <w:p>
      <w:pPr>
        <w:ind w:right="220" w:firstLine="720"/>
        <w:spacing w:after="0" w:line="256" w:lineRule="auto"/>
        <w:rPr>
          <w:sz w:val="20"/>
          <w:szCs w:val="20"/>
          <w:color w:val="auto"/>
        </w:rPr>
      </w:pPr>
      <w:r>
        <w:rPr>
          <w:rFonts w:ascii="Times New Roman" w:cs="Times New Roman" w:eastAsia="Times New Roman" w:hAnsi="Times New Roman"/>
          <w:sz w:val="20"/>
          <w:szCs w:val="20"/>
          <w:color w:val="auto"/>
        </w:rPr>
        <w:t>During the year ended March 31, 2026, the Company undertook a broader restructuring initiative to align with its evolving marketing and product strategy. These charges consist primarily of severance and employee-related costs associated with workforce reductions, as well as retention payments provided to key employees to support continuity during the reorganization. As a result, the Company incurred $4.6 million of severance and other related charges for the year ended March 31, 2026, on the Company’s Consolidated Statements of Operations. As of March 31, 2026, the Company accrued $2.8 million severance and other related charges on the Company’s Consolidated Balance Sheets.</w:t>
      </w:r>
    </w:p>
    <w:p>
      <w:pPr>
        <w:spacing w:after="0" w:line="88" w:lineRule="exact"/>
        <w:rPr>
          <w:sz w:val="20"/>
          <w:szCs w:val="20"/>
          <w:color w:val="auto"/>
        </w:rPr>
      </w:pPr>
    </w:p>
    <w:p>
      <w:pPr>
        <w:ind w:right="160" w:firstLine="720"/>
        <w:spacing w:after="0" w:line="272" w:lineRule="auto"/>
        <w:rPr>
          <w:sz w:val="20"/>
          <w:szCs w:val="20"/>
          <w:color w:val="auto"/>
        </w:rPr>
      </w:pPr>
      <w:r>
        <w:rPr>
          <w:rFonts w:ascii="Times New Roman" w:cs="Times New Roman" w:eastAsia="Times New Roman" w:hAnsi="Times New Roman"/>
          <w:sz w:val="19"/>
          <w:szCs w:val="19"/>
          <w:color w:val="auto"/>
        </w:rPr>
        <w:t>During the year ended March 31, 2025, the Company successfully identified several measures to reduce its operating expense run rate. These cost reduction measures are expected to increase the Company’s cash flows while maintaining operational efficiency. The reductions primarily impacted the Company’s general and administrative expenses mainly through significant cuts in consulting fees. Furthermore, as of March 31, 2025, the Company also reduced its workforce by 7 employees. As a result, the Company incurred $0.3 million of severance and other related charges as of and for the year ended March 31, 2025, on the Company’s Consolidated Balance Sheets and Consolidated Statements of Operations.</w:t>
      </w:r>
    </w:p>
    <w:p>
      <w:pPr>
        <w:spacing w:after="0" w:line="74"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19"/>
          <w:szCs w:val="19"/>
          <w:color w:val="auto"/>
        </w:rPr>
        <w:t>Additionally, on November 1, 2024, Robert H. Schwartz stepped down from his role as the Company’s President and Chief Executive Officer. In connection with Mr. Schwartz’s resignation, the Company negotiated a Transition and Separation Agreement (the “Transition Agreement”), which provided the following benefits (subject to effectiveness and the terms and conditions of the Transition Agreement), (i) two times the sum of his annualized salary and target bonus, for an aggregate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95250</wp:posOffset>
                </wp:positionV>
                <wp:extent cx="650494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7.5pt" to="512.1pt,7.5pt" o:allowincell="f" strokecolor="#000000" strokeweight="1pt"/>
            </w:pict>
          </mc:Fallback>
        </mc:AlternateContent>
      </w:r>
    </w:p>
    <w:p>
      <w:pPr>
        <w:spacing w:after="0" w:line="15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20"/>
          <w:szCs w:val="20"/>
          <w:color w:val="auto"/>
        </w:rPr>
        <w:t>Page F- 22</w:t>
      </w:r>
    </w:p>
    <w:p>
      <w:pPr>
        <w:sectPr>
          <w:pgSz w:w="12240" w:h="15840" w:orient="portrait"/>
          <w:cols w:equalWidth="0" w:num="1">
            <w:col w:w="10240"/>
          </w:cols>
          <w:pgMar w:left="1000" w:top="201" w:right="1000" w:bottom="0" w:gutter="0" w:footer="0" w:header="0"/>
        </w:sectPr>
      </w:pPr>
    </w:p>
    <w:bookmarkStart w:id="75" w:name="page76"/>
    <w:bookmarkEnd w:id="75"/>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 xml:space="preserve">amount of approximately $2.2 million, (ii) a pro-rata target bonus for fiscal year 2025, less any bonus amount previously paid for fiscal year 2025, for an aggregate amount of approximately $0.2 million and (iii) a subsidized COBRA continuation coverage for 18 months. Additionally, in connection with the Transition Agreement, a portion of Mr. Schwartz’s unvested time-based awards and performance-based awards accelerated and vested on a pro-rated basis, and Mr. Schwartz received an option exercise period extension. See Note 13 </w:t>
      </w:r>
      <w:r>
        <w:rPr>
          <w:rFonts w:ascii="Times New Roman" w:cs="Times New Roman" w:eastAsia="Times New Roman" w:hAnsi="Times New Roman"/>
          <w:sz w:val="20"/>
          <w:szCs w:val="20"/>
          <w:b w:val="1"/>
          <w:bCs w:val="1"/>
          <w:i w:val="1"/>
          <w:iCs w:val="1"/>
          <w:color w:val="auto"/>
        </w:rPr>
        <w:t>Stockholders’ Equity</w:t>
      </w:r>
      <w:r>
        <w:rPr>
          <w:rFonts w:ascii="Times New Roman" w:cs="Times New Roman" w:eastAsia="Times New Roman" w:hAnsi="Times New Roman"/>
          <w:sz w:val="20"/>
          <w:szCs w:val="20"/>
          <w:color w:val="auto"/>
        </w:rPr>
        <w:t xml:space="preserve"> for further discussion. For the year ended March 31, 2025, the Company recorded $3.5 million severance and other related charges related to the Transition Agreement on the Company’s Consolidated Statements of Operations. As of March 31, 2025, the Company accrued $2.0 million severance and other related charges on the Company’s Consolidated Balance Sheets.</w:t>
      </w:r>
    </w:p>
    <w:p>
      <w:pPr>
        <w:spacing w:after="0" w:line="93" w:lineRule="exact"/>
        <w:rPr>
          <w:sz w:val="20"/>
          <w:szCs w:val="20"/>
          <w:color w:val="auto"/>
        </w:rPr>
      </w:pPr>
    </w:p>
    <w:p>
      <w:pPr>
        <w:ind w:left="10" w:right="260" w:firstLine="720"/>
        <w:spacing w:after="0" w:line="281" w:lineRule="auto"/>
        <w:rPr>
          <w:sz w:val="20"/>
          <w:szCs w:val="20"/>
          <w:color w:val="auto"/>
        </w:rPr>
      </w:pPr>
      <w:r>
        <w:rPr>
          <w:rFonts w:ascii="Times New Roman" w:cs="Times New Roman" w:eastAsia="Times New Roman" w:hAnsi="Times New Roman"/>
          <w:sz w:val="20"/>
          <w:szCs w:val="20"/>
          <w:color w:val="auto"/>
        </w:rPr>
        <w:t>For the years ended March 31, 2026 and 2025, total accrued severance and other related charges were as follows (in thousands):</w:t>
      </w:r>
    </w:p>
    <w:p>
      <w:pPr>
        <w:spacing w:after="0" w:line="61"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the year</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Cash accruals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w:t>
            </w:r>
          </w:p>
        </w:tc>
      </w:tr>
      <w:tr>
        <w:trPr>
          <w:trHeight w:val="288"/>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Cash payments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w:t>
            </w:r>
          </w:p>
        </w:tc>
      </w:tr>
      <w:tr>
        <w:trPr>
          <w:trHeight w:val="245"/>
        </w:trPr>
        <w:tc>
          <w:tcPr>
            <w:tcW w:w="7100" w:type="dxa"/>
            <w:vAlign w:val="bottom"/>
          </w:tcPr>
          <w:p>
            <w:pPr>
              <w:spacing w:after="0" w:line="245" w:lineRule="exact"/>
              <w:rPr>
                <w:sz w:val="20"/>
                <w:szCs w:val="20"/>
                <w:color w:val="auto"/>
              </w:rPr>
            </w:pPr>
            <w:r>
              <w:rPr>
                <w:rFonts w:ascii="Times New Roman" w:cs="Times New Roman" w:eastAsia="Times New Roman" w:hAnsi="Times New Roman"/>
                <w:sz w:val="20"/>
                <w:szCs w:val="20"/>
                <w:color w:val="auto"/>
              </w:rPr>
              <w:t xml:space="preserve">Balance at the end of the year </w:t>
            </w:r>
            <w:r>
              <w:rPr>
                <w:rFonts w:ascii="Times New Roman" w:cs="Times New Roman" w:eastAsia="Times New Roman" w:hAnsi="Times New Roman"/>
                <w:sz w:val="26"/>
                <w:szCs w:val="26"/>
                <w:color w:val="auto"/>
                <w:vertAlign w:val="superscript"/>
              </w:rPr>
              <w:t>(1)</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34150" cy="774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7">
                      <a:extLst>
                        <a:ext uri="{28A0092B-C50C-407E-A947-70E740481C1C}"/>
                      </a:extLst>
                    </a:blip>
                    <a:srcRect/>
                    <a:stretch>
                      <a:fillRect/>
                    </a:stretch>
                  </pic:blipFill>
                  <pic:spPr bwMode="auto">
                    <a:xfrm>
                      <a:off x="0" y="0"/>
                      <a:ext cx="6534150" cy="774700"/>
                    </a:xfrm>
                    <a:prstGeom prst="rect">
                      <a:avLst/>
                    </a:prstGeom>
                    <a:noFill/>
                  </pic:spPr>
                </pic:pic>
              </a:graphicData>
            </a:graphic>
          </wp:anchor>
        </w:drawing>
      </w:r>
    </w:p>
    <w:p>
      <w:pPr>
        <w:ind w:left="370" w:hanging="370"/>
        <w:spacing w:after="0"/>
        <w:tabs>
          <w:tab w:leader="none" w:pos="37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expects to make disbursements totaling $2.2 million over the next 12 months.</w:t>
      </w:r>
    </w:p>
    <w:p>
      <w:pPr>
        <w:spacing w:after="0" w:line="2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10. Related Party Transactions</w:t>
      </w:r>
    </w:p>
    <w:p>
      <w:pPr>
        <w:spacing w:after="0" w:line="137" w:lineRule="exact"/>
        <w:rPr>
          <w:sz w:val="20"/>
          <w:szCs w:val="20"/>
          <w:color w:val="auto"/>
        </w:rPr>
      </w:pPr>
    </w:p>
    <w:p>
      <w:pPr>
        <w:ind w:left="10" w:firstLine="720"/>
        <w:spacing w:after="0" w:line="255" w:lineRule="auto"/>
        <w:rPr>
          <w:sz w:val="20"/>
          <w:szCs w:val="20"/>
          <w:color w:val="auto"/>
        </w:rPr>
      </w:pPr>
      <w:r>
        <w:rPr>
          <w:rFonts w:ascii="Times New Roman" w:cs="Times New Roman" w:eastAsia="Times New Roman" w:hAnsi="Times New Roman"/>
          <w:sz w:val="20"/>
          <w:szCs w:val="20"/>
          <w:color w:val="auto"/>
        </w:rPr>
        <w:t>On December 30, 2024, in connection with Morgan O’Brien’s retirement as Executive Chairman of the Board, the Company entered into a consulting agreement with Mr. O’Brien under which he has agreed to provide consulting services to the Company for a minimum of six months and receive cash compensation of $30 thousand per month beginning on January 1, 2025 through June 30, 2025 (the “minimum term”), and continuing thereafter on a month-to month basis until terminated by either party (the “Consulting Agreement”). For the years ended March 31, 2026 and 2025, the Company incurred $0.1 million and $0.1 million, respectively, in consulting fees to Mr. O’Brien included in general and administrative expenses on the Company’s Consolidated Statements of Operations.</w:t>
      </w:r>
    </w:p>
    <w:p>
      <w:pPr>
        <w:spacing w:after="0" w:line="90" w:lineRule="exact"/>
        <w:rPr>
          <w:sz w:val="20"/>
          <w:szCs w:val="20"/>
          <w:color w:val="auto"/>
        </w:rPr>
      </w:pPr>
    </w:p>
    <w:p>
      <w:pPr>
        <w:ind w:left="10" w:right="320" w:firstLine="720"/>
        <w:spacing w:after="0" w:line="266" w:lineRule="auto"/>
        <w:rPr>
          <w:sz w:val="20"/>
          <w:szCs w:val="20"/>
          <w:color w:val="auto"/>
        </w:rPr>
      </w:pPr>
      <w:r>
        <w:rPr>
          <w:rFonts w:ascii="Times New Roman" w:cs="Times New Roman" w:eastAsia="Times New Roman" w:hAnsi="Times New Roman"/>
          <w:sz w:val="20"/>
          <w:szCs w:val="20"/>
          <w:color w:val="auto"/>
        </w:rPr>
        <w:t>As of March 31, 2026 and 2025, the Company had zero and $30 thousand, respectively, in outstanding liabilities to Mr. O’Brien included in due to related parties on the Company’s Consolidated Balance Sheets. Mr. O’Brien’s consulting agreement was terminated as of June 30, 2025.</w:t>
      </w:r>
    </w:p>
    <w:p>
      <w:pPr>
        <w:spacing w:after="0" w:line="1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11. Leases</w:t>
      </w:r>
    </w:p>
    <w:p>
      <w:pPr>
        <w:spacing w:after="0" w:line="134" w:lineRule="exact"/>
        <w:rPr>
          <w:sz w:val="20"/>
          <w:szCs w:val="20"/>
          <w:color w:val="auto"/>
        </w:rPr>
      </w:pPr>
    </w:p>
    <w:p>
      <w:pPr>
        <w:ind w:left="10" w:right="120" w:firstLine="770"/>
        <w:spacing w:after="0" w:line="258" w:lineRule="auto"/>
        <w:rPr>
          <w:sz w:val="20"/>
          <w:szCs w:val="20"/>
          <w:color w:val="auto"/>
        </w:rPr>
      </w:pPr>
      <w:r>
        <w:rPr>
          <w:rFonts w:ascii="Times New Roman" w:cs="Times New Roman" w:eastAsia="Times New Roman" w:hAnsi="Times New Roman"/>
          <w:sz w:val="20"/>
          <w:szCs w:val="20"/>
          <w:color w:val="auto"/>
        </w:rPr>
        <w:t>All the leases in which the Company is the lessee are comprised of corporate office space and tower space. The Company is obligated under certain lease agreements for office space with lease terms expiring on various dates from June 30, 2027 through January 31, 2029, which includes lease extensions for its corporate offices ranging from three to ten-years. The Company entered into multiple lease agreements for tower space. The lease expiration dates range from April 8, 2026 to February 28, 2033.</w:t>
      </w:r>
    </w:p>
    <w:p>
      <w:pPr>
        <w:spacing w:after="0" w:line="84" w:lineRule="exact"/>
        <w:rPr>
          <w:sz w:val="20"/>
          <w:szCs w:val="20"/>
          <w:color w:val="auto"/>
        </w:rPr>
      </w:pPr>
    </w:p>
    <w:p>
      <w:pPr>
        <w:jc w:val="center"/>
        <w:ind w:right="130"/>
        <w:spacing w:after="0"/>
        <w:rPr>
          <w:sz w:val="20"/>
          <w:szCs w:val="20"/>
          <w:color w:val="auto"/>
        </w:rPr>
      </w:pPr>
      <w:r>
        <w:rPr>
          <w:rFonts w:ascii="Times New Roman" w:cs="Times New Roman" w:eastAsia="Times New Roman" w:hAnsi="Times New Roman"/>
          <w:sz w:val="20"/>
          <w:szCs w:val="20"/>
          <w:color w:val="auto"/>
        </w:rPr>
        <w:t>All of the Company’s leases are classified as operating leases. Operating lease agreements are required to be</w:t>
      </w:r>
    </w:p>
    <w:p>
      <w:pPr>
        <w:spacing w:after="0" w:line="30"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19"/>
          <w:szCs w:val="19"/>
          <w:color w:val="auto"/>
        </w:rPr>
        <w:t>recognized on the Company’s Consolidated Balance Sheets as right of use (“ROU”) assets and corresponding lease liabilities.</w:t>
      </w:r>
    </w:p>
    <w:p>
      <w:pPr>
        <w:spacing w:after="0" w:line="121" w:lineRule="exact"/>
        <w:rPr>
          <w:sz w:val="20"/>
          <w:szCs w:val="20"/>
          <w:color w:val="auto"/>
        </w:rPr>
      </w:pPr>
    </w:p>
    <w:p>
      <w:pPr>
        <w:jc w:val="both"/>
        <w:ind w:left="10" w:right="440" w:firstLine="720"/>
        <w:spacing w:after="0" w:line="266" w:lineRule="auto"/>
        <w:rPr>
          <w:sz w:val="20"/>
          <w:szCs w:val="20"/>
          <w:color w:val="auto"/>
        </w:rPr>
      </w:pPr>
      <w:r>
        <w:rPr>
          <w:rFonts w:ascii="Times New Roman" w:cs="Times New Roman" w:eastAsia="Times New Roman" w:hAnsi="Times New Roman"/>
          <w:sz w:val="20"/>
          <w:szCs w:val="20"/>
          <w:color w:val="auto"/>
        </w:rPr>
        <w:t>ROU assets include any prepaid lease payments and exclude any lease incentives and initial direct costs incurred. Lease expense for minimum lease payments is recognized on a straight-line basis over the lease term. The lease terms may include options to extend or terminate the lease if it is reasonably certain that the Company will exercise that option.</w:t>
      </w:r>
    </w:p>
    <w:p>
      <w:pPr>
        <w:spacing w:after="0" w:line="75"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Weighted-average remaining lease term and incremental borrowing rate for the Company’s operating leases are as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follows:</w:t>
      </w:r>
    </w:p>
    <w:p>
      <w:pPr>
        <w:spacing w:after="0" w:line="34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14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term - operating lease liabilities</w:t>
            </w:r>
          </w:p>
        </w:tc>
        <w:tc>
          <w:tcPr>
            <w:tcW w:w="14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3.71 years</w:t>
            </w:r>
          </w:p>
        </w:tc>
        <w:tc>
          <w:tcPr>
            <w:tcW w:w="60" w:type="dxa"/>
            <w:vAlign w:val="bottom"/>
          </w:tcPr>
          <w:p>
            <w:pPr>
              <w:spacing w:after="0"/>
              <w:rPr>
                <w:sz w:val="24"/>
                <w:szCs w:val="24"/>
                <w:color w:val="auto"/>
              </w:rPr>
            </w:pPr>
          </w:p>
        </w:tc>
        <w:tc>
          <w:tcPr>
            <w:tcW w:w="14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3.71 years</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incremental borrowing rate - operating lease liabilities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521450" cy="406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8">
                      <a:extLst>
                        <a:ext uri="{28A0092B-C50C-407E-A947-70E740481C1C}"/>
                      </a:extLst>
                    </a:blip>
                    <a:srcRect/>
                    <a:stretch>
                      <a:fillRect/>
                    </a:stretch>
                  </pic:blipFill>
                  <pic:spPr bwMode="auto">
                    <a:xfrm>
                      <a:off x="0" y="0"/>
                      <a:ext cx="6521450" cy="406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1284605</wp:posOffset>
                </wp:positionV>
                <wp:extent cx="65055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1.15pt" to="512.6pt,101.15pt" o:allowincell="f" strokecolor="#000000" strokeweight="1pt"/>
            </w:pict>
          </mc:Fallback>
        </mc:AlternateContent>
      </w:r>
    </w:p>
    <w:p>
      <w:pPr>
        <w:sectPr>
          <w:pgSz w:w="12240" w:h="15840" w:orient="portrait"/>
          <w:cols w:equalWidth="0" w:num="1">
            <w:col w:w="10250"/>
          </w:cols>
          <w:pgMar w:left="99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19"/>
          <w:szCs w:val="19"/>
          <w:color w:val="auto"/>
        </w:rPr>
        <w:t>Page F- 23</w:t>
      </w:r>
    </w:p>
    <w:p>
      <w:pPr>
        <w:sectPr>
          <w:pgSz w:w="12240" w:h="15840" w:orient="portrait"/>
          <w:cols w:equalWidth="0" w:num="1">
            <w:col w:w="10250"/>
          </w:cols>
          <w:pgMar w:left="990" w:top="201" w:right="10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total lease cost for the years ended March 31, 2026 and 2025 (in thousands):</w:t>
      </w:r>
    </w:p>
    <w:p>
      <w:pPr>
        <w:spacing w:after="0" w:line="280" w:lineRule="exact"/>
        <w:rPr>
          <w:sz w:val="20"/>
          <w:szCs w:val="20"/>
          <w:color w:val="auto"/>
        </w:rPr>
      </w:pPr>
    </w:p>
    <w:p>
      <w:pPr>
        <w:ind w:left="7920"/>
        <w:spacing w:after="0"/>
        <w:tabs>
          <w:tab w:leader="none" w:pos="938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40500" cy="215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9">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50" w:lineRule="exact"/>
        <w:rPr>
          <w:sz w:val="20"/>
          <w:szCs w:val="20"/>
          <w:color w:val="auto"/>
        </w:rPr>
      </w:pPr>
    </w:p>
    <w:p>
      <w:pPr>
        <w:ind w:left="40"/>
        <w:spacing w:after="0"/>
        <w:tabs>
          <w:tab w:leader="none" w:pos="7420" w:val="left"/>
          <w:tab w:leader="none" w:pos="8220" w:val="left"/>
          <w:tab w:leader="none" w:pos="8880" w:val="left"/>
          <w:tab w:leader="none" w:pos="9700" w:val="left"/>
        </w:tabs>
        <w:rPr>
          <w:sz w:val="20"/>
          <w:szCs w:val="20"/>
          <w:color w:val="auto"/>
        </w:rPr>
      </w:pPr>
      <w:r>
        <w:rPr>
          <w:rFonts w:ascii="Times New Roman" w:cs="Times New Roman" w:eastAsia="Times New Roman" w:hAnsi="Times New Roman"/>
          <w:sz w:val="20"/>
          <w:szCs w:val="20"/>
          <w:color w:val="auto"/>
        </w:rPr>
        <w:t>Total operating lease cost*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1,821</w:t>
        <w:tab/>
        <w:t>$</w:t>
      </w:r>
      <w:r>
        <w:rPr>
          <w:sz w:val="20"/>
          <w:szCs w:val="20"/>
          <w:color w:val="auto"/>
        </w:rPr>
        <w:tab/>
      </w:r>
      <w:r>
        <w:rPr>
          <w:rFonts w:ascii="Times New Roman" w:cs="Times New Roman" w:eastAsia="Times New Roman" w:hAnsi="Times New Roman"/>
          <w:sz w:val="19"/>
          <w:szCs w:val="19"/>
          <w:color w:val="auto"/>
        </w:rPr>
        <w:t>1,997</w:t>
      </w:r>
    </w:p>
    <w:p>
      <w:pPr>
        <w:spacing w:after="0" w:line="202" w:lineRule="exact"/>
        <w:rPr>
          <w:sz w:val="20"/>
          <w:szCs w:val="20"/>
          <w:color w:val="auto"/>
        </w:rPr>
      </w:pPr>
    </w:p>
    <w:p>
      <w:pPr>
        <w:ind w:right="700" w:firstLine="720"/>
        <w:spacing w:after="0" w:line="281" w:lineRule="auto"/>
        <w:rPr>
          <w:sz w:val="20"/>
          <w:szCs w:val="20"/>
          <w:color w:val="auto"/>
        </w:rPr>
      </w:pPr>
      <w:r>
        <w:rPr>
          <w:rFonts w:ascii="Times New Roman" w:cs="Times New Roman" w:eastAsia="Times New Roman" w:hAnsi="Times New Roman"/>
          <w:sz w:val="20"/>
          <w:szCs w:val="20"/>
          <w:color w:val="auto"/>
        </w:rPr>
        <w:t>*Total operating lease cost is included in general and administrative expenses on the Company’s Consolidated Statements of Operations.</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supplemental balance sheet information as of March 31, 2026 and 2025 (in thousands):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 - right of use assets, net</w:t>
            </w:r>
          </w:p>
        </w:tc>
        <w:tc>
          <w:tcPr>
            <w:tcW w:w="860" w:type="dxa"/>
            <w:vAlign w:val="bottom"/>
          </w:tcPr>
          <w:p>
            <w:pPr>
              <w:jc w:val="right"/>
              <w:ind w:right="625"/>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4,069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4,829</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 - operating lease liabilities</w:t>
            </w:r>
          </w:p>
        </w:tc>
        <w:tc>
          <w:tcPr>
            <w:tcW w:w="860" w:type="dxa"/>
            <w:vAlign w:val="bottom"/>
          </w:tcPr>
          <w:p>
            <w:pPr>
              <w:jc w:val="right"/>
              <w:ind w:right="625"/>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1,424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 - operating lease liabilities</w:t>
            </w:r>
          </w:p>
        </w:tc>
        <w:tc>
          <w:tcPr>
            <w:tcW w:w="860" w:type="dxa"/>
            <w:vAlign w:val="bottom"/>
          </w:tcPr>
          <w:p>
            <w:pPr>
              <w:jc w:val="right"/>
              <w:ind w:right="625"/>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2,995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-575310</wp:posOffset>
            </wp:positionV>
            <wp:extent cx="6521450" cy="215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0">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-194310</wp:posOffset>
            </wp:positionV>
            <wp:extent cx="6521450" cy="215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1">
                      <a:extLst>
                        <a:ext uri="{28A0092B-C50C-407E-A947-70E740481C1C}"/>
                      </a:extLst>
                    </a:blip>
                    <a:srcRect/>
                    <a:stretch>
                      <a:fillRect/>
                    </a:stretch>
                  </pic:blipFill>
                  <pic:spPr bwMode="auto">
                    <a:xfrm>
                      <a:off x="0" y="0"/>
                      <a:ext cx="6521450" cy="215900"/>
                    </a:xfrm>
                    <a:prstGeom prst="rect">
                      <a:avLst/>
                    </a:prstGeom>
                    <a:noFill/>
                  </pic:spPr>
                </pic:pic>
              </a:graphicData>
            </a:graphic>
          </wp:anchor>
        </w:drawing>
      </w:r>
    </w:p>
    <w:p>
      <w:pPr>
        <w:spacing w:after="0" w:line="182"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Future minimum payments under existing non-cancellable leases for office and tower spaces (exclusive of real estate tax, utilities, maintenance and other costs borne by the Company) for the remaining terms of the leases following the year ended March 31, 2026 are as follows (in thousands):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60" w:type="dxa"/>
            <w:vAlign w:val="bottom"/>
          </w:tcPr>
          <w:p>
            <w:pPr>
              <w:spacing w:after="0"/>
              <w:rPr>
                <w:sz w:val="16"/>
                <w:szCs w:val="16"/>
                <w:color w:val="auto"/>
              </w:rPr>
            </w:pP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14"/>
        </w:trPr>
        <w:tc>
          <w:tcPr>
            <w:tcW w:w="87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277"/>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w:t>
            </w:r>
          </w:p>
        </w:tc>
        <w:tc>
          <w:tcPr>
            <w:tcW w:w="0" w:type="dxa"/>
            <w:vAlign w:val="bottom"/>
          </w:tcPr>
          <w:p>
            <w:pPr>
              <w:spacing w:after="0"/>
              <w:rPr>
                <w:sz w:val="1"/>
                <w:szCs w:val="1"/>
                <w:color w:val="auto"/>
              </w:rPr>
            </w:pPr>
          </w:p>
        </w:tc>
      </w:tr>
      <w:tr>
        <w:trPr>
          <w:trHeight w:val="300"/>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w:t>
            </w:r>
          </w:p>
        </w:tc>
        <w:tc>
          <w:tcPr>
            <w:tcW w:w="0" w:type="dxa"/>
            <w:vAlign w:val="bottom"/>
          </w:tcPr>
          <w:p>
            <w:pPr>
              <w:spacing w:after="0"/>
              <w:rPr>
                <w:sz w:val="1"/>
                <w:szCs w:val="1"/>
                <w:color w:val="auto"/>
              </w:rPr>
            </w:pPr>
          </w:p>
        </w:tc>
      </w:tr>
      <w:tr>
        <w:trPr>
          <w:trHeight w:val="300"/>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0" w:type="dxa"/>
            <w:vAlign w:val="bottom"/>
          </w:tcPr>
          <w:p>
            <w:pPr>
              <w:spacing w:after="0"/>
              <w:rPr>
                <w:sz w:val="1"/>
                <w:szCs w:val="1"/>
                <w:color w:val="auto"/>
              </w:rPr>
            </w:pPr>
          </w:p>
        </w:tc>
      </w:tr>
      <w:tr>
        <w:trPr>
          <w:trHeight w:val="300"/>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0" w:type="dxa"/>
            <w:vAlign w:val="bottom"/>
          </w:tcPr>
          <w:p>
            <w:pPr>
              <w:spacing w:after="0"/>
              <w:rPr>
                <w:sz w:val="1"/>
                <w:szCs w:val="1"/>
                <w:color w:val="auto"/>
              </w:rPr>
            </w:pPr>
          </w:p>
        </w:tc>
      </w:tr>
      <w:tr>
        <w:trPr>
          <w:trHeight w:val="300"/>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2031</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0" w:type="dxa"/>
            <w:vAlign w:val="bottom"/>
          </w:tcPr>
          <w:p>
            <w:pPr>
              <w:spacing w:after="0"/>
              <w:rPr>
                <w:sz w:val="1"/>
                <w:szCs w:val="1"/>
                <w:color w:val="auto"/>
              </w:rPr>
            </w:pPr>
          </w:p>
        </w:tc>
      </w:tr>
      <w:tr>
        <w:trPr>
          <w:trHeight w:val="303"/>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After 2031</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0" w:type="dxa"/>
            <w:vAlign w:val="bottom"/>
          </w:tcPr>
          <w:p>
            <w:pPr>
              <w:spacing w:after="0"/>
              <w:rPr>
                <w:sz w:val="1"/>
                <w:szCs w:val="1"/>
                <w:color w:val="auto"/>
              </w:rPr>
            </w:pPr>
          </w:p>
        </w:tc>
      </w:tr>
      <w:tr>
        <w:trPr>
          <w:trHeight w:val="277"/>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5,124</w:t>
            </w:r>
          </w:p>
        </w:tc>
        <w:tc>
          <w:tcPr>
            <w:tcW w:w="0" w:type="dxa"/>
            <w:vAlign w:val="bottom"/>
          </w:tcPr>
          <w:p>
            <w:pPr>
              <w:spacing w:after="0"/>
              <w:rPr>
                <w:sz w:val="1"/>
                <w:szCs w:val="1"/>
                <w:color w:val="auto"/>
              </w:rPr>
            </w:pPr>
          </w:p>
        </w:tc>
      </w:tr>
      <w:tr>
        <w:trPr>
          <w:trHeight w:val="303"/>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Amount representing interest</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(705)</w:t>
            </w:r>
          </w:p>
        </w:tc>
        <w:tc>
          <w:tcPr>
            <w:tcW w:w="0" w:type="dxa"/>
            <w:vAlign w:val="bottom"/>
          </w:tcPr>
          <w:p>
            <w:pPr>
              <w:spacing w:after="0"/>
              <w:rPr>
                <w:sz w:val="1"/>
                <w:szCs w:val="1"/>
                <w:color w:val="auto"/>
              </w:rPr>
            </w:pPr>
          </w:p>
        </w:tc>
      </w:tr>
      <w:tr>
        <w:trPr>
          <w:trHeight w:val="260"/>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net future minimum lease payments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4,419</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521450" cy="2159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2">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-1364615</wp:posOffset>
            </wp:positionV>
            <wp:extent cx="6521450" cy="215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3">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-983615</wp:posOffset>
            </wp:positionV>
            <wp:extent cx="6521450" cy="215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4">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-602615</wp:posOffset>
            </wp:positionV>
            <wp:extent cx="6521450" cy="215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5">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534150" cy="241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6">
                      <a:extLst>
                        <a:ext uri="{28A0092B-C50C-407E-A947-70E740481C1C}"/>
                      </a:extLst>
                    </a:blip>
                    <a:srcRect/>
                    <a:stretch>
                      <a:fillRect/>
                    </a:stretch>
                  </pic:blipFill>
                  <pic:spPr bwMode="auto">
                    <a:xfrm>
                      <a:off x="0" y="0"/>
                      <a:ext cx="6534150" cy="24130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13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For the year ended March 31, 2026, the Company had federal and state NOL carryforwards of approximately $194.2 million and $195.1 million, respectively. Of these state NOLs, approximately $162.2 million, are expiring in various amounts from 2026 through 2045. The remaining federal and state NOLs of approximately $194.2 million and $32.9 million, respectively, have an indefinite life but the federal NOLs may only offset 80% of taxable income when used. For the year ended March 31, 2025, the Company incurred federal and state operating losses of approximately $275.1 million and $207.0 million, respectively, to offset future taxable income of which $241.1 million federal NOL and $40.3 million of state NOLs can be carried forward indefinitely but can only offset 80% of taxable income when used.</w:t>
      </w:r>
    </w:p>
    <w:p>
      <w:pPr>
        <w:spacing w:after="0" w:line="90" w:lineRule="exact"/>
        <w:rPr>
          <w:sz w:val="20"/>
          <w:szCs w:val="20"/>
          <w:color w:val="auto"/>
        </w:rPr>
      </w:pPr>
    </w:p>
    <w:p>
      <w:pPr>
        <w:ind w:right="320" w:firstLine="720"/>
        <w:spacing w:after="0" w:line="275" w:lineRule="auto"/>
        <w:rPr>
          <w:sz w:val="20"/>
          <w:szCs w:val="20"/>
          <w:color w:val="auto"/>
        </w:rPr>
      </w:pPr>
      <w:r>
        <w:rPr>
          <w:rFonts w:ascii="Times New Roman" w:cs="Times New Roman" w:eastAsia="Times New Roman" w:hAnsi="Times New Roman"/>
          <w:sz w:val="19"/>
          <w:szCs w:val="19"/>
          <w:color w:val="auto"/>
        </w:rPr>
        <w:t>The Company has net deferred tax assets, before applying the valuation allowance, of approximately $64.8 million and $83.6 million relating principally to the NOLs as of March 31, 2026 and 2025, respectively. Federal NOL carryforwards may be subject to limitations as a result of the change in ownership that occurred in the year ended March 31, 2015, as defined under Internal Revenue Code Section 382. State NOL carryforwards are subject to limitations which differ from federal law in that they may not allow the carryback of net operating losses and have shorter carryforward periods.</w:t>
      </w:r>
    </w:p>
    <w:p>
      <w:pPr>
        <w:spacing w:after="0" w:line="65" w:lineRule="exact"/>
        <w:rPr>
          <w:sz w:val="20"/>
          <w:szCs w:val="20"/>
          <w:color w:val="auto"/>
        </w:rPr>
      </w:pPr>
    </w:p>
    <w:p>
      <w:pPr>
        <w:ind w:right="100" w:firstLine="720"/>
        <w:spacing w:after="0" w:line="269" w:lineRule="auto"/>
        <w:rPr>
          <w:sz w:val="20"/>
          <w:szCs w:val="20"/>
          <w:color w:val="auto"/>
        </w:rPr>
      </w:pPr>
      <w:r>
        <w:rPr>
          <w:rFonts w:ascii="Times New Roman" w:cs="Times New Roman" w:eastAsia="Times New Roman" w:hAnsi="Times New Roman"/>
          <w:sz w:val="19"/>
          <w:szCs w:val="19"/>
          <w:color w:val="auto"/>
        </w:rPr>
        <w:t xml:space="preserve">Accounting Standards Codification Topic 740,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xml:space="preserve"> (“ASC 740”), requires that a valuation allowance be recorded to reduce deferred tax assets when it is more likely than not that the tax benefit of the deferred tax assets will not be realized. The evaluation includes the consideration of all available evidence, both positive and negative, regarding historical operating results including recent years with reported losses, the estimated timing of future reversals of existing taxable temporary differences, estimated future taxable income exclusive of reversing temporary differences and carryforwards, and potential tax planning strategies which may be employed to prevent an operating loss or tax credit carryforward from expiring unused. In situations where a three-year cumulative loss condition exists, accounting standards limit the ability to consider projections of future results as positive evidence to assess the realizability of deferred tax assets. Since inception, the Company has mainly incurred tax losses which represents significant negative evidence toward the realizability of its deferred tax assets. Therefore, the Company continues to apply a full valuation allowance against its deferred tax assets as of March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358775</wp:posOffset>
                </wp:positionV>
                <wp:extent cx="650494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8.25pt" to="512.1pt,28.2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F- 24</w:t>
      </w:r>
    </w:p>
    <w:p>
      <w:pPr>
        <w:sectPr>
          <w:pgSz w:w="12240" w:h="15840" w:orient="portrait"/>
          <w:cols w:equalWidth="0" w:num="1">
            <w:col w:w="10240"/>
          </w:cols>
          <w:pgMar w:left="1000" w:top="201" w:right="100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2026 and 2025, with the exception of the net deferred tax liability of approximately $6.3 million and $6.6 million, respectively, regarding indefinite-lived intangibles.</w:t>
      </w:r>
    </w:p>
    <w:p>
      <w:pPr>
        <w:spacing w:after="0" w:line="61"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All remaining federal NOL carryforwards are indefinite lived. Utilization of these NOLs will be limited to 80% of future taxable income. The Company recorded $0.3 million and $0.6 million, respectively, of federal deferred tax expense during the years March 31, 2026 and 2025 and increased the federal deferred tax liability by the same amount due to the naked tax credit related to the indefinite-lived intangible. An analysis of the state NOL carryforwards revealed that most of them are not indefinite. The Company recorded $0.6 million and $0.3 million of state deferred tax benefit during the years March 31, 2026 and 2025 and decreased the state deferred tax liability by the same amount from the ability to use the state NOL carryforwards against the indefinite-lived intangible. This valuation allowance has no effect on the Company’s ability to utilize the deferred tax assets to offset future taxable income, if generated. As required by U.S. GAAP, the Company will continue to assess the likelihood that the deferred tax assets will be realizable in the future, and the valuation allowance will be adjusted accordingly. The tax benefits relating to any reversal of the valuation allowance on the net deferred tax assets in a future period will be recognized as a reduction of future income tax expense in that period.</w:t>
      </w:r>
    </w:p>
    <w:p>
      <w:pPr>
        <w:spacing w:after="0" w:line="93"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On July 4, 2025, the One Big Beautiful Bill Act (the “OBBBA” or the “Act”) was signed into law. The Act introduces a broad range of changes to U.S. federal income tax law affecting corporations, including, among other provisions, the permanent reinstatement of 100% bonus depreciation for qualifying property acquired after January 19, 2025; the restoration of immediate expensing of domestic research and experimental expenditures; modifications to the business interest expense limitation under Section 163(j) and revisions to the international tax provisions.</w:t>
      </w:r>
    </w:p>
    <w:p>
      <w:pPr>
        <w:spacing w:after="0" w:line="8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In accordance with ASC 740, the Company recognizes the effects of changes in tax law in the period of enactment. The Company has evaluated the provisions of the OBBBA and, based on its current operations and tax position, does not expect the Act to have a material impact on its consolidated financial statements, results of operations, cash flows, or effective tax rate. The Company will continue to monitor forthcoming regulatory guidance, technical corrections, and state conformity developments, and will reassess the impact of the Act as additional information becomes available.</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Net deferred tax assets and liabilities consist of the following as of March 31, 2026 and 2025 (in thousands):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Property and equipment</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Accrued expenses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revenue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27,171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26,852</w:t>
            </w: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operating loss carryforward</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70,267</w:t>
            </w: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w:t>
            </w: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Charitable contributions carryforward</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3"/>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5,688</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4,302</w:t>
            </w:r>
          </w:p>
        </w:tc>
      </w:tr>
      <w:tr>
        <w:trPr>
          <w:trHeight w:val="277"/>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asset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88,251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104,063</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 of use assets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w:t>
            </w:r>
          </w:p>
        </w:tc>
      </w:tr>
      <w:tr>
        <w:trPr>
          <w:trHeight w:val="303"/>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Indefinite-lived intangible assets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(22,263)</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(19,046)</w:t>
            </w:r>
          </w:p>
        </w:tc>
      </w:tr>
      <w:tr>
        <w:trPr>
          <w:trHeight w:val="28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liability</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(23,438)</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(20,391)</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and liabilities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83,672</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(71,136)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(90,278)</w:t>
            </w: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 and liabilities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(6,606)</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-3269615</wp:posOffset>
            </wp:positionV>
            <wp:extent cx="6534150" cy="32893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57">
                      <a:extLst>
                        <a:ext uri="{28A0092B-C50C-407E-A947-70E740481C1C}"/>
                      </a:extLst>
                    </a:blip>
                    <a:srcRect/>
                    <a:stretch>
                      <a:fillRect/>
                    </a:stretch>
                  </pic:blipFill>
                  <pic:spPr bwMode="auto">
                    <a:xfrm>
                      <a:off x="0" y="0"/>
                      <a:ext cx="6534150" cy="32893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1644650</wp:posOffset>
                </wp:positionV>
                <wp:extent cx="650494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9.5pt" to="512.1pt,129.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F- 25</w:t>
      </w:r>
    </w:p>
    <w:p>
      <w:pPr>
        <w:sectPr>
          <w:pgSz w:w="12240" w:h="15840" w:orient="portrait"/>
          <w:cols w:equalWidth="0" w:num="1">
            <w:col w:w="10240"/>
          </w:cols>
          <w:pgMar w:left="1000" w:top="201" w:right="1000" w:bottom="0" w:gutter="0" w:footer="0" w:header="0"/>
          <w:type w:val="continuous"/>
        </w:sectPr>
      </w:pPr>
    </w:p>
    <w:bookmarkStart w:id="78" w:name="page79"/>
    <w:bookmarkEnd w:id="78"/>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10" w:right="960" w:firstLine="720"/>
        <w:spacing w:after="0" w:line="281" w:lineRule="auto"/>
        <w:rPr>
          <w:sz w:val="20"/>
          <w:szCs w:val="20"/>
          <w:color w:val="auto"/>
        </w:rPr>
      </w:pPr>
      <w:r>
        <w:rPr>
          <w:rFonts w:ascii="Times New Roman" w:cs="Times New Roman" w:eastAsia="Times New Roman" w:hAnsi="Times New Roman"/>
          <w:sz w:val="20"/>
          <w:szCs w:val="20"/>
          <w:color w:val="auto"/>
        </w:rPr>
        <w:t>The components of the income tax expense for the years ended March 31, 2026 and 2025 are as follows (in thousands):</w:t>
      </w:r>
    </w:p>
    <w:p>
      <w:pPr>
        <w:spacing w:after="0" w:line="16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Federal</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State</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1,567</w:t>
            </w:r>
          </w:p>
        </w:tc>
      </w:tr>
      <w:tr>
        <w:trPr>
          <w:trHeight w:val="26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1,567</w:t>
            </w:r>
          </w:p>
        </w:tc>
      </w:tr>
      <w:tr>
        <w:trPr>
          <w:trHeight w:val="57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5"/>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Federal</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621</w:t>
            </w:r>
          </w:p>
        </w:tc>
      </w:tr>
      <w:tr>
        <w:trPr>
          <w:trHeight w:val="288"/>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State</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w:t>
            </w:r>
          </w:p>
        </w:tc>
      </w:tr>
      <w:tr>
        <w:trPr>
          <w:trHeight w:val="26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325</w:t>
            </w: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1,892</w:t>
            </w:r>
          </w:p>
        </w:tc>
      </w:tr>
      <w:tr>
        <w:trPr>
          <w:trHeight w:val="20"/>
        </w:trPr>
        <w:tc>
          <w:tcPr>
            <w:tcW w:w="7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6553200" cy="18605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8">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line="88" w:lineRule="exact"/>
        <w:rPr>
          <w:sz w:val="20"/>
          <w:szCs w:val="20"/>
          <w:color w:val="auto"/>
        </w:rPr>
      </w:pPr>
    </w:p>
    <w:p>
      <w:pPr>
        <w:jc w:val="both"/>
        <w:ind w:left="10" w:right="4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presents taxes paid by the Company net of refunds received after the adoption of ASU 2023-09 for the year ended March 31, 2026:</w: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8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88"/>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taxes paid</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w:t>
            </w:r>
          </w:p>
        </w:tc>
      </w:tr>
      <w:tr>
        <w:trPr>
          <w:trHeight w:val="285"/>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paid</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8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Colorado</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r>
      <w:tr>
        <w:trPr>
          <w:trHeight w:val="285"/>
        </w:trPr>
        <w:tc>
          <w:tcPr>
            <w:tcW w:w="8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Washington D.C.</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r>
      <w:tr>
        <w:trPr>
          <w:trHeight w:val="300"/>
        </w:trPr>
        <w:tc>
          <w:tcPr>
            <w:tcW w:w="8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Illinois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w:t>
            </w:r>
          </w:p>
        </w:tc>
      </w:tr>
      <w:tr>
        <w:trPr>
          <w:trHeight w:val="300"/>
        </w:trPr>
        <w:tc>
          <w:tcPr>
            <w:tcW w:w="8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Minnesota</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w:t>
            </w:r>
          </w:p>
        </w:tc>
      </w:tr>
      <w:tr>
        <w:trPr>
          <w:trHeight w:val="300"/>
        </w:trPr>
        <w:tc>
          <w:tcPr>
            <w:tcW w:w="87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Virginia</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r>
      <w:tr>
        <w:trPr>
          <w:trHeight w:val="288"/>
        </w:trPr>
        <w:tc>
          <w:tcPr>
            <w:tcW w:w="8780" w:type="dxa"/>
            <w:vAlign w:val="bottom"/>
          </w:tcPr>
          <w:p>
            <w:pPr>
              <w:ind w:left="220"/>
              <w:spacing w:after="0" w:line="288" w:lineRule="exact"/>
              <w:rPr>
                <w:sz w:val="20"/>
                <w:szCs w:val="20"/>
                <w:color w:val="auto"/>
              </w:rPr>
            </w:pPr>
            <w:r>
              <w:rPr>
                <w:rFonts w:ascii="Times New Roman" w:cs="Times New Roman" w:eastAsia="Times New Roman" w:hAnsi="Times New Roman"/>
                <w:sz w:val="20"/>
                <w:szCs w:val="20"/>
                <w:color w:val="auto"/>
              </w:rPr>
              <w:t>Other jurisdictions</w:t>
            </w:r>
            <w:r>
              <w:rPr>
                <w:rFonts w:ascii="Times New Roman" w:cs="Times New Roman" w:eastAsia="Times New Roman" w:hAnsi="Times New Roman"/>
                <w:sz w:val="26"/>
                <w:szCs w:val="26"/>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265"/>
        </w:trPr>
        <w:tc>
          <w:tcPr>
            <w:tcW w:w="87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state income taxes paid</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3,403</w:t>
            </w:r>
          </w:p>
        </w:tc>
      </w:tr>
      <w:tr>
        <w:trPr>
          <w:trHeight w:val="245"/>
        </w:trPr>
        <w:tc>
          <w:tcPr>
            <w:tcW w:w="8780" w:type="dxa"/>
            <w:vAlign w:val="bottom"/>
          </w:tcPr>
          <w:p>
            <w:pPr>
              <w:spacing w:after="0" w:line="245" w:lineRule="exact"/>
              <w:rPr>
                <w:sz w:val="20"/>
                <w:szCs w:val="20"/>
                <w:color w:val="auto"/>
              </w:rPr>
            </w:pPr>
            <w:r>
              <w:rPr>
                <w:rFonts w:ascii="Times New Roman" w:cs="Times New Roman" w:eastAsia="Times New Roman" w:hAnsi="Times New Roman"/>
                <w:sz w:val="20"/>
                <w:szCs w:val="20"/>
                <w:color w:val="auto"/>
              </w:rPr>
              <w:t xml:space="preserve">Total income taxes paid </w:t>
            </w:r>
            <w:r>
              <w:rPr>
                <w:rFonts w:ascii="Times New Roman" w:cs="Times New Roman" w:eastAsia="Times New Roman" w:hAnsi="Times New Roman"/>
                <w:sz w:val="26"/>
                <w:szCs w:val="26"/>
                <w:color w:val="auto"/>
                <w:vertAlign w:val="superscript"/>
              </w:rPr>
              <w:t>(2)</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5,808</w:t>
            </w:r>
          </w:p>
        </w:tc>
      </w:tr>
      <w:tr>
        <w:trPr>
          <w:trHeight w:val="20"/>
        </w:trPr>
        <w:tc>
          <w:tcPr>
            <w:tcW w:w="8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-1878965</wp:posOffset>
            </wp:positionV>
            <wp:extent cx="6534150" cy="18986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9">
                      <a:extLst>
                        <a:ext uri="{28A0092B-C50C-407E-A947-70E740481C1C}"/>
                      </a:extLst>
                    </a:blip>
                    <a:srcRect/>
                    <a:stretch>
                      <a:fillRect/>
                    </a:stretch>
                  </pic:blipFill>
                  <pic:spPr bwMode="auto">
                    <a:xfrm>
                      <a:off x="0" y="0"/>
                      <a:ext cx="6534150" cy="1898650"/>
                    </a:xfrm>
                    <a:prstGeom prst="rect">
                      <a:avLst/>
                    </a:prstGeom>
                    <a:noFill/>
                  </pic:spPr>
                </pic:pic>
              </a:graphicData>
            </a:graphic>
          </wp:anchor>
        </w:drawing>
      </w:r>
    </w:p>
    <w:p>
      <w:pPr>
        <w:spacing w:after="0" w:line="108" w:lineRule="exact"/>
        <w:rPr>
          <w:sz w:val="20"/>
          <w:szCs w:val="20"/>
          <w:color w:val="auto"/>
        </w:rPr>
      </w:pPr>
    </w:p>
    <w:p>
      <w:pPr>
        <w:ind w:left="370" w:hanging="370"/>
        <w:spacing w:after="0"/>
        <w:tabs>
          <w:tab w:leader="none" w:pos="37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jurisdictions include income taxes paid during the year for states that do not meet the 5% disaggregation threshold.</w:t>
      </w:r>
    </w:p>
    <w:p>
      <w:pPr>
        <w:spacing w:after="0" w:line="130" w:lineRule="exact"/>
        <w:rPr>
          <w:rFonts w:ascii="Times New Roman" w:cs="Times New Roman" w:eastAsia="Times New Roman" w:hAnsi="Times New Roman"/>
          <w:sz w:val="20"/>
          <w:szCs w:val="20"/>
          <w:color w:val="auto"/>
        </w:rPr>
      </w:pPr>
    </w:p>
    <w:p>
      <w:pPr>
        <w:ind w:left="370" w:right="40" w:hanging="370"/>
        <w:spacing w:after="0" w:line="281" w:lineRule="auto"/>
        <w:tabs>
          <w:tab w:leader="none" w:pos="37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 paid include only taxes within the scope of ASC 740 net of refunds and exclude non-income based taxes such as excise and sales taxes.</w:t>
      </w:r>
    </w:p>
    <w:p>
      <w:pPr>
        <w:spacing w:after="0" w:line="61" w:lineRule="exact"/>
        <w:rPr>
          <w:sz w:val="20"/>
          <w:szCs w:val="20"/>
          <w:color w:val="auto"/>
        </w:rPr>
      </w:pPr>
    </w:p>
    <w:p>
      <w:pPr>
        <w:ind w:left="10" w:right="200" w:firstLine="720"/>
        <w:spacing w:after="0" w:line="281" w:lineRule="auto"/>
        <w:rPr>
          <w:sz w:val="20"/>
          <w:szCs w:val="20"/>
          <w:color w:val="auto"/>
        </w:rPr>
      </w:pPr>
      <w:r>
        <w:rPr>
          <w:rFonts w:ascii="Times New Roman" w:cs="Times New Roman" w:eastAsia="Times New Roman" w:hAnsi="Times New Roman"/>
          <w:sz w:val="20"/>
          <w:szCs w:val="20"/>
          <w:color w:val="auto"/>
        </w:rPr>
        <w:t>The differences between the United States federal statutory tax rate and the Company’s effective tax rate for the year ended March 31, 2026 after the adoption of ASU 2023-09 are as follows (in thousands):</w:t>
      </w:r>
    </w:p>
    <w:p>
      <w:pPr>
        <w:spacing w:after="0" w:line="1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20" w:type="dxa"/>
            <w:vAlign w:val="bottom"/>
            <w:tcBorders>
              <w:bottom w:val="single" w:sz="8" w:color="auto"/>
            </w:tcBorders>
          </w:tcPr>
          <w:p>
            <w:pPr>
              <w:spacing w:after="0"/>
              <w:rPr>
                <w:sz w:val="18"/>
                <w:szCs w:val="18"/>
                <w:color w:val="auto"/>
              </w:rPr>
            </w:pPr>
          </w:p>
        </w:tc>
      </w:tr>
      <w:tr>
        <w:trPr>
          <w:trHeight w:val="26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Statutory federal tax</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1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State income taxes, net of federal benefit </w:t>
            </w:r>
            <w:r>
              <w:rPr>
                <w:rFonts w:ascii="Times New Roman" w:cs="Times New Roman" w:eastAsia="Times New Roman" w:hAnsi="Times New Roman"/>
                <w:sz w:val="26"/>
                <w:szCs w:val="26"/>
                <w:color w:val="auto"/>
                <w:vertAlign w:val="superscript"/>
              </w:rPr>
              <w:t>(1)</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Federal</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(18,952)</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Incentive stock option expense</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 permanent differences</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162M executive compensation limit</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Intangibles - FCC licenses</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8"/>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5,071</w:t>
            </w:r>
          </w:p>
        </w:tc>
        <w:tc>
          <w:tcPr>
            <w:tcW w:w="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7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6553200" cy="18605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0">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line="108" w:lineRule="exact"/>
        <w:rPr>
          <w:sz w:val="20"/>
          <w:szCs w:val="20"/>
          <w:color w:val="auto"/>
        </w:rPr>
      </w:pPr>
    </w:p>
    <w:p>
      <w:pPr>
        <w:ind w:left="370" w:hanging="370"/>
        <w:spacing w:after="0"/>
        <w:tabs>
          <w:tab w:leader="none" w:pos="37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taxes in Illinois made up greater than 50% of the tax effect in this category.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926465</wp:posOffset>
                </wp:positionV>
                <wp:extent cx="65055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2.95pt" to="512.6pt,72.95pt" o:allowincell="f" strokecolor="#000000" strokeweight="1pt"/>
            </w:pict>
          </mc:Fallback>
        </mc:AlternateContent>
      </w:r>
    </w:p>
    <w:p>
      <w:pPr>
        <w:sectPr>
          <w:pgSz w:w="12240" w:h="15840" w:orient="portrait"/>
          <w:cols w:equalWidth="0" w:num="1">
            <w:col w:w="10270"/>
          </w:cols>
          <w:pgMar w:left="99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19"/>
          <w:szCs w:val="19"/>
          <w:color w:val="auto"/>
        </w:rPr>
        <w:t>Page F- 26</w:t>
      </w:r>
    </w:p>
    <w:p>
      <w:pPr>
        <w:sectPr>
          <w:pgSz w:w="12240" w:h="15840" w:orient="portrait"/>
          <w:cols w:equalWidth="0" w:num="1">
            <w:col w:w="10270"/>
          </w:cols>
          <w:pgMar w:left="990" w:top="201" w:right="98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200" w:firstLine="720"/>
        <w:spacing w:after="0" w:line="281" w:lineRule="auto"/>
        <w:rPr>
          <w:sz w:val="20"/>
          <w:szCs w:val="20"/>
          <w:color w:val="auto"/>
        </w:rPr>
      </w:pPr>
      <w:r>
        <w:rPr>
          <w:rFonts w:ascii="Times New Roman" w:cs="Times New Roman" w:eastAsia="Times New Roman" w:hAnsi="Times New Roman"/>
          <w:sz w:val="20"/>
          <w:szCs w:val="20"/>
          <w:color w:val="auto"/>
        </w:rPr>
        <w:t>The differences between the United States federal statutory tax rate and the Company’s effective tax rate for the year ended March 31, 2025 before the adoption of ASU 2023-09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18"/>
                <w:szCs w:val="18"/>
                <w:color w:val="auto"/>
              </w:rPr>
            </w:pPr>
          </w:p>
        </w:tc>
      </w:tr>
      <w:tr>
        <w:trPr>
          <w:trHeight w:val="26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Statutory federal tax</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Incentive stock option expense</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 permanent differences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162M executive compensation limit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Federal</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8"/>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Prior year adjustments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1,892</w:t>
            </w:r>
          </w:p>
        </w:tc>
        <w:tc>
          <w:tcPr>
            <w:tcW w:w="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0"/>
        </w:trPr>
        <w:tc>
          <w:tcPr>
            <w:tcW w:w="7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1">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 Compensation</w:t>
      </w:r>
    </w:p>
    <w:p>
      <w:pPr>
        <w:spacing w:after="0" w:line="137" w:lineRule="exact"/>
        <w:rPr>
          <w:sz w:val="20"/>
          <w:szCs w:val="20"/>
          <w:color w:val="auto"/>
        </w:rPr>
      </w:pPr>
    </w:p>
    <w:p>
      <w:pPr>
        <w:jc w:val="both"/>
        <w:ind w:right="220" w:firstLine="720"/>
        <w:spacing w:after="0" w:line="260" w:lineRule="auto"/>
        <w:rPr>
          <w:sz w:val="20"/>
          <w:szCs w:val="20"/>
          <w:color w:val="auto"/>
        </w:rPr>
      </w:pPr>
      <w:r>
        <w:rPr>
          <w:rFonts w:ascii="Times New Roman" w:cs="Times New Roman" w:eastAsia="Times New Roman" w:hAnsi="Times New Roman"/>
          <w:sz w:val="20"/>
          <w:szCs w:val="20"/>
          <w:color w:val="auto"/>
        </w:rPr>
        <w:t>The 2023 Stock Plan permits the Company to grant equity compensation awards to employees, consultants and non-employee directors of the Company. The 2023 Stock Plan authorizes 1,350,000 shares of common stock of the Company (the “Shares”) for grant, plus remaining available for issuance under previous plans. As of March 31, 2026, under the 2023 Stock Plan, 762,367 Shares are available for future issuance.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and Restricted Stock Units</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non-vested restricted stock activity for the year ended March 31, 2026 is as follows: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8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7220" w:type="dxa"/>
            <w:vAlign w:val="bottom"/>
          </w:tcPr>
          <w:p>
            <w:pPr>
              <w:spacing w:after="0"/>
              <w:rPr>
                <w:sz w:val="13"/>
                <w:szCs w:val="13"/>
                <w:color w:val="auto"/>
              </w:rPr>
            </w:pPr>
          </w:p>
        </w:tc>
        <w:tc>
          <w:tcPr>
            <w:tcW w:w="1500" w:type="dxa"/>
            <w:vAlign w:val="bottom"/>
            <w:vMerge w:val="restart"/>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69"/>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0"/>
        </w:trPr>
        <w:tc>
          <w:tcPr>
            <w:tcW w:w="72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69"/>
              <w:spacing w:after="0" w:line="160" w:lineRule="exact"/>
              <w:rPr>
                <w:sz w:val="20"/>
                <w:szCs w:val="20"/>
                <w:color w:val="auto"/>
              </w:rPr>
            </w:pPr>
            <w:r>
              <w:rPr>
                <w:rFonts w:ascii="Times New Roman" w:cs="Times New Roman" w:eastAsia="Times New Roman" w:hAnsi="Times New Roman"/>
                <w:sz w:val="16"/>
                <w:szCs w:val="16"/>
                <w:b w:val="1"/>
                <w:bCs w:val="1"/>
                <w:color w:val="auto"/>
                <w:w w:val="98"/>
              </w:rPr>
              <w:t>Grant Day</w:t>
            </w:r>
          </w:p>
        </w:tc>
        <w:tc>
          <w:tcPr>
            <w:tcW w:w="0" w:type="dxa"/>
            <w:vAlign w:val="bottom"/>
          </w:tcPr>
          <w:p>
            <w:pPr>
              <w:spacing w:after="0"/>
              <w:rPr>
                <w:sz w:val="1"/>
                <w:szCs w:val="1"/>
                <w:color w:val="auto"/>
              </w:rPr>
            </w:pPr>
          </w:p>
        </w:tc>
      </w:tr>
      <w:tr>
        <w:trPr>
          <w:trHeight w:val="214"/>
        </w:trPr>
        <w:tc>
          <w:tcPr>
            <w:tcW w:w="7220" w:type="dxa"/>
            <w:vAlign w:val="bottom"/>
          </w:tcPr>
          <w:p>
            <w:pPr>
              <w:spacing w:after="0"/>
              <w:rPr>
                <w:sz w:val="18"/>
                <w:szCs w:val="18"/>
                <w:color w:val="auto"/>
              </w:rPr>
            </w:pPr>
          </w:p>
        </w:tc>
        <w:tc>
          <w:tcPr>
            <w:tcW w:w="150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62"/>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Non-vested restricted stock outstanding at March 31, 2025</w:t>
            </w: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269,799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41.47</w:t>
            </w:r>
          </w:p>
        </w:tc>
        <w:tc>
          <w:tcPr>
            <w:tcW w:w="0" w:type="dxa"/>
            <w:vAlign w:val="bottom"/>
          </w:tcPr>
          <w:p>
            <w:pPr>
              <w:spacing w:after="0"/>
              <w:rPr>
                <w:sz w:val="1"/>
                <w:szCs w:val="1"/>
                <w:color w:val="auto"/>
              </w:rPr>
            </w:pPr>
          </w:p>
        </w:tc>
      </w:tr>
      <w:tr>
        <w:trPr>
          <w:trHeight w:val="285"/>
        </w:trPr>
        <w:tc>
          <w:tcPr>
            <w:tcW w:w="7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153,001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26.45</w:t>
            </w:r>
          </w:p>
        </w:tc>
        <w:tc>
          <w:tcPr>
            <w:tcW w:w="0" w:type="dxa"/>
            <w:vAlign w:val="bottom"/>
          </w:tcPr>
          <w:p>
            <w:pPr>
              <w:spacing w:after="0"/>
              <w:rPr>
                <w:sz w:val="1"/>
                <w:szCs w:val="1"/>
                <w:color w:val="auto"/>
              </w:rPr>
            </w:pPr>
          </w:p>
        </w:tc>
      </w:tr>
      <w:tr>
        <w:trPr>
          <w:trHeight w:val="285"/>
        </w:trPr>
        <w:tc>
          <w:tcPr>
            <w:tcW w:w="7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(175,016)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41.99</w:t>
            </w:r>
          </w:p>
        </w:tc>
        <w:tc>
          <w:tcPr>
            <w:tcW w:w="0" w:type="dxa"/>
            <w:vAlign w:val="bottom"/>
          </w:tcPr>
          <w:p>
            <w:pPr>
              <w:spacing w:after="0"/>
              <w:rPr>
                <w:sz w:val="1"/>
                <w:szCs w:val="1"/>
                <w:color w:val="auto"/>
              </w:rPr>
            </w:pPr>
          </w:p>
        </w:tc>
      </w:tr>
      <w:tr>
        <w:trPr>
          <w:trHeight w:val="288"/>
        </w:trPr>
        <w:tc>
          <w:tcPr>
            <w:tcW w:w="72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(52,132)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38.21</w:t>
            </w:r>
          </w:p>
        </w:tc>
        <w:tc>
          <w:tcPr>
            <w:tcW w:w="0" w:type="dxa"/>
            <w:vAlign w:val="bottom"/>
          </w:tcPr>
          <w:p>
            <w:pPr>
              <w:spacing w:after="0"/>
              <w:rPr>
                <w:sz w:val="1"/>
                <w:szCs w:val="1"/>
                <w:color w:val="auto"/>
              </w:rPr>
            </w:pPr>
          </w:p>
        </w:tc>
      </w:tr>
      <w:tr>
        <w:trPr>
          <w:trHeight w:val="245"/>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Non-vested restricted stock outstanding at March 31, 2026</w:t>
            </w: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195,652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30.12</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2">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reflects activity related to the Company’s restricted stock for the years ended March 31, 2026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grant-date fair value per unit granted</w:t>
            </w:r>
          </w:p>
        </w:tc>
        <w:tc>
          <w:tcPr>
            <w:tcW w:w="860" w:type="dxa"/>
            <w:vAlign w:val="bottom"/>
          </w:tcPr>
          <w:p>
            <w:pPr>
              <w:jc w:val="right"/>
              <w:ind w:right="607"/>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26.45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34.30</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restricted stock units vested (in thousands)</w:t>
            </w:r>
          </w:p>
        </w:tc>
        <w:tc>
          <w:tcPr>
            <w:tcW w:w="860" w:type="dxa"/>
            <w:vAlign w:val="bottom"/>
          </w:tcPr>
          <w:p>
            <w:pPr>
              <w:jc w:val="right"/>
              <w:ind w:right="607"/>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7,348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540500" cy="406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3">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Stock compensation expense related to restricted stock was approximately $4.6 million for the year ended March 31,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 which included $3.6 million in general and administrative expenses, $0.6 million in product development and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remainder of approximately $0.4 million included in sales and support reported on the Company’s Consolidated Statements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 Stock compensation expense related to restricted stock was approximately $7.9 million for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2025, which included $7.5 million in general and administrative expenses, $0.2 million in product development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remainder of approximately $0.2 million included in sales and support reported on the Company’s Consolidated Statements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Operations.</w:t>
      </w:r>
    </w:p>
    <w:p>
      <w:pPr>
        <w:spacing w:after="0" w:line="110"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As of March 31, 2026 and 2025, there was $3.3 million and $6.0 million, respectively, of unrecognized compensation expense for the restricted stock, which is expected to be recognized over a weighted average period of 1.75 years and 1.26 years,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Restricted Stock Units</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were no performance-based restricted stock units outstanding as of March 31, 2026 and 2025.</w:t>
      </w:r>
    </w:p>
    <w:p>
      <w:pPr>
        <w:spacing w:after="0" w:line="130"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Company recorded approximately zero and $0.5 million of stock compensation expense relating to performance-based restricted stock units for the years ended March 31, 2026 and 2025, respectively, included in general and administrative expenses reported on the Company’s Consolidated Statements of Operations. As of March 31, 2026 and 2025, the performance-based shares were fully 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283845</wp:posOffset>
                </wp:positionV>
                <wp:extent cx="650494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2.35pt" to="512.1pt,22.35pt" o:allowincell="f" strokecolor="#000000" strokeweight="1pt"/>
            </w:pict>
          </mc:Fallback>
        </mc:AlternateContent>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74"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F- 27</w:t>
      </w:r>
    </w:p>
    <w:p>
      <w:pPr>
        <w:sectPr>
          <w:pgSz w:w="12240" w:h="15840" w:orient="portrait"/>
          <w:cols w:equalWidth="0" w:num="1">
            <w:col w:w="10260"/>
          </w:cols>
          <w:pgMar w:left="1000" w:top="201" w:right="9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Cumulative Spectrum Proceeds Monetized</w:t>
      </w:r>
    </w:p>
    <w:p>
      <w:pPr>
        <w:spacing w:after="0" w:line="134" w:lineRule="exact"/>
        <w:rPr>
          <w:sz w:val="20"/>
          <w:szCs w:val="20"/>
          <w:color w:val="auto"/>
        </w:rPr>
      </w:pPr>
    </w:p>
    <w:p>
      <w:pPr>
        <w:ind w:right="40" w:firstLine="720"/>
        <w:spacing w:after="0" w:line="271" w:lineRule="auto"/>
        <w:rPr>
          <w:sz w:val="20"/>
          <w:szCs w:val="20"/>
          <w:color w:val="auto"/>
        </w:rPr>
      </w:pPr>
      <w:r>
        <w:rPr>
          <w:rFonts w:ascii="Times New Roman" w:cs="Times New Roman" w:eastAsia="Times New Roman" w:hAnsi="Times New Roman"/>
          <w:sz w:val="19"/>
          <w:szCs w:val="19"/>
          <w:color w:val="auto"/>
        </w:rPr>
        <w:t>On December 31, 2020, the Compensation Committee awarded performance-based restricted units to Mr. Schwartz as part of the then CEO succession plan. The performance-based restricted units were to vest on a determination date of June 24, 2024 (“Determination Date”), based on the Cumulative Spectrum Proceeds Monetized (“CSPM”) metric over a four-year measurement period commencing on June 24, 2020, with 15,025 units vesting if the minimum CSPM level is achieved, 30,049 units vesting if the target CSPM metric is achieved and up to 60,098 vesting if the maximum CSPM metric is achieved. Due to the timing of the execution of the Oncor Agreement, the Company entered into an amendment agreement, effectively extending the Determination Date to June 27, 2024. The amendment resulted in 15,800 shares vesting based on the CSPM level achieved.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Chief Executive Officer Transition</w:t>
      </w:r>
    </w:p>
    <w:p>
      <w:pPr>
        <w:spacing w:after="0" w:line="134"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In connection with Mr. Schwartz’s Transition Agreement, 68,788 unvested time-based awards and 33,417 performance-based awards accelerated and vested on a pro-rated basis. Mr. Schwartz was also granted an option exercise period extension for each of his outstanding stock option awards equal to the lesser of two years from the Separation Date (as defined in the Transition Agreement) or the applicable expiration term of the stock option awards, which resulted in additional stock compensation expense of $1.1 million included in severance and other related charges expense reported on the Company’s Consolidated Statements of Operations for the year ended March 31,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Stockholder Return</w:t>
      </w:r>
    </w:p>
    <w:p>
      <w:pPr>
        <w:spacing w:after="0" w:line="134"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The performance-based restricted units will vest upon continued service and achievement of certain stock price levels calculated using a four-year compound annual growth rate and based on the average closing bid price per share of the Company’s common stock measured over a sixty-trading day period (“Stock Price Levels”). Shares will vest in a range of 25% to 350% of the 45,000 target reported units based on achieving specified Stock Price Levels. The vesting end measurement date is February 1, 2025, with earlier vesting determination dates upon a change in control of the Company, involuntary termination of the CEO or twelve months following the achievement of the maximum stock price level. The performance-based restricted units accelerated and vested on a pro-rated basis in connection with the CEO Transition noted above.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restricted stock units modification</w:t>
      </w:r>
    </w:p>
    <w:p>
      <w:pPr>
        <w:spacing w:after="0" w:line="134"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In October 2024, the Company awarded the newly appointed President and Chief Executive Officer 97,631 performance-based restricted stock units. In January 2025, the Board approved the replacement of the performance-based units with 191,326 time-based stock options. The time-based stock options have a contractual life of 10 years and the shares will vest in three equal annual installments, based on continuous service of such officer to the Company through the applicable vesting dates. As a result of the change, the Company accounted for the modification as a Type I modification, resulting in $1.4 million of incremental fair value, of which $0.1 million was recorded immediately during the year ended March 31, 2025. The incremental compensation cost is measured as the excess of the fair value of the modified award over the fair value of the original award immediately before its terms were modified and recognized over the period from the modification date through the end of the requisite service period of the newly granted awards.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Stock Option activity for the year ended March 31, 2026 is as follows: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200" w:type="dxa"/>
            <w:vAlign w:val="bottom"/>
            <w:vMerge w:val="restart"/>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24"/>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8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77"/>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March 31,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1,665,765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38.31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488,116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38.59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Options 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(189,972)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28.71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Options forfeited/expired/cancelled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(319,703)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39.18</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March 31, 2026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1,644,206</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38.79</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4,283,583</w:t>
            </w:r>
          </w:p>
        </w:tc>
        <w:tc>
          <w:tcPr>
            <w:tcW w:w="0" w:type="dxa"/>
            <w:vAlign w:val="bottom"/>
          </w:tcPr>
          <w:p>
            <w:pPr>
              <w:spacing w:after="0"/>
              <w:rPr>
                <w:sz w:val="1"/>
                <w:szCs w:val="1"/>
                <w:color w:val="auto"/>
              </w:rPr>
            </w:pPr>
          </w:p>
        </w:tc>
      </w:tr>
      <w:tr>
        <w:trPr>
          <w:trHeight w:val="28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at March 31, 2026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885,696</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43.27</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1,749,508</w:t>
            </w:r>
          </w:p>
        </w:tc>
        <w:tc>
          <w:tcPr>
            <w:tcW w:w="0" w:type="dxa"/>
            <w:vAlign w:val="bottom"/>
          </w:tcPr>
          <w:p>
            <w:pPr>
              <w:spacing w:after="0"/>
              <w:rPr>
                <w:sz w:val="1"/>
                <w:szCs w:val="1"/>
                <w:color w:val="auto"/>
              </w:rPr>
            </w:pPr>
          </w:p>
        </w:tc>
      </w:tr>
      <w:tr>
        <w:trPr>
          <w:trHeight w:val="28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Total vested or expected to vest at March 31, 2026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1,643,064</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38.79</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4,283,583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-1351915</wp:posOffset>
            </wp:positionV>
            <wp:extent cx="6521450" cy="13589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4">
                      <a:extLst>
                        <a:ext uri="{28A0092B-C50C-407E-A947-70E740481C1C}"/>
                      </a:extLst>
                    </a:blip>
                    <a:srcRect/>
                    <a:stretch>
                      <a:fillRect/>
                    </a:stretch>
                  </pic:blipFill>
                  <pic:spPr bwMode="auto">
                    <a:xfrm>
                      <a:off x="0" y="0"/>
                      <a:ext cx="6521450" cy="1358900"/>
                    </a:xfrm>
                    <a:prstGeom prst="rect">
                      <a:avLst/>
                    </a:prstGeom>
                    <a:noFill/>
                  </pic:spPr>
                </pic:pic>
              </a:graphicData>
            </a:graphic>
          </wp:anchor>
        </w:drawing>
      </w:r>
    </w:p>
    <w:p>
      <w:pPr>
        <w:spacing w:after="0" w:line="128" w:lineRule="exact"/>
        <w:rPr>
          <w:sz w:val="20"/>
          <w:szCs w:val="20"/>
          <w:color w:val="auto"/>
        </w:rPr>
      </w:pPr>
    </w:p>
    <w:p>
      <w:pPr>
        <w:ind w:right="360" w:firstLine="720"/>
        <w:spacing w:after="0" w:line="281" w:lineRule="auto"/>
        <w:rPr>
          <w:sz w:val="20"/>
          <w:szCs w:val="20"/>
          <w:color w:val="auto"/>
        </w:rPr>
      </w:pPr>
      <w:r>
        <w:rPr>
          <w:rFonts w:ascii="Times New Roman" w:cs="Times New Roman" w:eastAsia="Times New Roman" w:hAnsi="Times New Roman"/>
          <w:sz w:val="20"/>
          <w:szCs w:val="20"/>
          <w:color w:val="auto"/>
        </w:rPr>
        <w:t>The intrinsic value of stock options exercised was approximately $0.9 million and $2.9 million for the years ended March 31, 2026 and 2025,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748665</wp:posOffset>
                </wp:positionV>
                <wp:extent cx="650494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8.95pt" to="512.1pt,58.95pt" o:allowincell="f" strokecolor="#000000" strokeweight="1pt"/>
            </w:pict>
          </mc:Fallback>
        </mc:AlternateContent>
      </w:r>
    </w:p>
    <w:p>
      <w:pPr>
        <w:sectPr>
          <w:pgSz w:w="12240" w:h="15840" w:orient="portrait"/>
          <w:cols w:equalWidth="0" w:num="1">
            <w:col w:w="10240"/>
          </w:cols>
          <w:pgMar w:left="1000" w:top="2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F- 28</w:t>
      </w:r>
    </w:p>
    <w:p>
      <w:pPr>
        <w:sectPr>
          <w:pgSz w:w="12240" w:h="15840" w:orient="portrait"/>
          <w:cols w:equalWidth="0" w:num="1">
            <w:col w:w="10240"/>
          </w:cols>
          <w:pgMar w:left="1000" w:top="201" w:right="100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assumptions were used to calculate the fair value of stock options: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91"/>
        </w:trPr>
        <w:tc>
          <w:tcPr>
            <w:tcW w:w="6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0" w:type="dxa"/>
            <w:vAlign w:val="bottom"/>
          </w:tcPr>
          <w:p>
            <w:pPr>
              <w:spacing w:after="0"/>
              <w:rPr>
                <w:sz w:val="1"/>
                <w:szCs w:val="1"/>
                <w:color w:val="auto"/>
              </w:rPr>
            </w:pPr>
          </w:p>
        </w:tc>
      </w:tr>
      <w:tr>
        <w:trPr>
          <w:trHeight w:val="262"/>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60" w:type="dxa"/>
            <w:vAlign w:val="bottom"/>
          </w:tcPr>
          <w:p>
            <w:pPr>
              <w:spacing w:after="0"/>
              <w:rPr>
                <w:sz w:val="22"/>
                <w:szCs w:val="22"/>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20"/>
                <w:szCs w:val="20"/>
                <w:color w:val="auto"/>
              </w:rPr>
              <w:t>3.74% to 4.53%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20"/>
                <w:szCs w:val="20"/>
                <w:color w:val="auto"/>
              </w:rPr>
              <w:t>3.72% to 4.43%</w:t>
            </w:r>
          </w:p>
        </w:tc>
        <w:tc>
          <w:tcPr>
            <w:tcW w:w="0" w:type="dxa"/>
            <w:vAlign w:val="bottom"/>
          </w:tcPr>
          <w:p>
            <w:pPr>
              <w:spacing w:after="0"/>
              <w:rPr>
                <w:sz w:val="1"/>
                <w:szCs w:val="1"/>
                <w:color w:val="auto"/>
              </w:rPr>
            </w:pPr>
          </w:p>
        </w:tc>
      </w:tr>
      <w:tr>
        <w:trPr>
          <w:trHeight w:val="285"/>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60" w:type="dxa"/>
            <w:vAlign w:val="bottom"/>
          </w:tcPr>
          <w:p>
            <w:pPr>
              <w:spacing w:after="0"/>
              <w:rPr>
                <w:sz w:val="24"/>
                <w:szCs w:val="24"/>
                <w:color w:val="auto"/>
              </w:rPr>
            </w:pPr>
          </w:p>
        </w:tc>
        <w:tc>
          <w:tcPr>
            <w:tcW w:w="1460" w:type="dxa"/>
            <w:vAlign w:val="bottom"/>
          </w:tcPr>
          <w:p>
            <w:pPr>
              <w:jc w:val="center"/>
              <w:ind w:right="46"/>
              <w:spacing w:after="0"/>
              <w:rPr>
                <w:sz w:val="20"/>
                <w:szCs w:val="20"/>
                <w:color w:val="auto"/>
              </w:rPr>
            </w:pPr>
            <w:r>
              <w:rPr>
                <w:rFonts w:ascii="Times New Roman" w:cs="Times New Roman" w:eastAsia="Times New Roman" w:hAnsi="Times New Roman"/>
                <w:sz w:val="20"/>
                <w:szCs w:val="20"/>
                <w:color w:val="auto"/>
                <w:w w:val="98"/>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center"/>
              <w:ind w:right="46"/>
              <w:spacing w:after="0"/>
              <w:rPr>
                <w:sz w:val="20"/>
                <w:szCs w:val="20"/>
                <w:color w:val="auto"/>
              </w:rPr>
            </w:pP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r>
        <w:trPr>
          <w:trHeight w:val="30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48.52% to 48.68%</w:t>
            </w:r>
          </w:p>
        </w:tc>
        <w:tc>
          <w:tcPr>
            <w:tcW w:w="6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47.11% to 48.33%</w:t>
            </w:r>
          </w:p>
        </w:tc>
        <w:tc>
          <w:tcPr>
            <w:tcW w:w="0" w:type="dxa"/>
            <w:vAlign w:val="bottom"/>
          </w:tcPr>
          <w:p>
            <w:pPr>
              <w:spacing w:after="0"/>
              <w:rPr>
                <w:sz w:val="1"/>
                <w:szCs w:val="1"/>
                <w:color w:val="auto"/>
              </w:rPr>
            </w:pPr>
          </w:p>
        </w:tc>
      </w:tr>
      <w:tr>
        <w:trPr>
          <w:trHeight w:val="205"/>
        </w:trPr>
        <w:tc>
          <w:tcPr>
            <w:tcW w:w="6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6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5.42 years to 6.21</w:t>
            </w:r>
          </w:p>
        </w:tc>
        <w:tc>
          <w:tcPr>
            <w:tcW w:w="60" w:type="dxa"/>
            <w:vAlign w:val="bottom"/>
          </w:tcPr>
          <w:p>
            <w:pPr>
              <w:spacing w:after="0"/>
              <w:rPr>
                <w:sz w:val="17"/>
                <w:szCs w:val="17"/>
                <w:color w:val="auto"/>
              </w:rPr>
            </w:pPr>
          </w:p>
        </w:tc>
        <w:tc>
          <w:tcPr>
            <w:tcW w:w="16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5.79 years to 6.21</w:t>
            </w:r>
          </w:p>
        </w:tc>
        <w:tc>
          <w:tcPr>
            <w:tcW w:w="0" w:type="dxa"/>
            <w:vAlign w:val="bottom"/>
          </w:tcPr>
          <w:p>
            <w:pPr>
              <w:spacing w:after="0"/>
              <w:rPr>
                <w:sz w:val="1"/>
                <w:szCs w:val="1"/>
                <w:color w:val="auto"/>
              </w:rPr>
            </w:pPr>
          </w:p>
        </w:tc>
      </w:tr>
      <w:tr>
        <w:trPr>
          <w:trHeight w:val="260"/>
        </w:trPr>
        <w:tc>
          <w:tcPr>
            <w:tcW w:w="6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20"/>
                <w:szCs w:val="20"/>
                <w:color w:val="auto"/>
                <w:w w:val="99"/>
              </w:rPr>
              <w:t>years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20"/>
                <w:szCs w:val="20"/>
                <w:color w:val="auto"/>
                <w:w w:val="99"/>
              </w:rPr>
              <w:t>years</w:t>
            </w:r>
          </w:p>
        </w:tc>
        <w:tc>
          <w:tcPr>
            <w:tcW w:w="0" w:type="dxa"/>
            <w:vAlign w:val="bottom"/>
          </w:tcPr>
          <w:p>
            <w:pPr>
              <w:spacing w:after="0"/>
              <w:rPr>
                <w:sz w:val="1"/>
                <w:szCs w:val="1"/>
                <w:color w:val="auto"/>
              </w:rPr>
            </w:pPr>
          </w:p>
        </w:tc>
      </w:tr>
      <w:tr>
        <w:trPr>
          <w:trHeight w:val="285"/>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Forfeiture rate</w:t>
            </w:r>
          </w:p>
        </w:tc>
        <w:tc>
          <w:tcPr>
            <w:tcW w:w="160" w:type="dxa"/>
            <w:vAlign w:val="bottom"/>
          </w:tcPr>
          <w:p>
            <w:pPr>
              <w:spacing w:after="0"/>
              <w:rPr>
                <w:sz w:val="24"/>
                <w:szCs w:val="24"/>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20"/>
                <w:szCs w:val="20"/>
                <w:color w:val="auto"/>
              </w:rPr>
              <w:t>—% to 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20"/>
                <w:szCs w:val="20"/>
                <w:color w:val="auto"/>
              </w:rPr>
              <w:t>—% to 4%</w:t>
            </w:r>
          </w:p>
        </w:tc>
        <w:tc>
          <w:tcPr>
            <w:tcW w:w="0" w:type="dxa"/>
            <w:vAlign w:val="bottom"/>
          </w:tcPr>
          <w:p>
            <w:pPr>
              <w:spacing w:after="0"/>
              <w:rPr>
                <w:sz w:val="1"/>
                <w:szCs w:val="1"/>
                <w:color w:val="auto"/>
              </w:rPr>
            </w:pPr>
          </w:p>
        </w:tc>
      </w:tr>
      <w:tr>
        <w:trPr>
          <w:trHeight w:val="285"/>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grant-date fair value per option granted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38.59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-1213485</wp:posOffset>
            </wp:positionV>
            <wp:extent cx="6540500" cy="12350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5">
                      <a:extLst>
                        <a:ext uri="{28A0092B-C50C-407E-A947-70E740481C1C}"/>
                      </a:extLst>
                    </a:blip>
                    <a:srcRect/>
                    <a:stretch>
                      <a:fillRect/>
                    </a:stretch>
                  </pic:blipFill>
                  <pic:spPr bwMode="auto">
                    <a:xfrm>
                      <a:off x="0" y="0"/>
                      <a:ext cx="6540500" cy="1235075"/>
                    </a:xfrm>
                    <a:prstGeom prst="rect">
                      <a:avLst/>
                    </a:prstGeom>
                    <a:noFill/>
                  </pic:spPr>
                </pic:pic>
              </a:graphicData>
            </a:graphic>
          </wp:anchor>
        </w:drawing>
      </w:r>
    </w:p>
    <w:p>
      <w:pPr>
        <w:spacing w:after="0" w:line="151" w:lineRule="exact"/>
        <w:rPr>
          <w:sz w:val="20"/>
          <w:szCs w:val="20"/>
          <w:color w:val="auto"/>
        </w:rPr>
      </w:pPr>
    </w:p>
    <w:p>
      <w:pPr>
        <w:ind w:right="120" w:firstLine="720"/>
        <w:spacing w:after="0" w:line="272" w:lineRule="auto"/>
        <w:rPr>
          <w:sz w:val="20"/>
          <w:szCs w:val="20"/>
          <w:color w:val="auto"/>
        </w:rPr>
      </w:pPr>
      <w:r>
        <w:rPr>
          <w:rFonts w:ascii="Times New Roman" w:cs="Times New Roman" w:eastAsia="Times New Roman" w:hAnsi="Times New Roman"/>
          <w:sz w:val="19"/>
          <w:szCs w:val="19"/>
          <w:color w:val="auto"/>
        </w:rPr>
        <w:t>Stock compensation expense related to the amortization of the fair value of service-based stock options issued was approximately $7.0 million for the year ended March 31, 2026, which included $6.8 million in general and administrative expenses, $0.2 million in product development and the remainder of approximately $20 thousand included in sales and support reported on the Company’s Consolidated Statements of Operations. Stock compensation expense related to the amortization of the fair value of service-based stock options issued was approximately $4.5 million for the year ended March 31, 2025, which was included in general and administrative reported on the Company’s Consolidated Statements of Operations.</w:t>
      </w:r>
    </w:p>
    <w:p>
      <w:pPr>
        <w:spacing w:after="0" w:line="74"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The weighted average fair value for the stock option awards granted for the year ended March 31, 2026 was $38.59 per share. As of March 31, 2026 and 2025, there was approximately $5.8 million and $10.2 million, respectively, of unrecognized compensation cost related to non-vested stock options granted under the Company’s stock option plans which is expected to be recognized over a weighted-average period of 1.16 years and 2.51 years,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Stock Options</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the Performance-Based Stock Options for the year ended March 31, 2026 is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15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80" w:type="dxa"/>
            <w:vAlign w:val="bottom"/>
          </w:tcPr>
          <w:p>
            <w:pPr>
              <w:spacing w:after="0"/>
              <w:rPr>
                <w:sz w:val="16"/>
                <w:szCs w:val="16"/>
                <w:color w:val="auto"/>
              </w:rPr>
            </w:pPr>
          </w:p>
        </w:tc>
        <w:tc>
          <w:tcPr>
            <w:tcW w:w="150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100" w:type="dxa"/>
            <w:vAlign w:val="bottom"/>
          </w:tcPr>
          <w:p>
            <w:pPr>
              <w:spacing w:after="0"/>
              <w:rPr>
                <w:sz w:val="18"/>
                <w:szCs w:val="18"/>
                <w:color w:val="auto"/>
              </w:rPr>
            </w:pPr>
          </w:p>
        </w:tc>
        <w:tc>
          <w:tcPr>
            <w:tcW w:w="1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62"/>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Options outstanding at March 31,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38.07</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Performance 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Performance Options 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Performance Options forfeited/expired/cancelled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(125,975)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38.66</w:t>
            </w: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Options outstanding at March 31,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35.66</w:t>
            </w:r>
          </w:p>
        </w:tc>
      </w:tr>
      <w:tr>
        <w:trPr>
          <w:trHeight w:val="20"/>
        </w:trPr>
        <w:tc>
          <w:tcPr>
            <w:tcW w:w="7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34150" cy="9556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6">
                      <a:extLst>
                        <a:ext uri="{28A0092B-C50C-407E-A947-70E740481C1C}"/>
                      </a:extLst>
                    </a:blip>
                    <a:srcRect/>
                    <a:stretch>
                      <a:fillRect/>
                    </a:stretch>
                  </pic:blipFill>
                  <pic:spPr bwMode="auto">
                    <a:xfrm>
                      <a:off x="0" y="0"/>
                      <a:ext cx="6534150" cy="955675"/>
                    </a:xfrm>
                    <a:prstGeom prst="rect">
                      <a:avLst/>
                    </a:prstGeom>
                    <a:noFill/>
                  </pic:spPr>
                </pic:pic>
              </a:graphicData>
            </a:graphic>
          </wp:anchor>
        </w:drawing>
      </w:r>
    </w:p>
    <w:p>
      <w:pPr>
        <w:spacing w:after="0" w:line="108" w:lineRule="exact"/>
        <w:rPr>
          <w:sz w:val="20"/>
          <w:szCs w:val="20"/>
          <w:color w:val="auto"/>
        </w:rPr>
      </w:pPr>
    </w:p>
    <w:p>
      <w:pPr>
        <w:ind w:right="300" w:firstLine="720"/>
        <w:spacing w:after="0" w:line="265" w:lineRule="auto"/>
        <w:rPr>
          <w:sz w:val="20"/>
          <w:szCs w:val="20"/>
          <w:color w:val="auto"/>
        </w:rPr>
      </w:pPr>
      <w:r>
        <w:rPr>
          <w:rFonts w:ascii="Times New Roman" w:cs="Times New Roman" w:eastAsia="Times New Roman" w:hAnsi="Times New Roman"/>
          <w:sz w:val="20"/>
          <w:szCs w:val="20"/>
          <w:color w:val="auto"/>
        </w:rPr>
        <w:t>The following assumptions were used to calculate the grant date fair value of performance-based stock options with market price condition using the Monte Carlo simulation model:</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7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October 4, 2024</w:t>
            </w:r>
          </w:p>
        </w:tc>
      </w:tr>
      <w:tr>
        <w:trPr>
          <w:trHeight w:val="262"/>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3.83%</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48.42%</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 years</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Forfeiture rate</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540500" cy="930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7">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151"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vesting of the performance-based stock options issued during the year ended March 31, 2025 were subject to the attainment of a performance goal. The performance-based stock options (the “Stock Price Award”) will vest based on the target average stock price achieved by the Company during any sixty-day period beginning on the grant date and ending on October 4, 2027. If the target stock price level is achieved, 100% of the Stock Price Award will vest, otherwise the Stock Price Award will be forfeited in its entirety.</w:t>
      </w:r>
    </w:p>
    <w:p>
      <w:pPr>
        <w:spacing w:after="0" w:line="84" w:lineRule="exact"/>
        <w:rPr>
          <w:sz w:val="20"/>
          <w:szCs w:val="20"/>
          <w:color w:val="auto"/>
        </w:rPr>
      </w:pPr>
    </w:p>
    <w:p>
      <w:pPr>
        <w:ind w:right="160" w:firstLine="720"/>
        <w:spacing w:after="0" w:line="241" w:lineRule="auto"/>
        <w:rPr>
          <w:sz w:val="20"/>
          <w:szCs w:val="20"/>
          <w:color w:val="auto"/>
        </w:rPr>
      </w:pPr>
      <w:r>
        <w:rPr>
          <w:rFonts w:ascii="Times New Roman" w:cs="Times New Roman" w:eastAsia="Times New Roman" w:hAnsi="Times New Roman"/>
          <w:sz w:val="20"/>
          <w:szCs w:val="20"/>
          <w:color w:val="auto"/>
        </w:rPr>
        <w:t>The Company recorded a reversal of approximately $0.1 million of stock compensation expense related to performance-based options due to forfeitures for the year ended March 31, 2026, included in general and administrative expenses reported on the Company’s Consolidated Statements of Operations. The Company recorded approximately $0.6 million, of stock compensation expense relating to performance-based options, for the year ended March 31, 2025, included in general and administrative expenses reported on the Company’s Consolidated Statements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597535</wp:posOffset>
                </wp:positionV>
                <wp:extent cx="650494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7.05pt" to="512.1pt,47.05pt" o:allowincell="f" strokecolor="#000000" strokeweight="1pt"/>
            </w:pict>
          </mc:Fallback>
        </mc:AlternateContent>
      </w:r>
    </w:p>
    <w:p>
      <w:pPr>
        <w:sectPr>
          <w:pgSz w:w="12240" w:h="15840" w:orient="portrait"/>
          <w:cols w:equalWidth="0" w:num="1">
            <w:col w:w="10260"/>
          </w:cols>
          <w:pgMar w:left="1000" w:top="2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F- 29</w:t>
      </w:r>
    </w:p>
    <w:p>
      <w:pPr>
        <w:sectPr>
          <w:pgSz w:w="12240" w:h="15840" w:orient="portrait"/>
          <w:cols w:equalWidth="0" w:num="1">
            <w:col w:w="10260"/>
          </w:cols>
          <w:pgMar w:left="1000" w:top="201" w:right="980" w:bottom="0" w:gutter="0" w:footer="0" w:header="0"/>
          <w:type w:val="continuous"/>
        </w:sectPr>
      </w:pPr>
    </w:p>
    <w:bookmarkStart w:id="82" w:name="page83"/>
    <w:bookmarkEnd w:id="82"/>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jc w:val="both"/>
        <w:ind w:left="10" w:right="80" w:firstLine="720"/>
        <w:spacing w:after="0" w:line="249" w:lineRule="auto"/>
        <w:rPr>
          <w:sz w:val="20"/>
          <w:szCs w:val="20"/>
          <w:color w:val="auto"/>
        </w:rPr>
      </w:pPr>
      <w:r>
        <w:rPr>
          <w:rFonts w:ascii="Times New Roman" w:cs="Times New Roman" w:eastAsia="Times New Roman" w:hAnsi="Times New Roman"/>
          <w:sz w:val="20"/>
          <w:szCs w:val="20"/>
          <w:color w:val="auto"/>
        </w:rPr>
        <w:t>As of March 31, 2026 and 2025, there was approximately $0.3 million and $1.7 million, respectively, of unrecognized compensation expense for the outstanding performance-based restricted stock options, which is expected to be recognized over a weighted average period of 1.51 years and 2.51 years, respectively.</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stock option modification</w:t>
      </w:r>
    </w:p>
    <w:p>
      <w:pPr>
        <w:spacing w:after="0" w:line="118" w:lineRule="exact"/>
        <w:rPr>
          <w:sz w:val="20"/>
          <w:szCs w:val="20"/>
          <w:color w:val="auto"/>
        </w:rPr>
      </w:pPr>
    </w:p>
    <w:p>
      <w:pPr>
        <w:ind w:left="10" w:right="40" w:firstLine="720"/>
        <w:spacing w:after="0" w:line="237" w:lineRule="auto"/>
        <w:rPr>
          <w:sz w:val="20"/>
          <w:szCs w:val="20"/>
          <w:color w:val="auto"/>
        </w:rPr>
      </w:pPr>
      <w:r>
        <w:rPr>
          <w:rFonts w:ascii="Times New Roman" w:cs="Times New Roman" w:eastAsia="Times New Roman" w:hAnsi="Times New Roman"/>
          <w:sz w:val="20"/>
          <w:szCs w:val="20"/>
          <w:color w:val="auto"/>
        </w:rPr>
        <w:t>In October 2024, the Company awarded 213,487 performance-based stock options to various senior executive officers. In January 2025, the Board approved changes to the vesting conditions of these outstanding common stock option awards. The vesting criteria were modified from performance-based to time-based. The awards have a contractual life of 10 years and the shares will vest in three equal annual installments, based on continuous service of such officer to the Company through the applicable vesting dates. As a result of the change, the Company accounted for the modification as a Type I modification, resulting in $1.0 million of incremental fair value, of which $0.1 million was recorded immediately during the year ended March 31, 2025. The incremental compensation cost is measured as the excess of the fair value of the modified award over the fair value of the original award immediately before its terms were modified and recognized over the period from the modification date through the end of the requisite service period of the newly granted awards.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23" w:lineRule="exact"/>
        <w:rPr>
          <w:sz w:val="20"/>
          <w:szCs w:val="20"/>
          <w:color w:val="auto"/>
        </w:rPr>
      </w:pPr>
    </w:p>
    <w:p>
      <w:pPr>
        <w:ind w:left="10" w:right="60" w:firstLine="720"/>
        <w:spacing w:after="0" w:line="269" w:lineRule="auto"/>
        <w:rPr>
          <w:sz w:val="20"/>
          <w:szCs w:val="20"/>
          <w:color w:val="auto"/>
        </w:rPr>
      </w:pPr>
      <w:r>
        <w:rPr>
          <w:rFonts w:ascii="Times New Roman" w:cs="Times New Roman" w:eastAsia="Times New Roman" w:hAnsi="Times New Roman"/>
          <w:sz w:val="19"/>
          <w:szCs w:val="19"/>
          <w:color w:val="auto"/>
        </w:rPr>
        <w:t>In September 2023, the Board authorized the 2023 Share Repurchase Program (the “2023 Share Repurchase Program”) pursuant to which the Company may repurchase up to $250.0 million of the Company’s common stock on or before September 21, 2026. The Company may repurchase shares of its common stock via the open market and/or privately negotiated transactions. Repurchases will be made in accordance with applicable securities laws and may be effected pursuant to Rule</w:t>
      </w:r>
    </w:p>
    <w:p>
      <w:pPr>
        <w:spacing w:after="0" w:line="1" w:lineRule="exact"/>
        <w:rPr>
          <w:sz w:val="20"/>
          <w:szCs w:val="20"/>
          <w:color w:val="auto"/>
        </w:rPr>
      </w:pPr>
    </w:p>
    <w:p>
      <w:pPr>
        <w:jc w:val="both"/>
        <w:ind w:left="10" w:right="40"/>
        <w:spacing w:after="0" w:line="253" w:lineRule="auto"/>
        <w:rPr>
          <w:sz w:val="20"/>
          <w:szCs w:val="20"/>
          <w:color w:val="auto"/>
        </w:rPr>
      </w:pPr>
      <w:r>
        <w:rPr>
          <w:rFonts w:ascii="Times New Roman" w:cs="Times New Roman" w:eastAsia="Times New Roman" w:hAnsi="Times New Roman"/>
          <w:sz w:val="20"/>
          <w:szCs w:val="20"/>
          <w:color w:val="auto"/>
        </w:rPr>
        <w:t>10b5-1 trading plans. The manner, timing and amount of any share repurchases will be determined by the Company based on a variety of factors, including proceeds from customer contracts, the timing of which is unpredictable, as well as general business and market conditions, the Company’s capital position, and other strategic considerations. The 2023 Share Repurchase Program does not obligate the Company to repurchase any particular amount of its common stock.</w:t>
      </w:r>
    </w:p>
    <w:p>
      <w:pPr>
        <w:spacing w:after="0" w:line="90" w:lineRule="exact"/>
        <w:rPr>
          <w:sz w:val="20"/>
          <w:szCs w:val="20"/>
          <w:color w:val="auto"/>
        </w:rPr>
      </w:pPr>
    </w:p>
    <w:p>
      <w:pPr>
        <w:ind w:left="10" w:right="40" w:firstLine="720"/>
        <w:spacing w:after="0" w:line="266" w:lineRule="auto"/>
        <w:rPr>
          <w:sz w:val="20"/>
          <w:szCs w:val="20"/>
          <w:color w:val="auto"/>
        </w:rPr>
      </w:pPr>
      <w:r>
        <w:rPr>
          <w:rFonts w:ascii="Times New Roman" w:cs="Times New Roman" w:eastAsia="Times New Roman" w:hAnsi="Times New Roman"/>
          <w:sz w:val="20"/>
          <w:szCs w:val="20"/>
          <w:color w:val="auto"/>
        </w:rPr>
        <w:t>The Inflation Reduction Act of 2022, which was enacted into law on August 16, 2022, imposed a nondeductible 1% excise tax on the net value of certain stock repurchases made after December 31, 2022. For the years ended March 31, 2026 and 2025, the Company had no excise tax expense.</w:t>
      </w:r>
    </w:p>
    <w:p>
      <w:pPr>
        <w:spacing w:after="0" w:line="75" w:lineRule="exact"/>
        <w:rPr>
          <w:sz w:val="20"/>
          <w:szCs w:val="20"/>
          <w:color w:val="auto"/>
        </w:rPr>
      </w:pPr>
    </w:p>
    <w:p>
      <w:pPr>
        <w:ind w:left="10" w:right="320" w:firstLine="720"/>
        <w:spacing w:after="0" w:line="229" w:lineRule="auto"/>
        <w:rPr>
          <w:sz w:val="20"/>
          <w:szCs w:val="20"/>
          <w:color w:val="auto"/>
        </w:rPr>
      </w:pPr>
      <w:r>
        <w:rPr>
          <w:rFonts w:ascii="Times New Roman" w:cs="Times New Roman" w:eastAsia="Times New Roman" w:hAnsi="Times New Roman"/>
          <w:sz w:val="20"/>
          <w:szCs w:val="20"/>
          <w:color w:val="auto"/>
        </w:rPr>
        <w:t>The following table presents the share repurchase activity for Fiscal 2026 and Fiscal 2025 (in thousands, except per share data):</w:t>
      </w:r>
    </w:p>
    <w:p>
      <w:pPr>
        <w:spacing w:after="0" w:line="17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For the years ended March 31,</w:t>
            </w:r>
          </w:p>
        </w:tc>
      </w:tr>
      <w:tr>
        <w:trPr>
          <w:trHeight w:val="220"/>
        </w:trPr>
        <w:tc>
          <w:tcPr>
            <w:tcW w:w="73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repurchased and retired</w:t>
            </w:r>
          </w:p>
        </w:tc>
        <w:tc>
          <w:tcPr>
            <w:tcW w:w="8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245</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Average price paid per share*</w:t>
            </w:r>
          </w:p>
        </w:tc>
        <w:tc>
          <w:tcPr>
            <w:tcW w:w="860" w:type="dxa"/>
            <w:vAlign w:val="bottom"/>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22.94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33.71</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Total cost to repurchase</w:t>
            </w:r>
          </w:p>
        </w:tc>
        <w:tc>
          <w:tcPr>
            <w:tcW w:w="860" w:type="dxa"/>
            <w:vAlign w:val="bottom"/>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540500" cy="5683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8">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151" w:lineRule="exact"/>
        <w:rPr>
          <w:sz w:val="20"/>
          <w:szCs w:val="20"/>
          <w:color w:val="auto"/>
        </w:rPr>
      </w:pPr>
    </w:p>
    <w:p>
      <w:pPr>
        <w:ind w:left="10" w:right="160" w:hanging="10"/>
        <w:spacing w:after="0" w:line="281" w:lineRule="auto"/>
        <w:tabs>
          <w:tab w:leader="none" w:pos="1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price paid per share includes costs associated with the repurchases, excluding excise taxes associated with the share repurchases.</w:t>
      </w:r>
    </w:p>
    <w:p>
      <w:pPr>
        <w:spacing w:after="0" w:line="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March 31, 2026, $226.7 million is remaining under the 2023 Share Repurchase Program.</w:t>
      </w:r>
    </w:p>
    <w:p>
      <w:pPr>
        <w:spacing w:after="0" w:line="1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14. Supplemental Disclosure of Cash Flow Information</w:t>
      </w:r>
    </w:p>
    <w:p>
      <w:pPr>
        <w:spacing w:after="0" w:line="13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following table summarizes the Company’s supplemental cash flow information:</w:t>
      </w:r>
    </w:p>
    <w:p>
      <w:pPr>
        <w:spacing w:after="0" w:line="20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For the years ended March 31,</w:t>
            </w:r>
          </w:p>
        </w:tc>
      </w:tr>
      <w:tr>
        <w:trPr>
          <w:trHeight w:val="220"/>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Cash paid during the period:</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Taxes paid, including excise tax</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1,728</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leases paid</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2,311</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Non-cash investing activity:</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Capitalized change in estimated asset retirement obligations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Network equipment provided in exchange for wireless licenses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190</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Narrowband spectrum licenses received in connection with the LCRA Agreement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1,430</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Derecognition of contingent liability related to sale of intangible assets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21,404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Rights of use asset for new leases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796</w:t>
            </w:r>
          </w:p>
        </w:tc>
      </w:tr>
      <w:tr>
        <w:trPr>
          <w:trHeight w:val="285"/>
        </w:trPr>
        <w:tc>
          <w:tcPr>
            <w:tcW w:w="7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Rights of use asset for modifications and renewals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-1813560</wp:posOffset>
            </wp:positionV>
            <wp:extent cx="6540500" cy="18351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9">
                      <a:extLst>
                        <a:ext uri="{28A0092B-C50C-407E-A947-70E740481C1C}"/>
                      </a:extLst>
                    </a:blip>
                    <a:srcRect/>
                    <a:stretch>
                      <a:fillRect/>
                    </a:stretch>
                  </pic:blipFill>
                  <pic:spPr bwMode="auto">
                    <a:xfrm>
                      <a:off x="0" y="0"/>
                      <a:ext cx="6540500" cy="1835150"/>
                    </a:xfrm>
                    <a:prstGeom prst="rect">
                      <a:avLst/>
                    </a:prstGeom>
                    <a:noFill/>
                  </pic:spPr>
                </pic:pic>
              </a:graphicData>
            </a:graphic>
          </wp:anchor>
        </w:drawing>
      </w:r>
    </w:p>
    <w:p>
      <w:pPr>
        <w:sectPr>
          <w:pgSz w:w="12240" w:h="15840" w:orient="portrait"/>
          <w:cols w:equalWidth="0" w:num="1">
            <w:col w:w="10270"/>
          </w:cols>
          <w:pgMar w:left="990" w:top="201" w:right="980" w:bottom="852" w:gutter="0" w:footer="0" w:header="0"/>
        </w:sectPr>
      </w:pPr>
    </w:p>
    <w:bookmarkStart w:id="83" w:name="page84"/>
    <w:bookmarkEnd w:id="83"/>
    <w:p>
      <w:pPr>
        <w:ind w:left="10"/>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15. Contingencies and Guaranty</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Contingent Liabilities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Spectrum Sale Agreements Entered into Prior to December 31, 2025</w:t>
      </w:r>
    </w:p>
    <w:p>
      <w:pPr>
        <w:spacing w:after="0" w:line="139" w:lineRule="exact"/>
        <w:rPr>
          <w:sz w:val="20"/>
          <w:szCs w:val="20"/>
          <w:color w:val="auto"/>
        </w:rPr>
      </w:pPr>
    </w:p>
    <w:p>
      <w:pPr>
        <w:ind w:left="10" w:right="40" w:firstLine="720"/>
        <w:spacing w:after="0" w:line="260" w:lineRule="auto"/>
        <w:rPr>
          <w:sz w:val="20"/>
          <w:szCs w:val="20"/>
          <w:color w:val="auto"/>
        </w:rPr>
      </w:pPr>
      <w:r>
        <w:rPr>
          <w:rFonts w:ascii="Times New Roman" w:cs="Times New Roman" w:eastAsia="Times New Roman" w:hAnsi="Times New Roman"/>
          <w:sz w:val="20"/>
          <w:szCs w:val="20"/>
          <w:color w:val="auto"/>
        </w:rPr>
        <w:t xml:space="preserve">As a result of the Company’s business strategy evolution and the introduction of the Company’s new brand and visual identity in the fourth quarter of fiscal 2026, as described in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xml:space="preserve">, sales agreements entered into in subsequent to this shift are considered completed in the ordinary course of business and are included in Note 3 </w:t>
      </w: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w:t>
      </w:r>
    </w:p>
    <w:p>
      <w:pPr>
        <w:spacing w:after="0" w:line="83" w:lineRule="exact"/>
        <w:rPr>
          <w:sz w:val="20"/>
          <w:szCs w:val="20"/>
          <w:color w:val="auto"/>
        </w:rPr>
      </w:pPr>
    </w:p>
    <w:p>
      <w:pPr>
        <w:ind w:left="10" w:right="80"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provides information regarding the Company’s spectrum sale agreements entered into prior to December 2025 (as defined in the table below and collectively referred to as the “Spectrum Sale Agreements”) as of March 31, 2026:</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15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Broadband Broadband</w:t>
            </w:r>
          </w:p>
        </w:tc>
        <w:tc>
          <w:tcPr>
            <w:tcW w:w="0" w:type="dxa"/>
            <w:vAlign w:val="bottom"/>
          </w:tcPr>
          <w:p>
            <w:pPr>
              <w:spacing w:after="0"/>
              <w:rPr>
                <w:sz w:val="1"/>
                <w:szCs w:val="1"/>
                <w:color w:val="auto"/>
              </w:rPr>
            </w:pPr>
          </w:p>
        </w:tc>
      </w:tr>
      <w:tr>
        <w:trPr>
          <w:trHeight w:val="200"/>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Spectrum Sale Agreements </w:t>
            </w:r>
            <w:r>
              <w:rPr>
                <w:rFonts w:ascii="Times New Roman" w:cs="Times New Roman" w:eastAsia="Times New Roman" w:hAnsi="Times New Roman"/>
                <w:sz w:val="26"/>
                <w:szCs w:val="26"/>
                <w:b w:val="1"/>
                <w:bCs w:val="1"/>
                <w:color w:val="auto"/>
                <w:vertAlign w:val="superscript"/>
              </w:rPr>
              <w:t>(1)</w:t>
            </w:r>
          </w:p>
        </w:tc>
        <w:tc>
          <w:tcPr>
            <w:tcW w:w="11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2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10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license(s)</w:t>
            </w:r>
          </w:p>
        </w:tc>
        <w:tc>
          <w:tcPr>
            <w:tcW w:w="0" w:type="dxa"/>
            <w:vAlign w:val="bottom"/>
          </w:tcPr>
          <w:p>
            <w:pPr>
              <w:spacing w:after="0"/>
              <w:rPr>
                <w:sz w:val="1"/>
                <w:szCs w:val="1"/>
                <w:color w:val="auto"/>
              </w:rPr>
            </w:pPr>
          </w:p>
        </w:tc>
      </w:tr>
      <w:tr>
        <w:trPr>
          <w:trHeight w:val="263"/>
        </w:trPr>
        <w:tc>
          <w:tcPr>
            <w:tcW w:w="26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Date</w:t>
            </w:r>
          </w:p>
        </w:tc>
        <w:tc>
          <w:tcPr>
            <w:tcW w:w="1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Consideration</w:t>
            </w:r>
          </w:p>
        </w:tc>
        <w:tc>
          <w:tcPr>
            <w:tcW w:w="1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delivered</w:t>
            </w: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182"/>
        </w:trPr>
        <w:tc>
          <w:tcPr>
            <w:tcW w:w="264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San Diego Gas &amp; Electric</w:t>
            </w:r>
          </w:p>
        </w:tc>
        <w:tc>
          <w:tcPr>
            <w:tcW w:w="1100" w:type="dxa"/>
            <w:vAlign w:val="bottom"/>
          </w:tcPr>
          <w:p>
            <w:pPr>
              <w:ind w:left="100"/>
              <w:spacing w:after="0" w:line="182" w:lineRule="exact"/>
              <w:rPr>
                <w:sz w:val="20"/>
                <w:szCs w:val="20"/>
                <w:color w:val="auto"/>
              </w:rPr>
            </w:pPr>
            <w:r>
              <w:rPr>
                <w:rFonts w:ascii="Times New Roman" w:cs="Times New Roman" w:eastAsia="Times New Roman" w:hAnsi="Times New Roman"/>
                <w:sz w:val="20"/>
                <w:szCs w:val="20"/>
                <w:color w:val="auto"/>
              </w:rPr>
              <w:t>February</w:t>
            </w:r>
          </w:p>
        </w:tc>
        <w:tc>
          <w:tcPr>
            <w:tcW w:w="15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$50.0 million</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 xml:space="preserve">$45.6 million </w:t>
            </w:r>
            <w:r>
              <w:rPr>
                <w:rFonts w:ascii="Times New Roman" w:cs="Times New Roman" w:eastAsia="Times New Roman" w:hAnsi="Times New Roman"/>
                <w:sz w:val="11"/>
                <w:szCs w:val="11"/>
                <w:color w:val="auto"/>
              </w:rPr>
              <w:t>(2)</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$3.1 million</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(“SDG&amp;E”) Agreement</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2021</w:t>
            </w:r>
          </w:p>
        </w:tc>
        <w:tc>
          <w:tcPr>
            <w:tcW w:w="15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LCRA Agreement</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April 2023</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$30.0 million</w:t>
            </w:r>
          </w:p>
        </w:tc>
        <w:tc>
          <w:tcPr>
            <w:tcW w:w="1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$29.3 million</w:t>
            </w:r>
          </w:p>
        </w:tc>
        <w:tc>
          <w:tcPr>
            <w:tcW w:w="1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$0.7 million</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5"/>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LCRA Expansion Agreement</w:t>
            </w:r>
          </w:p>
        </w:tc>
        <w:tc>
          <w:tcPr>
            <w:tcW w:w="1100" w:type="dxa"/>
            <w:vAlign w:val="bottom"/>
          </w:tcPr>
          <w:p>
            <w:pPr>
              <w:ind w:left="100"/>
              <w:spacing w:after="0" w:line="205" w:lineRule="exact"/>
              <w:rPr>
                <w:sz w:val="20"/>
                <w:szCs w:val="20"/>
                <w:color w:val="auto"/>
              </w:rPr>
            </w:pPr>
            <w:r>
              <w:rPr>
                <w:rFonts w:ascii="Times New Roman" w:cs="Times New Roman" w:eastAsia="Times New Roman" w:hAnsi="Times New Roman"/>
                <w:sz w:val="20"/>
                <w:szCs w:val="20"/>
                <w:color w:val="auto"/>
              </w:rPr>
              <w:t>January</w:t>
            </w:r>
          </w:p>
        </w:tc>
        <w:tc>
          <w:tcPr>
            <w:tcW w:w="15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$13.5 million</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$6.0 million</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 xml:space="preserve">$6.5 million </w:t>
            </w:r>
            <w:r>
              <w:rPr>
                <w:rFonts w:ascii="Times New Roman" w:cs="Times New Roman" w:eastAsia="Times New Roman" w:hAnsi="Times New Roman"/>
                <w:sz w:val="11"/>
                <w:szCs w:val="11"/>
                <w:color w:val="auto"/>
              </w:rPr>
              <w:t>(3)</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60"/>
        </w:trPr>
        <w:tc>
          <w:tcPr>
            <w:tcW w:w="2640" w:type="dxa"/>
            <w:vAlign w:val="bottom"/>
            <w:vMerge w:val="continue"/>
          </w:tcPr>
          <w:p>
            <w:pPr>
              <w:spacing w:after="0"/>
              <w:rPr>
                <w:sz w:val="22"/>
                <w:szCs w:val="22"/>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2025</w:t>
            </w:r>
          </w:p>
        </w:tc>
        <w:tc>
          <w:tcPr>
            <w:tcW w:w="15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74"/>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Oncor Agreement</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June 2024</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 xml:space="preserve">$102.5 million </w:t>
            </w:r>
            <w:r>
              <w:rPr>
                <w:rFonts w:ascii="Times New Roman" w:cs="Times New Roman" w:eastAsia="Times New Roman" w:hAnsi="Times New Roman"/>
                <w:sz w:val="26"/>
                <w:szCs w:val="26"/>
                <w:color w:val="auto"/>
                <w:w w:val="99"/>
                <w:vertAlign w:val="superscript"/>
              </w:rPr>
              <w:t>(4)</w:t>
            </w:r>
          </w:p>
        </w:tc>
        <w:tc>
          <w:tcPr>
            <w:tcW w:w="14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7"/>
              </w:rPr>
              <w:t xml:space="preserve">$100.6 million </w:t>
            </w:r>
            <w:r>
              <w:rPr>
                <w:rFonts w:ascii="Times New Roman" w:cs="Times New Roman" w:eastAsia="Times New Roman" w:hAnsi="Times New Roman"/>
                <w:sz w:val="26"/>
                <w:szCs w:val="26"/>
                <w:color w:val="auto"/>
                <w:w w:val="97"/>
                <w:vertAlign w:val="superscript"/>
              </w:rPr>
              <w:t>(4)</w:t>
            </w:r>
          </w:p>
        </w:tc>
        <w:tc>
          <w:tcPr>
            <w:tcW w:w="1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-1012825</wp:posOffset>
            </wp:positionV>
            <wp:extent cx="6530975" cy="977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0">
                      <a:extLst>
                        <a:ext uri="{28A0092B-C50C-407E-A947-70E740481C1C}"/>
                      </a:extLst>
                    </a:blip>
                    <a:srcRect/>
                    <a:stretch>
                      <a:fillRect/>
                    </a:stretch>
                  </pic:blipFill>
                  <pic:spPr bwMode="auto">
                    <a:xfrm>
                      <a:off x="0" y="0"/>
                      <a:ext cx="6530975" cy="977900"/>
                    </a:xfrm>
                    <a:prstGeom prst="rect">
                      <a:avLst/>
                    </a:prstGeom>
                    <a:noFill/>
                  </pic:spPr>
                </pic:pic>
              </a:graphicData>
            </a:graphic>
          </wp:anchor>
        </w:drawing>
      </w:r>
    </w:p>
    <w:p>
      <w:pPr>
        <w:spacing w:after="0" w:line="62" w:lineRule="exact"/>
        <w:rPr>
          <w:sz w:val="20"/>
          <w:szCs w:val="20"/>
          <w:color w:val="auto"/>
        </w:rPr>
      </w:pPr>
    </w:p>
    <w:p>
      <w:pPr>
        <w:ind w:left="370" w:right="160" w:hanging="370"/>
        <w:spacing w:after="0" w:line="244" w:lineRule="auto"/>
        <w:tabs>
          <w:tab w:leader="none" w:pos="3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 A gain or loss on the sale of spectrum will be recognized for each county once we deliver the cleared 900 MHz Broadband Spectrum and the associated broadband licenses.</w:t>
      </w:r>
    </w:p>
    <w:p>
      <w:pPr>
        <w:spacing w:after="0" w:line="2"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delivery delay adjustments.</w:t>
      </w:r>
    </w:p>
    <w:p>
      <w:pPr>
        <w:ind w:left="370" w:right="820" w:hanging="370"/>
        <w:spacing w:after="0"/>
        <w:tabs>
          <w:tab w:leader="none" w:pos="3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$1.0 million credit, which was applied against the remaining balance pursuant to the LCRA Expansion Agreement in recognition of their contributions to our business efforts.</w:t>
      </w:r>
    </w:p>
    <w:p>
      <w:pPr>
        <w:ind w:left="370" w:right="180" w:hanging="370"/>
        <w:spacing w:after="0" w:line="244" w:lineRule="auto"/>
        <w:tabs>
          <w:tab w:leader="none" w:pos="3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reimbursable clearing costs and Anti-Windfall Payments made in connection with the transfer of the associated broadband licenses. Total consideration included $7.5 million in estimated reimbursable clearing costs and Anti-Windfall Payments of which $5.6 million was realized.</w:t>
      </w:r>
    </w:p>
    <w:p>
      <w:pPr>
        <w:spacing w:after="0" w:line="87" w:lineRule="exact"/>
        <w:rPr>
          <w:sz w:val="20"/>
          <w:szCs w:val="20"/>
          <w:color w:val="auto"/>
        </w:rPr>
      </w:pPr>
    </w:p>
    <w:p>
      <w:pPr>
        <w:ind w:left="10" w:right="540" w:firstLine="720"/>
        <w:spacing w:after="0" w:line="309" w:lineRule="auto"/>
        <w:rPr>
          <w:sz w:val="20"/>
          <w:szCs w:val="20"/>
          <w:color w:val="auto"/>
        </w:rPr>
      </w:pPr>
      <w:r>
        <w:rPr>
          <w:rFonts w:ascii="Times New Roman" w:cs="Times New Roman" w:eastAsia="Times New Roman" w:hAnsi="Times New Roman"/>
          <w:sz w:val="19"/>
          <w:szCs w:val="19"/>
          <w:color w:val="auto"/>
        </w:rPr>
        <w:t>The following table summarizes the Company’s short-term and long-term contingent liabilities related to certain spectrum sale agreements based on the estimated timing of license deliveries (in thousands) as of March 31, 2026:</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2026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65"/>
        </w:trPr>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Spectrum Sale Agreements</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Long Term</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Long Term</w:t>
            </w:r>
          </w:p>
        </w:tc>
      </w:tr>
      <w:tr>
        <w:trPr>
          <w:trHeight w:val="262"/>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SDG&amp;E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LCRA Agreement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15,336</w:t>
            </w:r>
          </w:p>
        </w:tc>
      </w:tr>
      <w:tr>
        <w:trPr>
          <w:trHeight w:val="285"/>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LCRA Expansion Agreement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Oncor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200" w:type="dxa"/>
            <w:vAlign w:val="bottom"/>
          </w:tcPr>
          <w:p>
            <w:pPr>
              <w:ind w:left="160"/>
              <w:spacing w:after="0" w:line="245" w:lineRule="exact"/>
              <w:rPr>
                <w:sz w:val="20"/>
                <w:szCs w:val="20"/>
                <w:color w:val="auto"/>
              </w:rPr>
            </w:pPr>
            <w:r>
              <w:rPr>
                <w:rFonts w:ascii="Times New Roman" w:cs="Times New Roman" w:eastAsia="Times New Roman" w:hAnsi="Times New Roman"/>
                <w:sz w:val="20"/>
                <w:szCs w:val="20"/>
                <w:color w:val="auto"/>
              </w:rPr>
              <w:t xml:space="preserve">Total contingent liabilities </w:t>
            </w:r>
            <w:r>
              <w:rPr>
                <w:rFonts w:ascii="Times New Roman" w:cs="Times New Roman" w:eastAsia="Times New Roman" w:hAnsi="Times New Roman"/>
                <w:sz w:val="26"/>
                <w:szCs w:val="26"/>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15,336</w:t>
            </w: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505575" cy="9556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1">
                      <a:extLst>
                        <a:ext uri="{28A0092B-C50C-407E-A947-70E740481C1C}"/>
                      </a:extLst>
                    </a:blip>
                    <a:srcRect/>
                    <a:stretch>
                      <a:fillRect/>
                    </a:stretch>
                  </pic:blipFill>
                  <pic:spPr bwMode="auto">
                    <a:xfrm>
                      <a:off x="0" y="0"/>
                      <a:ext cx="6505575" cy="955675"/>
                    </a:xfrm>
                    <a:prstGeom prst="rect">
                      <a:avLst/>
                    </a:prstGeom>
                    <a:noFill/>
                  </pic:spPr>
                </pic:pic>
              </a:graphicData>
            </a:graphic>
          </wp:anchor>
        </w:drawing>
      </w:r>
    </w:p>
    <w:p>
      <w:pPr>
        <w:spacing w:after="0" w:line="108" w:lineRule="exact"/>
        <w:rPr>
          <w:sz w:val="20"/>
          <w:szCs w:val="20"/>
          <w:color w:val="auto"/>
        </w:rPr>
      </w:pPr>
    </w:p>
    <w:p>
      <w:pPr>
        <w:ind w:left="370" w:right="280" w:hanging="370"/>
        <w:spacing w:after="0" w:line="271" w:lineRule="auto"/>
        <w:tabs>
          <w:tab w:leader="none" w:pos="37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the contingent liability and a gain or loss on the sale of spectrum will be recognized for each county once the Company delivers the 900 MHz Broadband Spectrum and the associated broadband licenses.</w:t>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Guaranties</w:t>
      </w:r>
    </w:p>
    <w:p>
      <w:pPr>
        <w:spacing w:after="0" w:line="139" w:lineRule="exact"/>
        <w:rPr>
          <w:sz w:val="20"/>
          <w:szCs w:val="20"/>
          <w:color w:val="auto"/>
        </w:rPr>
      </w:pPr>
    </w:p>
    <w:p>
      <w:pPr>
        <w:ind w:left="10" w:right="120" w:firstLine="720"/>
        <w:spacing w:after="0" w:line="269" w:lineRule="auto"/>
        <w:rPr>
          <w:sz w:val="20"/>
          <w:szCs w:val="20"/>
          <w:color w:val="auto"/>
        </w:rPr>
      </w:pPr>
      <w:r>
        <w:rPr>
          <w:rFonts w:ascii="Times New Roman" w:cs="Times New Roman" w:eastAsia="Times New Roman" w:hAnsi="Times New Roman"/>
          <w:sz w:val="19"/>
          <w:szCs w:val="19"/>
          <w:color w:val="auto"/>
        </w:rPr>
        <w:t>In October 2022, the Company entered into an agreement with Xcel Energy providing Xcel Energy dedicated long-term usage of the Company’s 900 MHz Broadband Spectrum for a term of 20 years throughout Xcel Energy’s service territory in eight states (the “Xcel Energy Agreement”). In connection with the Xcel Energy Agreement, the Company entered into a guaranty agreement, under which the Company guaranteed the delivery of the relevant 900 MHz Broadband Spectrum and the associated broadband licenses in Xcel Energy’s service territory in eight states along with other commercial obligations. In the event of default or non-delivery of the specific territory’s 900 MHz Broadband Spectrum, the Company is required to refund payments it has received. In addition, to the extent the Company has performed any obligations, the Company’s liability and remaining obligations under the Xcel Energy Agreement will extend only to the remaining unperformed obligations. The Company recorded $76.0 million in deferred revenue in connection with the prepayments received as of March 31, 2026.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170180</wp:posOffset>
                </wp:positionV>
                <wp:extent cx="65055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4pt" to="512.6pt,13.4pt" o:allowincell="f" strokecolor="#000000" strokeweight="1pt"/>
            </w:pict>
          </mc:Fallback>
        </mc:AlternateContent>
      </w:r>
    </w:p>
    <w:p>
      <w:pPr>
        <w:spacing w:after="0" w:line="276" w:lineRule="exact"/>
        <w:rPr>
          <w:sz w:val="20"/>
          <w:szCs w:val="20"/>
          <w:color w:val="auto"/>
        </w:rPr>
      </w:pPr>
    </w:p>
    <w:p>
      <w:pPr>
        <w:ind w:left="9330"/>
        <w:spacing w:after="0"/>
        <w:rPr>
          <w:sz w:val="20"/>
          <w:szCs w:val="20"/>
          <w:color w:val="auto"/>
        </w:rPr>
      </w:pPr>
      <w:r>
        <w:rPr>
          <w:rFonts w:ascii="Times New Roman" w:cs="Times New Roman" w:eastAsia="Times New Roman" w:hAnsi="Times New Roman"/>
          <w:sz w:val="20"/>
          <w:szCs w:val="20"/>
          <w:color w:val="auto"/>
        </w:rPr>
        <w:t>Page F- 31</w:t>
      </w:r>
    </w:p>
    <w:p>
      <w:pPr>
        <w:sectPr>
          <w:pgSz w:w="12240" w:h="15840" w:orient="portrait"/>
          <w:cols w:equalWidth="0" w:num="1">
            <w:col w:w="10250"/>
          </w:cols>
          <w:pgMar w:left="990" w:top="201" w:right="1000"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36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Company commenced delivery of the relevant cleared 900 MHz Broadband Spectrum and the associated broadband leases in the first quarter of fiscal year 2024 and will continue through 2029. As of March 31, 2026, the maximum potential liability of future undiscounted payments under this agreement is approximately $67.4 million, reflecting a reduction in liability due to the obligations it has performed to date and revenue recognized.</w:t>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June 2025, the Company entered into an agreement to retune and acquire wireless licenses for approximately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$28.0 million. In connection with this agreement, the Company entered into a guaranty agreement with the incumbent, under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the Company guaranteed the payment and performance of all obligations under the agreement to the incumbent 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 of default. In addition, to the extent the Company has performed any obligations under the agreement, the Company’s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liability and remaining obligations will extend only to the remaining obligations. As of March 31, 2026, the maximum potential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of future undiscounted payments under this agreement is approximately $18.2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Defined Contribution Plan - Employer Contributions</w:t>
      </w:r>
    </w:p>
    <w:p>
      <w:pPr>
        <w:spacing w:after="0" w:line="139"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auto"/>
        </w:rPr>
        <w:t>The Company sponsors defined contribution plans (the “Plans”) that cover our employees following the completion of an eligibility period. Under the Plans, participating employees may defer a portion of their pretax and post tax earnings up to the limits provided by local statutory requirements. The Company makes matching contributions, subject to limits of the base compensation that a participant contributes to the Plan. The Company records its portion of matching contributions within general and administrative expenses on the Company’s Consolidated Statement of Operations. The Company contributed $0.4 million and $0.5 million for the years ended March 31, 2026 and 2025,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139"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In addition to commitments and obligations in the ordinary course of business as reflected in the lease footnote above, the Company may be subject, from time to time, to various claims and pending and potential legal actions arising out of the normal conduct of its business. The Company assesses contingencies to determine the degree of probability and range of possible loss for potential accrual in its financial statements. Because litigation is inherently unpredictable and unfavorable resolutions could occur, assessing litigation contingencies is highly subjective and requires judgments about future</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it may be unsupported, exaggerated or unrelated to possible outcomes, and as such are not meaningful indicators of its potential liability.</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regularly reviews contingencies to determine the adequacy of its accruals and related</w:t>
      </w:r>
    </w:p>
    <w:p>
      <w:pPr>
        <w:spacing w:after="0" w:line="3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disclosures. During the period presented, the Company has not recorded any accrual for loss contingencies associated with any claims or legal proceedings; determined that an unfavorable outcome is probable or reasonably possible; or determined that the amount or range of any possible loss is reasonably estimable. However, the outcome of legal proceedings and claims brought against the Company is subject to significant uncertainty. Therefore, although management considers the likelihood of a material adverse outcome to be remote, if one or more of these legal matters were resolved against the Company in a reporting period, the Company’s consolidated financial statements for that reporting period could be materially adversely affected.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137"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auto"/>
        </w:rPr>
        <w:t>On April 16, 2026, the Company entered into a 10 MHz 900 MHz spectrum license sale agreement with Public Utility District No. 1 of Benton County (“Benton PUD”) to provide 900 MHz Broadband Spectrum in the 10 MHz broadband configuration, covering Benton County, Washington, (the “Benton Agreement”) for a total consideration of $0.8 million. This will enable Benton PUD to deploy a private wireless broadband network that will provide the taxpayer-owned utility and the community it serves with transformative communications capabilities to support its energy leadership, cooperation, and stewardship.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2098040</wp:posOffset>
                </wp:positionV>
                <wp:extent cx="650494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5.2pt" to="512.1pt,165.2pt" o:allowincell="f" strokecolor="#000000" strokeweight="1pt"/>
            </w:pict>
          </mc:Fallback>
        </mc:AlternateContent>
      </w:r>
    </w:p>
    <w:p>
      <w:pPr>
        <w:sectPr>
          <w:pgSz w:w="12240" w:h="15840" w:orient="portrait"/>
          <w:cols w:equalWidth="0" w:num="1">
            <w:col w:w="10200"/>
          </w:cols>
          <w:pgMar w:left="1000" w:top="20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Page F- 32</w:t>
      </w:r>
    </w:p>
    <w:p>
      <w:pPr>
        <w:sectPr>
          <w:pgSz w:w="12240" w:h="15840" w:orient="portrait"/>
          <w:cols w:equalWidth="0" w:num="1">
            <w:col w:w="10200"/>
          </w:cols>
          <w:pgMar w:left="1000" w:top="201" w:right="1040" w:bottom="0" w:gutter="0" w:footer="0" w:header="0"/>
          <w:type w:val="continuous"/>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2"/>
    </w:lvl>
  </w:abstractNum>
  <w:abstractNum w:abstractNumId="11">
    <w:nsid w:val="614FD4A1"/>
    <w:multiLevelType w:val="hybridMultilevel"/>
    <w:lvl w:ilvl="0">
      <w:lvlJc w:val="left"/>
      <w:lvlText w:val="%1."/>
      <w:numFmt w:val="decimal"/>
      <w:start w:val="3"/>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3"/>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01"/>
    </w:lvl>
  </w:abstractNum>
  <w:abstractNum w:abstractNumId="32">
    <w:nsid w:val="2CD89A32"/>
    <w:multiLevelType w:val="hybridMultilevel"/>
    <w:lvl w:ilvl="0">
      <w:lvlJc w:val="left"/>
      <w:lvlText w:val="+"/>
      <w:numFmt w:val="bullet"/>
      <w:start w:val="1"/>
    </w:lvl>
    <w:lvl w:ilvl="1">
      <w:lvlJc w:val="left"/>
      <w:lvlText w:val="%2"/>
      <w:numFmt w:val="decimal"/>
      <w:start w:val="104"/>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lvl w:ilvl="1">
      <w:lvlJc w:val="left"/>
      <w:lvlText w:val="◦"/>
      <w:numFmt w:val="bullet"/>
      <w:start w:val="1"/>
    </w:lvl>
  </w:abstractNum>
  <w:abstractNum w:abstractNumId="39">
    <w:nsid w:val="7644A45C"/>
    <w:multiLevelType w:val="hybridMultilevel"/>
    <w:lvl w:ilvl="0">
      <w:lvlJc w:val="left"/>
      <w:lvlText w:val="•"/>
      <w:numFmt w:val="bullet"/>
      <w:start w:val="1"/>
    </w:lvl>
    <w:lvl w:ilvl="1">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606"/>
    </w:lvl>
  </w:abstractNum>
  <w:abstractNum w:abstractNumId="42">
    <w:nsid w:val="579478FE"/>
    <w:multiLevelType w:val="hybridMultilevel"/>
    <w:lvl w:ilvl="0">
      <w:lvlJc w:val="left"/>
      <w:lvlText w:val="%1"/>
      <w:numFmt w:val="decimal"/>
      <w:start w:val="900"/>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2026-06-25T21:56:14Z</dcterms:created>
  <dcterms:modified xsi:type="dcterms:W3CDTF">2026-06-25T21:56:14Z</dcterms:modified>
</cp:coreProperties>
</file>